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20" w:rsidRPr="00D5585E" w:rsidRDefault="00D5585E" w:rsidP="00BE6B2B">
      <w:pPr>
        <w:ind w:firstLine="720"/>
        <w:jc w:val="both"/>
        <w:rPr>
          <w:b/>
        </w:rPr>
      </w:pPr>
      <w:bookmarkStart w:id="0" w:name="_GoBack"/>
      <w:bookmarkEnd w:id="0"/>
      <w:r>
        <w:rPr>
          <w:b/>
        </w:rPr>
        <w:t>Q3</w:t>
      </w:r>
      <w:r w:rsidR="00133289" w:rsidRPr="00D5585E">
        <w:rPr>
          <w:b/>
        </w:rPr>
        <w:t xml:space="preserve">.  When is a debt deemed to be discharged and </w:t>
      </w:r>
      <w:r w:rsidR="00BE6B2B" w:rsidRPr="00D5585E">
        <w:rPr>
          <w:b/>
        </w:rPr>
        <w:t xml:space="preserve">what </w:t>
      </w:r>
      <w:r w:rsidR="00724DC1" w:rsidRPr="00D5585E">
        <w:rPr>
          <w:b/>
        </w:rPr>
        <w:t xml:space="preserve">is the significance of the issuance of </w:t>
      </w:r>
      <w:r w:rsidR="00133289" w:rsidRPr="00D5585E">
        <w:rPr>
          <w:b/>
        </w:rPr>
        <w:t>a Form 1099-C</w:t>
      </w:r>
      <w:r w:rsidR="00724DC1" w:rsidRPr="00D5585E">
        <w:rPr>
          <w:b/>
        </w:rPr>
        <w:t xml:space="preserve"> to the taxpayer</w:t>
      </w:r>
      <w:r w:rsidR="00133289" w:rsidRPr="00D5585E">
        <w:rPr>
          <w:b/>
        </w:rPr>
        <w:t>?</w:t>
      </w:r>
    </w:p>
    <w:p w:rsidR="00762CA6" w:rsidRDefault="00133289" w:rsidP="004B18D5">
      <w:pPr>
        <w:jc w:val="both"/>
      </w:pPr>
      <w:r>
        <w:tab/>
        <w:t xml:space="preserve">Obviously, </w:t>
      </w:r>
      <w:r w:rsidR="003204B8">
        <w:t>a debtor must report discharge of debt income in the year in which the creditor actually forgives the debt.</w:t>
      </w:r>
      <w:r w:rsidR="005D0B3E">
        <w:t xml:space="preserve">  </w:t>
      </w:r>
      <w:r>
        <w:t xml:space="preserve">However, </w:t>
      </w:r>
      <w:r w:rsidR="007E421D">
        <w:t xml:space="preserve">in some instances, i.e., </w:t>
      </w:r>
      <w:r w:rsidR="008168E3">
        <w:t xml:space="preserve">lack of communication between the creditor and the debtor, </w:t>
      </w:r>
      <w:r>
        <w:t xml:space="preserve">it </w:t>
      </w:r>
      <w:r w:rsidR="007E421D">
        <w:t xml:space="preserve">may not be </w:t>
      </w:r>
      <w:r>
        <w:t xml:space="preserve">clear </w:t>
      </w:r>
      <w:r w:rsidR="003204B8">
        <w:t xml:space="preserve">if and </w:t>
      </w:r>
      <w:r>
        <w:t xml:space="preserve">when a debt is </w:t>
      </w:r>
      <w:r w:rsidR="007E421D">
        <w:t xml:space="preserve">actually </w:t>
      </w:r>
      <w:r>
        <w:t xml:space="preserve">forgiven.  </w:t>
      </w:r>
      <w:r w:rsidR="00724DC1">
        <w:t xml:space="preserve">Therefore, in the absence of </w:t>
      </w:r>
      <w:r w:rsidR="003204B8">
        <w:t xml:space="preserve">a formal discharge, </w:t>
      </w:r>
      <w:r w:rsidR="00724DC1">
        <w:t>it is possible that a creditor’s actions or inactions may result in a de facto discharge</w:t>
      </w:r>
      <w:r w:rsidR="003204B8">
        <w:t xml:space="preserve"> of the underlying debt</w:t>
      </w:r>
      <w:r w:rsidR="00724DC1">
        <w:t xml:space="preserve">. Moreover, absent </w:t>
      </w:r>
      <w:r w:rsidR="00255451">
        <w:t xml:space="preserve">imposing a reporting requirements on </w:t>
      </w:r>
      <w:r w:rsidR="003204B8">
        <w:t>a creditor</w:t>
      </w:r>
      <w:r w:rsidR="00255451">
        <w:t xml:space="preserve">, </w:t>
      </w:r>
      <w:r w:rsidR="00724DC1">
        <w:t xml:space="preserve">debtors may be unlikely to voluntarily report </w:t>
      </w:r>
      <w:r w:rsidR="003204B8">
        <w:t xml:space="preserve">discharge of debt income that could trigger </w:t>
      </w:r>
      <w:r w:rsidR="00724DC1">
        <w:t>a substantial tax liability.</w:t>
      </w:r>
    </w:p>
    <w:p w:rsidR="00133289" w:rsidRDefault="004B18D5" w:rsidP="00762CA6">
      <w:pPr>
        <w:ind w:firstLine="504"/>
        <w:jc w:val="both"/>
      </w:pPr>
      <w:r>
        <w:t>Perhaps to address the uncertainty as to when a discharge of debt occurs, IRC Section 6050P generally requires financial institutions such as bank</w:t>
      </w:r>
      <w:r w:rsidR="00724DC1">
        <w:t>s</w:t>
      </w:r>
      <w:r>
        <w:t xml:space="preserve">, credit unions and credit card companies to </w:t>
      </w:r>
      <w:r w:rsidR="003204B8">
        <w:t>report discharge of debt.</w:t>
      </w:r>
      <w:r>
        <w:t xml:space="preserve">   </w:t>
      </w:r>
      <w:r w:rsidR="007E421D">
        <w:t xml:space="preserve">Specifically, </w:t>
      </w:r>
      <w:r w:rsidR="00255451">
        <w:t xml:space="preserve">pursuant to the regulations, </w:t>
      </w:r>
      <w:r w:rsidR="007E421D">
        <w:t xml:space="preserve">upon the occurrence of an “identifiable event,” a creditor </w:t>
      </w:r>
      <w:r w:rsidR="00255451">
        <w:t xml:space="preserve">must </w:t>
      </w:r>
      <w:r w:rsidR="003204B8">
        <w:t xml:space="preserve">issue </w:t>
      </w:r>
      <w:r w:rsidR="007E421D">
        <w:t xml:space="preserve">a </w:t>
      </w:r>
      <w:r w:rsidR="00724DC1">
        <w:t xml:space="preserve">Form 1099-C (for discharges of at least $600 during the calendar year) whether or not an actual discharge has occurred on or before the date of </w:t>
      </w:r>
      <w:r w:rsidR="007E421D">
        <w:t xml:space="preserve">the </w:t>
      </w:r>
      <w:r w:rsidR="00133289">
        <w:t>“identifiable event.”</w:t>
      </w:r>
      <w:r w:rsidR="00133289">
        <w:rPr>
          <w:rStyle w:val="EndnoteReference"/>
        </w:rPr>
        <w:endnoteReference w:id="1"/>
      </w:r>
      <w:r w:rsidR="00133289">
        <w:t xml:space="preserve">  </w:t>
      </w:r>
      <w:r w:rsidR="00724DC1">
        <w:t>The l</w:t>
      </w:r>
      <w:r w:rsidR="00133289">
        <w:t>ist of the identifiable events includes:</w:t>
      </w:r>
    </w:p>
    <w:p w:rsidR="00133289" w:rsidRDefault="00133289" w:rsidP="00133289">
      <w:pPr>
        <w:pStyle w:val="ListParagraph"/>
        <w:numPr>
          <w:ilvl w:val="0"/>
          <w:numId w:val="1"/>
        </w:numPr>
        <w:jc w:val="both"/>
      </w:pPr>
      <w:r>
        <w:t>Discharge in bankruptcy;</w:t>
      </w:r>
    </w:p>
    <w:p w:rsidR="00133289" w:rsidRDefault="00133289" w:rsidP="00133289">
      <w:pPr>
        <w:pStyle w:val="ListParagraph"/>
        <w:numPr>
          <w:ilvl w:val="0"/>
          <w:numId w:val="1"/>
        </w:numPr>
        <w:jc w:val="both"/>
      </w:pPr>
      <w:r>
        <w:t>Cancellation that renders debt unenforceable in receivership, foreclosure or similar proceeding;</w:t>
      </w:r>
    </w:p>
    <w:p w:rsidR="00133289" w:rsidRDefault="00133289" w:rsidP="00133289">
      <w:pPr>
        <w:pStyle w:val="ListParagraph"/>
        <w:numPr>
          <w:ilvl w:val="0"/>
          <w:numId w:val="1"/>
        </w:numPr>
        <w:jc w:val="both"/>
      </w:pPr>
      <w:r>
        <w:t>Unenforceability due to the expiration of the statute of limitations for collection or expiration of statutory period for commencing deficiency judgment proceedings;</w:t>
      </w:r>
    </w:p>
    <w:p w:rsidR="00133289" w:rsidRDefault="00133289" w:rsidP="00133289">
      <w:pPr>
        <w:pStyle w:val="ListParagraph"/>
        <w:numPr>
          <w:ilvl w:val="0"/>
          <w:numId w:val="1"/>
        </w:numPr>
        <w:jc w:val="both"/>
      </w:pPr>
      <w:r>
        <w:t xml:space="preserve">Cancellation pursuant </w:t>
      </w:r>
      <w:r w:rsidR="008168E3">
        <w:t>to a lender’s election to foreclose that statutorily extinguishes the lender’s right to pursue collection of the indebtedness;</w:t>
      </w:r>
    </w:p>
    <w:p w:rsidR="00F33227" w:rsidRDefault="00F33227" w:rsidP="00133289">
      <w:pPr>
        <w:pStyle w:val="ListParagraph"/>
        <w:numPr>
          <w:ilvl w:val="0"/>
          <w:numId w:val="1"/>
        </w:numPr>
        <w:jc w:val="both"/>
      </w:pPr>
      <w:r>
        <w:t xml:space="preserve">Cancellation or extinguishment of debt that renders it unenforceable pursuant to a probate or similar proceeding; </w:t>
      </w:r>
    </w:p>
    <w:p w:rsidR="008168E3" w:rsidRDefault="008168E3" w:rsidP="00133289">
      <w:pPr>
        <w:pStyle w:val="ListParagraph"/>
        <w:numPr>
          <w:ilvl w:val="0"/>
          <w:numId w:val="1"/>
        </w:numPr>
        <w:jc w:val="both"/>
      </w:pPr>
      <w:r>
        <w:t>Discharge pursuant to an agreement between a lender and debtor to discharge the debt for less than full consideration;</w:t>
      </w:r>
    </w:p>
    <w:p w:rsidR="008168E3" w:rsidRDefault="008168E3" w:rsidP="00133289">
      <w:pPr>
        <w:pStyle w:val="ListParagraph"/>
        <w:numPr>
          <w:ilvl w:val="0"/>
          <w:numId w:val="1"/>
        </w:numPr>
        <w:jc w:val="both"/>
      </w:pPr>
      <w:r>
        <w:t xml:space="preserve">Discharge pursuant to a lender’s decision or the application of defined policy of the lender to discontinue collection </w:t>
      </w:r>
      <w:r w:rsidR="00F33227">
        <w:t>activity and discharge the debt; and</w:t>
      </w:r>
    </w:p>
    <w:p w:rsidR="00F33227" w:rsidRDefault="00F33227" w:rsidP="00133289">
      <w:pPr>
        <w:pStyle w:val="ListParagraph"/>
        <w:numPr>
          <w:ilvl w:val="0"/>
          <w:numId w:val="1"/>
        </w:numPr>
        <w:jc w:val="both"/>
      </w:pPr>
      <w:r>
        <w:t>In the case of certain creditor entities, the expiration of the non-payment testing period</w:t>
      </w:r>
    </w:p>
    <w:p w:rsidR="009449C1" w:rsidRDefault="009449C1" w:rsidP="00F90E72">
      <w:pPr>
        <w:ind w:firstLine="720"/>
        <w:jc w:val="both"/>
      </w:pPr>
      <w:r>
        <w:t>In completing the Form 1099-C, entered in Box 6 is the identifiable event</w:t>
      </w:r>
      <w:r>
        <w:rPr>
          <w:rStyle w:val="EndnoteReference"/>
        </w:rPr>
        <w:endnoteReference w:id="2"/>
      </w:r>
      <w:r>
        <w:t xml:space="preserve"> relied upon by the creditor in </w:t>
      </w:r>
      <w:r w:rsidR="00255451">
        <w:t>reporting the discharge of</w:t>
      </w:r>
      <w:r>
        <w:t xml:space="preserve"> the debt.</w:t>
      </w:r>
    </w:p>
    <w:p w:rsidR="002E34DB" w:rsidRPr="00D5585E" w:rsidRDefault="00D5585E" w:rsidP="005D0B3E">
      <w:pPr>
        <w:ind w:firstLine="720"/>
        <w:jc w:val="both"/>
        <w:rPr>
          <w:b/>
        </w:rPr>
      </w:pPr>
      <w:r w:rsidRPr="00D5585E">
        <w:rPr>
          <w:b/>
        </w:rPr>
        <w:t>Q3</w:t>
      </w:r>
      <w:r w:rsidR="002F1D37" w:rsidRPr="00D5585E">
        <w:rPr>
          <w:b/>
        </w:rPr>
        <w:t>A.</w:t>
      </w:r>
      <w:r w:rsidR="002F1D37" w:rsidRPr="00D5585E">
        <w:rPr>
          <w:b/>
        </w:rPr>
        <w:tab/>
        <w:t xml:space="preserve">Does the issuance of a Form 1099-C </w:t>
      </w:r>
      <w:r w:rsidR="002E34DB" w:rsidRPr="00D5585E">
        <w:rPr>
          <w:b/>
        </w:rPr>
        <w:t>definitively establish</w:t>
      </w:r>
      <w:r w:rsidR="00F33227" w:rsidRPr="00D5585E">
        <w:rPr>
          <w:b/>
        </w:rPr>
        <w:t xml:space="preserve"> discharge of </w:t>
      </w:r>
      <w:r w:rsidR="00255451">
        <w:rPr>
          <w:b/>
        </w:rPr>
        <w:t>debt income</w:t>
      </w:r>
      <w:r w:rsidR="00F33227" w:rsidRPr="00D5585E">
        <w:rPr>
          <w:b/>
        </w:rPr>
        <w:t xml:space="preserve"> and/or</w:t>
      </w:r>
      <w:r w:rsidR="002E34DB" w:rsidRPr="00D5585E">
        <w:rPr>
          <w:b/>
        </w:rPr>
        <w:t xml:space="preserve"> the tax year in which it must be reported?</w:t>
      </w:r>
    </w:p>
    <w:p w:rsidR="009577E5" w:rsidRDefault="002E34DB" w:rsidP="005D0B3E">
      <w:pPr>
        <w:ind w:firstLine="720"/>
        <w:jc w:val="both"/>
      </w:pPr>
      <w:r>
        <w:t>No</w:t>
      </w:r>
      <w:r w:rsidR="00F33227">
        <w:t xml:space="preserve"> to both parts of the question</w:t>
      </w:r>
      <w:r>
        <w:t xml:space="preserve">.  As </w:t>
      </w:r>
      <w:r w:rsidR="00F33227">
        <w:t xml:space="preserve">to whether the issuance of a Form 1099-C definitively </w:t>
      </w:r>
      <w:proofErr w:type="gramStart"/>
      <w:r w:rsidR="00F33227">
        <w:t>establishes</w:t>
      </w:r>
      <w:proofErr w:type="gramEnd"/>
      <w:r w:rsidR="00F33227">
        <w:t xml:space="preserve"> discharge of debt income, the regulations state that the occurrence of an identifiable event is solely for the purpose of triggering the creditor’s reporting requirement.</w:t>
      </w:r>
      <w:r w:rsidR="00F33227">
        <w:rPr>
          <w:rStyle w:val="EndnoteReference"/>
        </w:rPr>
        <w:endnoteReference w:id="3"/>
      </w:r>
      <w:r w:rsidR="00F33227">
        <w:t xml:space="preserve">  Additionally, the regulations make it clear that the discharged debt must be reported </w:t>
      </w:r>
      <w:r w:rsidR="007E421D">
        <w:t xml:space="preserve">on Form 1099-C </w:t>
      </w:r>
      <w:r w:rsidR="00F33227">
        <w:t xml:space="preserve">without regard to whether </w:t>
      </w:r>
      <w:r w:rsidR="007E421D">
        <w:t xml:space="preserve">the debtor is required to include it </w:t>
      </w:r>
      <w:r w:rsidR="00F33227">
        <w:t>in gross income.</w:t>
      </w:r>
      <w:r w:rsidR="009577E5">
        <w:rPr>
          <w:rStyle w:val="EndnoteReference"/>
        </w:rPr>
        <w:endnoteReference w:id="4"/>
      </w:r>
      <w:r w:rsidR="00F33227">
        <w:t xml:space="preserve">  Therefore, in spite of receiving a Form 1099-C, the taxpayer may challenge </w:t>
      </w:r>
      <w:r w:rsidR="009577E5">
        <w:t>whether the discharged debt is subject to tax.</w:t>
      </w:r>
    </w:p>
    <w:p w:rsidR="009577E5" w:rsidRDefault="009577E5" w:rsidP="005D0B3E">
      <w:pPr>
        <w:ind w:firstLine="720"/>
        <w:jc w:val="both"/>
      </w:pPr>
      <w:r>
        <w:rPr>
          <w:i/>
        </w:rPr>
        <w:t>Example</w:t>
      </w:r>
      <w:r>
        <w:t xml:space="preserve">:  In 2015, Asher receives a Form 1099-C from a credit card company listing $100,000 of discharged debt.  However, before and after the discharge, Asher is insolvent.  Because of the insolvency </w:t>
      </w:r>
      <w:r w:rsidR="00255451">
        <w:t>exclusion</w:t>
      </w:r>
      <w:r w:rsidR="0034425F">
        <w:t xml:space="preserve"> (discussed in Q</w:t>
      </w:r>
      <w:r w:rsidR="007E421D">
        <w:t>10B</w:t>
      </w:r>
      <w:r>
        <w:t>), none of the discharged debt would be includible in gross income.</w:t>
      </w:r>
      <w:r w:rsidR="002F2CAB">
        <w:t xml:space="preserve">  </w:t>
      </w:r>
      <w:r w:rsidR="00255451">
        <w:lastRenderedPageBreak/>
        <w:t>Therefore, o</w:t>
      </w:r>
      <w:r w:rsidR="002F2CAB">
        <w:t>n Form 982 attached to Form 1040, Asher would check line 1b (discharge of indebtedness to the extent of insolvency)</w:t>
      </w:r>
      <w:r w:rsidR="00255451">
        <w:t xml:space="preserve"> for it to be excluded from gross income</w:t>
      </w:r>
      <w:r w:rsidR="002F2CAB">
        <w:t>.</w:t>
      </w:r>
    </w:p>
    <w:p w:rsidR="002E34DB" w:rsidRDefault="009577E5" w:rsidP="005D0B3E">
      <w:pPr>
        <w:ind w:firstLine="720"/>
        <w:jc w:val="both"/>
      </w:pPr>
      <w:r>
        <w:t xml:space="preserve">  As to whether the issuance of Form 1099-C definitively establishes the year of discharge, case law indicates that the tax</w:t>
      </w:r>
      <w:r w:rsidR="00C422EE">
        <w:t xml:space="preserve">payer may </w:t>
      </w:r>
      <w:r w:rsidR="00140E46">
        <w:t xml:space="preserve">contest whether </w:t>
      </w:r>
      <w:r w:rsidR="00C422EE">
        <w:t>the</w:t>
      </w:r>
      <w:r w:rsidR="002E34DB">
        <w:t xml:space="preserve"> identifiable event </w:t>
      </w:r>
      <w:r w:rsidR="00471936">
        <w:t xml:space="preserve">was correctly identified as well as whether it </w:t>
      </w:r>
      <w:r w:rsidR="00140E46">
        <w:t>actually occurred i</w:t>
      </w:r>
      <w:r w:rsidR="002E34DB">
        <w:t>n the year in which the Form 1099-C was issued</w:t>
      </w:r>
      <w:r w:rsidR="00C422EE">
        <w:t>.</w:t>
      </w:r>
      <w:r w:rsidR="00BE6B2B">
        <w:rPr>
          <w:rStyle w:val="EndnoteReference"/>
        </w:rPr>
        <w:endnoteReference w:id="5"/>
      </w:r>
      <w:r w:rsidR="002E34DB">
        <w:t xml:space="preserve"> </w:t>
      </w:r>
    </w:p>
    <w:p w:rsidR="00BE6B2B" w:rsidRDefault="00BE6B2B" w:rsidP="005D0B3E">
      <w:pPr>
        <w:ind w:firstLine="720"/>
        <w:jc w:val="both"/>
      </w:pPr>
      <w:r>
        <w:rPr>
          <w:i/>
        </w:rPr>
        <w:t>Example</w:t>
      </w:r>
      <w:r>
        <w:t xml:space="preserve">:  In 2000, Asher who was in default on credit card debt ceased making any payments.  </w:t>
      </w:r>
      <w:r w:rsidR="00140E46">
        <w:t xml:space="preserve">In 2004, </w:t>
      </w:r>
      <w:r>
        <w:t>the applicable statute of limitations for collection expired</w:t>
      </w:r>
      <w:r w:rsidR="00140E46">
        <w:t>.</w:t>
      </w:r>
      <w:r>
        <w:t xml:space="preserve">  Subsequently, in 2015, the credit card company issued a Form 1099-C to Asher reporting the </w:t>
      </w:r>
      <w:r w:rsidR="00471936">
        <w:t xml:space="preserve">discharge of the </w:t>
      </w:r>
      <w:r w:rsidR="00140E46">
        <w:t xml:space="preserve">delinquent </w:t>
      </w:r>
      <w:r>
        <w:t>credit card balance</w:t>
      </w:r>
      <w:r w:rsidR="009449C1">
        <w:t xml:space="preserve"> (listing Code C in Box 6 -- statute of limitations or expiration of deficiency period as identifiable event)</w:t>
      </w:r>
      <w:r w:rsidR="00C422EE">
        <w:t xml:space="preserve">.  </w:t>
      </w:r>
      <w:r>
        <w:t xml:space="preserve">Since the </w:t>
      </w:r>
      <w:r w:rsidR="009449C1">
        <w:t xml:space="preserve">statute of limitations expired in </w:t>
      </w:r>
      <w:r>
        <w:t xml:space="preserve">2004, the Form 1099-C </w:t>
      </w:r>
      <w:r w:rsidR="009449C1">
        <w:t xml:space="preserve">was </w:t>
      </w:r>
      <w:r>
        <w:t xml:space="preserve">issued in </w:t>
      </w:r>
      <w:r w:rsidR="009449C1">
        <w:t>the wrong year</w:t>
      </w:r>
      <w:r>
        <w:t xml:space="preserve">.  Thus, Asher </w:t>
      </w:r>
      <w:r w:rsidR="0034425F">
        <w:t xml:space="preserve">may </w:t>
      </w:r>
      <w:r w:rsidR="009449C1">
        <w:t>contest the inclusion of the discharge of debt income for tax year 2015</w:t>
      </w:r>
      <w:r>
        <w:t>.</w:t>
      </w:r>
      <w:r>
        <w:rPr>
          <w:rStyle w:val="FootnoteReference"/>
        </w:rPr>
        <w:footnoteReference w:id="1"/>
      </w:r>
    </w:p>
    <w:p w:rsidR="002F1D37" w:rsidRPr="00D5585E" w:rsidRDefault="00D5585E" w:rsidP="005D0B3E">
      <w:pPr>
        <w:ind w:firstLine="720"/>
        <w:jc w:val="both"/>
        <w:rPr>
          <w:b/>
        </w:rPr>
      </w:pPr>
      <w:r w:rsidRPr="00D5585E">
        <w:rPr>
          <w:b/>
        </w:rPr>
        <w:t>Q3B</w:t>
      </w:r>
      <w:r w:rsidR="00BE6B2B" w:rsidRPr="00D5585E">
        <w:rPr>
          <w:b/>
        </w:rPr>
        <w:t>.  Does the issuance of a Form 1099-</w:t>
      </w:r>
      <w:r w:rsidR="00140E46">
        <w:rPr>
          <w:b/>
        </w:rPr>
        <w:t>C</w:t>
      </w:r>
      <w:r w:rsidR="00BE6B2B" w:rsidRPr="00D5585E">
        <w:rPr>
          <w:b/>
        </w:rPr>
        <w:t xml:space="preserve"> bar </w:t>
      </w:r>
      <w:r w:rsidR="00140E46">
        <w:rPr>
          <w:b/>
        </w:rPr>
        <w:t xml:space="preserve">the creditor </w:t>
      </w:r>
      <w:r w:rsidR="002F1D37" w:rsidRPr="00D5585E">
        <w:rPr>
          <w:b/>
        </w:rPr>
        <w:t>from pursuing subsequent collection against the debtor?</w:t>
      </w:r>
    </w:p>
    <w:p w:rsidR="002F1D37" w:rsidRDefault="002F1D37" w:rsidP="005D0B3E">
      <w:pPr>
        <w:ind w:firstLine="720"/>
        <w:jc w:val="both"/>
      </w:pPr>
      <w:r>
        <w:t xml:space="preserve">Similar to income reported on </w:t>
      </w:r>
      <w:r w:rsidR="00471936">
        <w:t xml:space="preserve">any </w:t>
      </w:r>
      <w:r>
        <w:t xml:space="preserve">Form 1099 issued to the taxpayer, </w:t>
      </w:r>
      <w:r w:rsidR="00C422EE">
        <w:t>a</w:t>
      </w:r>
      <w:r>
        <w:t>bsent</w:t>
      </w:r>
      <w:r w:rsidR="0034425F">
        <w:t xml:space="preserve"> any exc</w:t>
      </w:r>
      <w:r w:rsidR="00140E46">
        <w:t>lusions</w:t>
      </w:r>
      <w:r w:rsidR="0034425F">
        <w:t xml:space="preserve"> (discussed in Q</w:t>
      </w:r>
      <w:r w:rsidR="00140E46">
        <w:t>10, Q11 and Q12</w:t>
      </w:r>
      <w:r>
        <w:t>)</w:t>
      </w:r>
      <w:r w:rsidR="00140E46">
        <w:t xml:space="preserve"> or other legal defenses,</w:t>
      </w:r>
      <w:r>
        <w:t xml:space="preserve"> the discharged debtor must include </w:t>
      </w:r>
      <w:r w:rsidR="00C422EE">
        <w:t xml:space="preserve">the amount of </w:t>
      </w:r>
      <w:r w:rsidR="0034425F">
        <w:t xml:space="preserve">the forgiven </w:t>
      </w:r>
      <w:r w:rsidR="00C422EE">
        <w:t xml:space="preserve">debt listed on Form 1099-C </w:t>
      </w:r>
      <w:r w:rsidR="00F563F3">
        <w:t>(and pay the resulting tax)</w:t>
      </w:r>
      <w:r>
        <w:t xml:space="preserve"> in the year in which </w:t>
      </w:r>
      <w:r w:rsidR="00C422EE">
        <w:t>it is</w:t>
      </w:r>
      <w:r>
        <w:t xml:space="preserve"> issued.  </w:t>
      </w:r>
      <w:r w:rsidR="00C422EE">
        <w:t>Under those circumstance, s</w:t>
      </w:r>
      <w:r>
        <w:t xml:space="preserve">hould the creditor who issued the Form 1099-C be </w:t>
      </w:r>
      <w:r w:rsidR="00B52003">
        <w:t xml:space="preserve">barred </w:t>
      </w:r>
      <w:r>
        <w:t xml:space="preserve">from pursuing a collection action against the debtor?  Obviously, </w:t>
      </w:r>
      <w:r w:rsidR="00B52003">
        <w:t xml:space="preserve">if the creditor </w:t>
      </w:r>
      <w:r w:rsidR="00471936">
        <w:t>can</w:t>
      </w:r>
      <w:r w:rsidR="00140E46">
        <w:t xml:space="preserve"> </w:t>
      </w:r>
      <w:r w:rsidR="00B52003">
        <w:t>pursue collection</w:t>
      </w:r>
      <w:r>
        <w:t xml:space="preserve">, it would seem to be unfair to the debtor who paid tax </w:t>
      </w:r>
      <w:r w:rsidR="00471936">
        <w:t xml:space="preserve">based </w:t>
      </w:r>
      <w:r w:rsidR="00C422EE">
        <w:t xml:space="preserve">on the amount of </w:t>
      </w:r>
      <w:r w:rsidR="007E682F">
        <w:t xml:space="preserve">the reported </w:t>
      </w:r>
      <w:r w:rsidR="00C422EE">
        <w:t>discharged debt</w:t>
      </w:r>
      <w:r w:rsidR="007E682F">
        <w:t>.  Stated d</w:t>
      </w:r>
      <w:r>
        <w:t xml:space="preserve">ifferently, should a Form 1099-C </w:t>
      </w:r>
      <w:r w:rsidR="00140E46">
        <w:t xml:space="preserve">issued by a creditor </w:t>
      </w:r>
      <w:r>
        <w:t xml:space="preserve">be considered as a legally binding acknowledgement </w:t>
      </w:r>
      <w:r w:rsidR="009449C1">
        <w:t xml:space="preserve">that the amount reported is </w:t>
      </w:r>
      <w:r w:rsidR="007E682F">
        <w:t xml:space="preserve">in fact </w:t>
      </w:r>
      <w:r w:rsidR="009449C1">
        <w:t>discharged for all purposes</w:t>
      </w:r>
      <w:r>
        <w:t>?</w:t>
      </w:r>
    </w:p>
    <w:p w:rsidR="00F563F3" w:rsidRDefault="00F563F3" w:rsidP="00F563F3">
      <w:pPr>
        <w:ind w:firstLine="720"/>
        <w:jc w:val="both"/>
      </w:pPr>
      <w:r>
        <w:rPr>
          <w:i/>
        </w:rPr>
        <w:t>Example</w:t>
      </w:r>
      <w:r w:rsidR="00B95C0A">
        <w:t>:  In 2014</w:t>
      </w:r>
      <w:r>
        <w:t xml:space="preserve">, Asher who was in default on credit card debt ceased making any payments.  </w:t>
      </w:r>
      <w:r w:rsidR="00471936">
        <w:t>T</w:t>
      </w:r>
      <w:r>
        <w:t>he applicable statute of limitations for collection would not expire until 201</w:t>
      </w:r>
      <w:r w:rsidR="00B95C0A">
        <w:t>7</w:t>
      </w:r>
      <w:r>
        <w:t>. In 2015, with no communication with Asher regarding the discharge of the credit card debt, the credit ca</w:t>
      </w:r>
      <w:r w:rsidR="00B95C0A">
        <w:t>rd company issues</w:t>
      </w:r>
      <w:r>
        <w:t xml:space="preserve"> a Form 1099-C</w:t>
      </w:r>
      <w:r w:rsidR="009449C1">
        <w:t xml:space="preserve"> (Code G</w:t>
      </w:r>
      <w:r w:rsidR="007E682F">
        <w:t xml:space="preserve"> --</w:t>
      </w:r>
      <w:r w:rsidR="009449C1">
        <w:t xml:space="preserve"> decision to discontinue collection)</w:t>
      </w:r>
      <w:r w:rsidR="00B95C0A">
        <w:t>.</w:t>
      </w:r>
      <w:r>
        <w:t xml:space="preserve">  </w:t>
      </w:r>
      <w:r w:rsidR="00140E46">
        <w:t xml:space="preserve">For the 2015 tax year, </w:t>
      </w:r>
      <w:r>
        <w:t xml:space="preserve">Asher reports the discharged credit card debt as income and pays the corresponding tax.  </w:t>
      </w:r>
      <w:r w:rsidR="00B95C0A">
        <w:t xml:space="preserve">Subsequently, in </w:t>
      </w:r>
      <w:r>
        <w:t xml:space="preserve">2016, prior to the expiration of the limitation period, the credit card company </w:t>
      </w:r>
      <w:r w:rsidR="00140E46">
        <w:t>sues Asher for nonpayment</w:t>
      </w:r>
      <w:r>
        <w:t>.</w:t>
      </w:r>
      <w:r w:rsidR="00B95C0A">
        <w:t xml:space="preserve">  Can Asher raise the 2015 issuance of the Form 1099-C as a defense? </w:t>
      </w:r>
    </w:p>
    <w:p w:rsidR="00D04621" w:rsidRDefault="00D04621" w:rsidP="00F563F3">
      <w:pPr>
        <w:ind w:firstLine="720"/>
        <w:jc w:val="both"/>
      </w:pPr>
      <w:r>
        <w:t xml:space="preserve">As to whether </w:t>
      </w:r>
      <w:r w:rsidR="007E682F">
        <w:t>the issuance of a</w:t>
      </w:r>
      <w:r>
        <w:t xml:space="preserve"> Form 1099-C </w:t>
      </w:r>
      <w:r w:rsidR="00140E46">
        <w:t xml:space="preserve">bars a creditor from pursuing </w:t>
      </w:r>
      <w:r>
        <w:t xml:space="preserve">collection, there is a split of authority.  </w:t>
      </w:r>
      <w:r w:rsidR="00F52D77">
        <w:t>Although it may seem counterintuitive, a</w:t>
      </w:r>
      <w:r>
        <w:t>ccording to the majority view,</w:t>
      </w:r>
      <w:r w:rsidR="00B95C0A">
        <w:t xml:space="preserve"> </w:t>
      </w:r>
      <w:r w:rsidR="00140E46">
        <w:t xml:space="preserve">it </w:t>
      </w:r>
      <w:r w:rsidR="00B95C0A">
        <w:t>does not bar the creditor from pursuing a legal collection action against the debtor.</w:t>
      </w:r>
      <w:r w:rsidR="00B95C0A">
        <w:rPr>
          <w:rStyle w:val="EndnoteReference"/>
        </w:rPr>
        <w:endnoteReference w:id="6"/>
      </w:r>
      <w:r>
        <w:t xml:space="preserve"> </w:t>
      </w:r>
      <w:r w:rsidR="00B95C0A">
        <w:t xml:space="preserve">  Conversely, </w:t>
      </w:r>
      <w:r w:rsidR="00140E46">
        <w:t xml:space="preserve">relying on equitable principles of estoppel, the minority view </w:t>
      </w:r>
      <w:r w:rsidR="00B95C0A">
        <w:t>bars the creditor</w:t>
      </w:r>
      <w:r w:rsidR="00140E46">
        <w:t xml:space="preserve"> issuing the Form 1099-C</w:t>
      </w:r>
      <w:r w:rsidR="00B95C0A">
        <w:t xml:space="preserve"> from</w:t>
      </w:r>
      <w:r w:rsidR="00471936">
        <w:t xml:space="preserve"> </w:t>
      </w:r>
      <w:proofErr w:type="spellStart"/>
      <w:r w:rsidR="00471936">
        <w:t>subequently</w:t>
      </w:r>
      <w:proofErr w:type="spellEnd"/>
      <w:r w:rsidR="00B95C0A">
        <w:t xml:space="preserve"> pursuing collection against the debtor.</w:t>
      </w:r>
      <w:r w:rsidR="00B95C0A">
        <w:rPr>
          <w:rStyle w:val="EndnoteReference"/>
        </w:rPr>
        <w:endnoteReference w:id="7"/>
      </w:r>
    </w:p>
    <w:p w:rsidR="00B95C0A" w:rsidRPr="00D5585E" w:rsidRDefault="00D5585E" w:rsidP="00F563F3">
      <w:pPr>
        <w:ind w:firstLine="720"/>
        <w:jc w:val="both"/>
        <w:rPr>
          <w:b/>
        </w:rPr>
      </w:pPr>
      <w:r w:rsidRPr="00D5585E">
        <w:rPr>
          <w:b/>
        </w:rPr>
        <w:t>Q3C</w:t>
      </w:r>
      <w:r w:rsidR="008724CE" w:rsidRPr="00D5585E">
        <w:rPr>
          <w:b/>
        </w:rPr>
        <w:t>.</w:t>
      </w:r>
      <w:r w:rsidR="008724CE" w:rsidRPr="00D5585E">
        <w:rPr>
          <w:b/>
        </w:rPr>
        <w:tab/>
        <w:t>What course of action is advised for a taxpayer who receives a Form 1099-C?</w:t>
      </w:r>
    </w:p>
    <w:p w:rsidR="008724CE" w:rsidRDefault="008724CE" w:rsidP="00F563F3">
      <w:pPr>
        <w:ind w:firstLine="720"/>
        <w:jc w:val="both"/>
      </w:pPr>
      <w:r>
        <w:t xml:space="preserve">Based on the discussion in </w:t>
      </w:r>
      <w:r w:rsidR="00D5585E">
        <w:t>Q3</w:t>
      </w:r>
      <w:r>
        <w:t>A and B, above, a taxpayer who receives a Form 1099-C has</w:t>
      </w:r>
      <w:r w:rsidR="006A6473">
        <w:t xml:space="preserve"> the</w:t>
      </w:r>
      <w:r>
        <w:t xml:space="preserve"> following two concerns:  (1) Has the debt been formally discharged by the creditor, and, if so, </w:t>
      </w:r>
      <w:r w:rsidR="00471936">
        <w:t>was it discharged in that year</w:t>
      </w:r>
      <w:r>
        <w:t xml:space="preserve">; and, (2) Is the </w:t>
      </w:r>
      <w:r w:rsidR="007E682F">
        <w:t>discharge of debt taxable</w:t>
      </w:r>
      <w:r w:rsidR="00B52003">
        <w:t>?</w:t>
      </w:r>
    </w:p>
    <w:p w:rsidR="008724CE" w:rsidRDefault="008724CE" w:rsidP="00F563F3">
      <w:pPr>
        <w:ind w:firstLine="720"/>
        <w:jc w:val="both"/>
      </w:pPr>
      <w:r>
        <w:lastRenderedPageBreak/>
        <w:t xml:space="preserve">As to the first </w:t>
      </w:r>
      <w:r w:rsidR="00B52003">
        <w:t>concern</w:t>
      </w:r>
      <w:r>
        <w:t xml:space="preserve">, based on the majority view discussed in </w:t>
      </w:r>
      <w:r w:rsidR="00D5585E">
        <w:t>Q3</w:t>
      </w:r>
      <w:r>
        <w:t xml:space="preserve">B, the taxpayer should contact the creditor to request formal confirmation of its discharge of the debt as well as the year of discharge.  </w:t>
      </w:r>
      <w:r w:rsidR="00E43701">
        <w:t xml:space="preserve"> </w:t>
      </w:r>
      <w:r>
        <w:t>By securing a formal confirmation, the creditor would be barred from pursuing legal action against the taxpayer.  If the creditor fails to provide the taxpayer with formal confirmation, the taxpayer should</w:t>
      </w:r>
      <w:r w:rsidR="007E682F">
        <w:t xml:space="preserve"> attempt to ascertain the validity of </w:t>
      </w:r>
      <w:r>
        <w:t>the identifiable event the creditor relied upon in issuing the Form 1099-C.</w:t>
      </w:r>
    </w:p>
    <w:p w:rsidR="000146E1" w:rsidRDefault="008724CE" w:rsidP="00F563F3">
      <w:pPr>
        <w:ind w:firstLine="720"/>
        <w:jc w:val="both"/>
      </w:pPr>
      <w:r>
        <w:rPr>
          <w:i/>
        </w:rPr>
        <w:t>Example</w:t>
      </w:r>
      <w:r>
        <w:t xml:space="preserve">:  In 2015, Asher received a Form 1099-C from a credit card company.  </w:t>
      </w:r>
      <w:r w:rsidR="00E43701">
        <w:t>In Box 6</w:t>
      </w:r>
      <w:r w:rsidR="00471936">
        <w:t xml:space="preserve">, </w:t>
      </w:r>
      <w:r w:rsidR="00E43701">
        <w:t>Code G (decision or policy to discontinue collection)</w:t>
      </w:r>
      <w:r w:rsidR="00471936">
        <w:t xml:space="preserve"> was entered</w:t>
      </w:r>
      <w:r w:rsidR="00E43701">
        <w:t xml:space="preserve">.  </w:t>
      </w:r>
      <w:r>
        <w:t xml:space="preserve">Although Asher requested a formal confirmation of </w:t>
      </w:r>
      <w:r w:rsidR="00E43701">
        <w:t xml:space="preserve">the </w:t>
      </w:r>
      <w:r>
        <w:t xml:space="preserve">discharge </w:t>
      </w:r>
      <w:r w:rsidR="007E682F">
        <w:t>in 2015</w:t>
      </w:r>
      <w:r>
        <w:t xml:space="preserve">, the credit card company failed to respond.  </w:t>
      </w:r>
      <w:r w:rsidR="00E43701">
        <w:t xml:space="preserve">Upon further review of his documentation, Asher ascertained </w:t>
      </w:r>
      <w:r w:rsidR="00B00F59">
        <w:t xml:space="preserve">the credit card debt was incurred in 2004 and the applicable statute of limitations for collection expired in 2007.  </w:t>
      </w:r>
      <w:r w:rsidR="00E43701">
        <w:t>Therefore, Code C (statute of limitations or expiration of deficiency period) was the proper ide</w:t>
      </w:r>
      <w:r w:rsidR="007E682F">
        <w:t>ntifiable event that should have been reported in 2007.</w:t>
      </w:r>
      <w:r w:rsidR="00E43701">
        <w:t xml:space="preserve">  </w:t>
      </w:r>
      <w:r w:rsidR="00530052">
        <w:t xml:space="preserve">Based on that information, </w:t>
      </w:r>
      <w:r w:rsidR="000146E1">
        <w:t xml:space="preserve">Asher can challenge the inclusion of the discharged debt as income in 2015 as well as defend any subsequent collection action initiated by the credit card company.  </w:t>
      </w:r>
    </w:p>
    <w:p w:rsidR="008724CE" w:rsidRDefault="000146E1" w:rsidP="00F563F3">
      <w:pPr>
        <w:ind w:firstLine="720"/>
        <w:jc w:val="both"/>
      </w:pPr>
      <w:r>
        <w:t xml:space="preserve">As to </w:t>
      </w:r>
      <w:r w:rsidR="006A6473">
        <w:t xml:space="preserve">the second concern, </w:t>
      </w:r>
      <w:r>
        <w:t xml:space="preserve">the receipt of a Form 1099-C </w:t>
      </w:r>
      <w:r w:rsidR="00B52003">
        <w:t xml:space="preserve">reporting a substantial amount of discharged debt </w:t>
      </w:r>
      <w:r>
        <w:t xml:space="preserve">can be a daunting experience </w:t>
      </w:r>
      <w:r w:rsidR="006A6473">
        <w:t xml:space="preserve">because of a </w:t>
      </w:r>
      <w:r w:rsidR="003204B8">
        <w:t xml:space="preserve">large </w:t>
      </w:r>
      <w:r w:rsidR="006A6473">
        <w:t>potential tax liability</w:t>
      </w:r>
      <w:r>
        <w:t xml:space="preserve">.  As discussed in </w:t>
      </w:r>
      <w:r w:rsidR="00D5585E">
        <w:t>Q3</w:t>
      </w:r>
      <w:r>
        <w:t>, however, a Form 1099-C is simply a reporting requirement of the creditor and does not establish whether the amount reported is taxable to the debtor.  For that reason, the taxpayer should</w:t>
      </w:r>
      <w:r w:rsidR="0034425F">
        <w:t xml:space="preserve"> consider the various exc</w:t>
      </w:r>
      <w:r w:rsidR="006A6473">
        <w:t xml:space="preserve">lusions </w:t>
      </w:r>
      <w:r w:rsidR="0034425F">
        <w:t>(discussed in Q</w:t>
      </w:r>
      <w:r w:rsidR="006A6473">
        <w:t>10 and Q12</w:t>
      </w:r>
      <w:r w:rsidR="0034425F">
        <w:t>)</w:t>
      </w:r>
      <w:r>
        <w:t xml:space="preserve"> that may apply to render all or part of the discharged debt non-taxable.  </w:t>
      </w:r>
    </w:p>
    <w:p w:rsidR="00133289" w:rsidRDefault="000146E1" w:rsidP="000146E1">
      <w:pPr>
        <w:ind w:firstLine="720"/>
        <w:jc w:val="both"/>
      </w:pPr>
      <w:r>
        <w:rPr>
          <w:i/>
        </w:rPr>
        <w:t>Example</w:t>
      </w:r>
      <w:r>
        <w:t>:  In 2015, Asher received a Form 1099-C from a credit card company</w:t>
      </w:r>
      <w:r w:rsidR="00DF634B">
        <w:t xml:space="preserve"> reporting a substantial amount of discharged debt</w:t>
      </w:r>
      <w:r>
        <w:t xml:space="preserve">.  However, the debt reported on the Form 1099-C was discharged in bankruptcy.  Because debt discharged in bankruptcy is excluded from gross income, Asher would not be taxed on such income. </w:t>
      </w:r>
      <w:r w:rsidR="00635FD9">
        <w:t xml:space="preserve">  Attaching Form 982 to his 2015 Form 1040, Asher should check line 1a</w:t>
      </w:r>
      <w:r w:rsidR="00530052">
        <w:t>; and, thus exclude it from gross income.</w:t>
      </w:r>
    </w:p>
    <w:p w:rsidR="00133289" w:rsidRDefault="00133289"/>
    <w:sectPr w:rsidR="0013328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89" w:rsidRDefault="00133289" w:rsidP="00133289">
      <w:pPr>
        <w:spacing w:after="0" w:line="240" w:lineRule="auto"/>
      </w:pPr>
      <w:r>
        <w:separator/>
      </w:r>
    </w:p>
  </w:endnote>
  <w:endnote w:type="continuationSeparator" w:id="0">
    <w:p w:rsidR="00133289" w:rsidRDefault="00133289" w:rsidP="00133289">
      <w:pPr>
        <w:spacing w:after="0" w:line="240" w:lineRule="auto"/>
      </w:pPr>
      <w:r>
        <w:continuationSeparator/>
      </w:r>
    </w:p>
  </w:endnote>
  <w:endnote w:id="1">
    <w:p w:rsidR="00133289" w:rsidRPr="00F33227" w:rsidRDefault="00F33227" w:rsidP="00F33227">
      <w:pPr>
        <w:pStyle w:val="EndnoteText"/>
        <w:rPr>
          <w:sz w:val="18"/>
          <w:szCs w:val="18"/>
        </w:rPr>
      </w:pPr>
      <w:proofErr w:type="gramStart"/>
      <w:r>
        <w:rPr>
          <w:sz w:val="18"/>
          <w:szCs w:val="18"/>
        </w:rPr>
        <w:t>1.Treas</w:t>
      </w:r>
      <w:proofErr w:type="gramEnd"/>
      <w:r>
        <w:rPr>
          <w:sz w:val="18"/>
          <w:szCs w:val="18"/>
        </w:rPr>
        <w:t>. Reg.  § 1.6050P-1(a</w:t>
      </w:r>
      <w:proofErr w:type="gramStart"/>
      <w:r>
        <w:rPr>
          <w:sz w:val="18"/>
          <w:szCs w:val="18"/>
        </w:rPr>
        <w:t>)</w:t>
      </w:r>
      <w:r w:rsidR="009577E5">
        <w:rPr>
          <w:sz w:val="18"/>
          <w:szCs w:val="18"/>
        </w:rPr>
        <w:t>(</w:t>
      </w:r>
      <w:proofErr w:type="gramEnd"/>
      <w:r w:rsidR="009577E5">
        <w:rPr>
          <w:sz w:val="18"/>
          <w:szCs w:val="18"/>
        </w:rPr>
        <w:t>1)</w:t>
      </w:r>
      <w:r>
        <w:rPr>
          <w:sz w:val="18"/>
          <w:szCs w:val="18"/>
        </w:rPr>
        <w:t xml:space="preserve">. </w:t>
      </w:r>
    </w:p>
  </w:endnote>
  <w:endnote w:id="2">
    <w:p w:rsidR="009449C1" w:rsidRDefault="009449C1">
      <w:pPr>
        <w:pStyle w:val="EndnoteText"/>
      </w:pPr>
      <w:r>
        <w:rPr>
          <w:rStyle w:val="EndnoteReference"/>
        </w:rPr>
        <w:endnoteRef/>
      </w:r>
      <w:r>
        <w:t xml:space="preserve"> Each identifiable event is assigned a letter (A through I).  </w:t>
      </w:r>
    </w:p>
  </w:endnote>
  <w:endnote w:id="3">
    <w:p w:rsidR="00F33227" w:rsidRDefault="00F33227" w:rsidP="00F33227">
      <w:pPr>
        <w:pStyle w:val="EndnoteText"/>
        <w:ind w:right="-450"/>
      </w:pPr>
      <w:r>
        <w:rPr>
          <w:rStyle w:val="EndnoteReference"/>
        </w:rPr>
        <w:endnoteRef/>
      </w:r>
      <w:r>
        <w:t xml:space="preserve"> Treas. Reg. § 1.6050P-1(a</w:t>
      </w:r>
      <w:proofErr w:type="gramStart"/>
      <w:r>
        <w:t>)</w:t>
      </w:r>
      <w:r w:rsidR="009577E5">
        <w:t>(</w:t>
      </w:r>
      <w:proofErr w:type="gramEnd"/>
      <w:r w:rsidR="009577E5">
        <w:t>1)</w:t>
      </w:r>
      <w:r>
        <w:t>.</w:t>
      </w:r>
    </w:p>
  </w:endnote>
  <w:endnote w:id="4">
    <w:p w:rsidR="009577E5" w:rsidRDefault="009577E5">
      <w:pPr>
        <w:pStyle w:val="EndnoteText"/>
      </w:pPr>
      <w:r>
        <w:rPr>
          <w:rStyle w:val="EndnoteReference"/>
        </w:rPr>
        <w:endnoteRef/>
      </w:r>
      <w:r>
        <w:t xml:space="preserve"> Treas. Reg. § 1.6050-1(a)(3)</w:t>
      </w:r>
    </w:p>
  </w:endnote>
  <w:endnote w:id="5">
    <w:p w:rsidR="00BE6B2B" w:rsidRPr="00BE6B2B" w:rsidRDefault="00BE6B2B">
      <w:pPr>
        <w:pStyle w:val="EndnoteText"/>
      </w:pPr>
      <w:r>
        <w:rPr>
          <w:rStyle w:val="EndnoteReference"/>
        </w:rPr>
        <w:endnoteRef/>
      </w:r>
      <w:r w:rsidR="00F563F3">
        <w:t xml:space="preserve"> See</w:t>
      </w:r>
      <w:r>
        <w:t xml:space="preserve"> </w:t>
      </w:r>
      <w:r>
        <w:rPr>
          <w:i/>
        </w:rPr>
        <w:t xml:space="preserve">Bacon v. Commissioner, </w:t>
      </w:r>
      <w:r>
        <w:t>T.C. Summary Opinion 2015-15 (March 2, 2015).</w:t>
      </w:r>
    </w:p>
  </w:endnote>
  <w:endnote w:id="6">
    <w:p w:rsidR="00B95C0A" w:rsidRPr="00B95C0A" w:rsidRDefault="00B95C0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i/>
        </w:rPr>
        <w:t>Mennes</w:t>
      </w:r>
      <w:proofErr w:type="spellEnd"/>
      <w:r>
        <w:rPr>
          <w:i/>
        </w:rPr>
        <w:t xml:space="preserve"> v. Capital One, NA</w:t>
      </w:r>
      <w:r>
        <w:t xml:space="preserve">, (W.D. Wisc. 2015); </w:t>
      </w:r>
      <w:r>
        <w:rPr>
          <w:i/>
        </w:rPr>
        <w:t>FDIC v. Cashion</w:t>
      </w:r>
      <w:r>
        <w:t>, 720 F. 3d 169 (4</w:t>
      </w:r>
      <w:r w:rsidRPr="00B95C0A">
        <w:rPr>
          <w:vertAlign w:val="superscript"/>
        </w:rPr>
        <w:t>th</w:t>
      </w:r>
      <w:r>
        <w:t xml:space="preserve"> Cir. 2013).</w:t>
      </w:r>
    </w:p>
  </w:endnote>
  <w:endnote w:id="7">
    <w:p w:rsidR="00B95C0A" w:rsidRPr="00B95C0A" w:rsidRDefault="00B95C0A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In Re Reed</w:t>
      </w:r>
      <w:r>
        <w:t>, 492 B.R. 261 (</w:t>
      </w:r>
      <w:proofErr w:type="spellStart"/>
      <w:r>
        <w:t>Barkr</w:t>
      </w:r>
      <w:proofErr w:type="spellEnd"/>
      <w:r>
        <w:t xml:space="preserve">. E.D. Tenn. 2013); </w:t>
      </w:r>
      <w:r>
        <w:rPr>
          <w:i/>
        </w:rPr>
        <w:t>In Re Crosby</w:t>
      </w:r>
      <w:r>
        <w:t>, 261 B.R. 470 (</w:t>
      </w:r>
      <w:proofErr w:type="spellStart"/>
      <w:r>
        <w:t>Bankr</w:t>
      </w:r>
      <w:proofErr w:type="spellEnd"/>
      <w:r>
        <w:t>, Kan. 2001).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89" w:rsidRDefault="00133289" w:rsidP="00133289">
      <w:pPr>
        <w:spacing w:after="0" w:line="240" w:lineRule="auto"/>
      </w:pPr>
      <w:r>
        <w:separator/>
      </w:r>
    </w:p>
  </w:footnote>
  <w:footnote w:type="continuationSeparator" w:id="0">
    <w:p w:rsidR="00133289" w:rsidRDefault="00133289" w:rsidP="00133289">
      <w:pPr>
        <w:spacing w:after="0" w:line="240" w:lineRule="auto"/>
      </w:pPr>
      <w:r>
        <w:continuationSeparator/>
      </w:r>
    </w:p>
  </w:footnote>
  <w:footnote w:id="1">
    <w:p w:rsidR="00BE6B2B" w:rsidRDefault="00BE6B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Bacon v. Commissioner, </w:t>
      </w:r>
      <w:r>
        <w:t>T.C. Summary Opinion 2015-15 (March 2, 2015).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45635"/>
    <w:multiLevelType w:val="hybridMultilevel"/>
    <w:tmpl w:val="2DB49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80E72"/>
    <w:multiLevelType w:val="hybridMultilevel"/>
    <w:tmpl w:val="DECA6E1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75775D6"/>
    <w:multiLevelType w:val="hybridMultilevel"/>
    <w:tmpl w:val="F97C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9"/>
    <w:rsid w:val="000146E1"/>
    <w:rsid w:val="0005579B"/>
    <w:rsid w:val="00065372"/>
    <w:rsid w:val="00096CD7"/>
    <w:rsid w:val="000B6D80"/>
    <w:rsid w:val="000D1B69"/>
    <w:rsid w:val="000D1DD3"/>
    <w:rsid w:val="000D309C"/>
    <w:rsid w:val="000E45CF"/>
    <w:rsid w:val="00133289"/>
    <w:rsid w:val="001407DD"/>
    <w:rsid w:val="00140E46"/>
    <w:rsid w:val="001666CE"/>
    <w:rsid w:val="00181171"/>
    <w:rsid w:val="00187E18"/>
    <w:rsid w:val="001971A1"/>
    <w:rsid w:val="001B2277"/>
    <w:rsid w:val="001E102C"/>
    <w:rsid w:val="001E5EBD"/>
    <w:rsid w:val="001E78AF"/>
    <w:rsid w:val="002123D7"/>
    <w:rsid w:val="0021418D"/>
    <w:rsid w:val="0022572F"/>
    <w:rsid w:val="0022797E"/>
    <w:rsid w:val="00237C29"/>
    <w:rsid w:val="00252809"/>
    <w:rsid w:val="00255451"/>
    <w:rsid w:val="0026464D"/>
    <w:rsid w:val="00291BDA"/>
    <w:rsid w:val="00294E96"/>
    <w:rsid w:val="002D0438"/>
    <w:rsid w:val="002D2650"/>
    <w:rsid w:val="002E1FB1"/>
    <w:rsid w:val="002E34DB"/>
    <w:rsid w:val="002F1D37"/>
    <w:rsid w:val="002F2CAB"/>
    <w:rsid w:val="00311593"/>
    <w:rsid w:val="003204B8"/>
    <w:rsid w:val="003216BF"/>
    <w:rsid w:val="00337C0C"/>
    <w:rsid w:val="0034425F"/>
    <w:rsid w:val="00352E4A"/>
    <w:rsid w:val="0035310E"/>
    <w:rsid w:val="0038766E"/>
    <w:rsid w:val="0039412E"/>
    <w:rsid w:val="003A4CF8"/>
    <w:rsid w:val="003A58B0"/>
    <w:rsid w:val="003C245D"/>
    <w:rsid w:val="003D5CD7"/>
    <w:rsid w:val="003E7EA0"/>
    <w:rsid w:val="003F1422"/>
    <w:rsid w:val="003F2893"/>
    <w:rsid w:val="0041187E"/>
    <w:rsid w:val="004501EA"/>
    <w:rsid w:val="00450A73"/>
    <w:rsid w:val="0045112A"/>
    <w:rsid w:val="00471936"/>
    <w:rsid w:val="00484F54"/>
    <w:rsid w:val="00487562"/>
    <w:rsid w:val="004A01B9"/>
    <w:rsid w:val="004B18D5"/>
    <w:rsid w:val="004B1A85"/>
    <w:rsid w:val="004C4D59"/>
    <w:rsid w:val="004D432A"/>
    <w:rsid w:val="004F4D69"/>
    <w:rsid w:val="00525036"/>
    <w:rsid w:val="00530052"/>
    <w:rsid w:val="00530A2D"/>
    <w:rsid w:val="00535169"/>
    <w:rsid w:val="005518A6"/>
    <w:rsid w:val="00553D70"/>
    <w:rsid w:val="00574A99"/>
    <w:rsid w:val="00586A62"/>
    <w:rsid w:val="00596657"/>
    <w:rsid w:val="005D0B3E"/>
    <w:rsid w:val="005E6716"/>
    <w:rsid w:val="006011E6"/>
    <w:rsid w:val="00603D9E"/>
    <w:rsid w:val="0061110F"/>
    <w:rsid w:val="00623A8B"/>
    <w:rsid w:val="00632370"/>
    <w:rsid w:val="00635896"/>
    <w:rsid w:val="00635FD9"/>
    <w:rsid w:val="00647606"/>
    <w:rsid w:val="00651BC7"/>
    <w:rsid w:val="00660F11"/>
    <w:rsid w:val="006662AD"/>
    <w:rsid w:val="00666BCB"/>
    <w:rsid w:val="00694DEF"/>
    <w:rsid w:val="00697C9B"/>
    <w:rsid w:val="006A6473"/>
    <w:rsid w:val="006A76FD"/>
    <w:rsid w:val="006C3D81"/>
    <w:rsid w:val="006C5033"/>
    <w:rsid w:val="006D6733"/>
    <w:rsid w:val="006E70F3"/>
    <w:rsid w:val="0070022D"/>
    <w:rsid w:val="00724DC1"/>
    <w:rsid w:val="00735B03"/>
    <w:rsid w:val="00753D0D"/>
    <w:rsid w:val="00762CA6"/>
    <w:rsid w:val="00776F2C"/>
    <w:rsid w:val="0079724B"/>
    <w:rsid w:val="007A017F"/>
    <w:rsid w:val="007A27DD"/>
    <w:rsid w:val="007C3F89"/>
    <w:rsid w:val="007D094B"/>
    <w:rsid w:val="007D3C17"/>
    <w:rsid w:val="007E421D"/>
    <w:rsid w:val="007E682F"/>
    <w:rsid w:val="007F14CC"/>
    <w:rsid w:val="007F5088"/>
    <w:rsid w:val="008168E3"/>
    <w:rsid w:val="00843C3B"/>
    <w:rsid w:val="008459E4"/>
    <w:rsid w:val="008724CE"/>
    <w:rsid w:val="00883B6C"/>
    <w:rsid w:val="00887803"/>
    <w:rsid w:val="008A2B33"/>
    <w:rsid w:val="008B3AFD"/>
    <w:rsid w:val="008E6D5E"/>
    <w:rsid w:val="009449C1"/>
    <w:rsid w:val="00954021"/>
    <w:rsid w:val="009577E5"/>
    <w:rsid w:val="00991EA2"/>
    <w:rsid w:val="009B1D25"/>
    <w:rsid w:val="009B288E"/>
    <w:rsid w:val="009E7FA8"/>
    <w:rsid w:val="00A06349"/>
    <w:rsid w:val="00A47D74"/>
    <w:rsid w:val="00A57221"/>
    <w:rsid w:val="00A84885"/>
    <w:rsid w:val="00A85603"/>
    <w:rsid w:val="00AE350B"/>
    <w:rsid w:val="00B00F59"/>
    <w:rsid w:val="00B03CC1"/>
    <w:rsid w:val="00B30C75"/>
    <w:rsid w:val="00B41925"/>
    <w:rsid w:val="00B52003"/>
    <w:rsid w:val="00B64C6F"/>
    <w:rsid w:val="00B81737"/>
    <w:rsid w:val="00B828F7"/>
    <w:rsid w:val="00B95C0A"/>
    <w:rsid w:val="00B97B46"/>
    <w:rsid w:val="00BA5429"/>
    <w:rsid w:val="00BA60B2"/>
    <w:rsid w:val="00BD5A60"/>
    <w:rsid w:val="00BE21F0"/>
    <w:rsid w:val="00BE6B2B"/>
    <w:rsid w:val="00BF2DBC"/>
    <w:rsid w:val="00C1062A"/>
    <w:rsid w:val="00C10753"/>
    <w:rsid w:val="00C16ABF"/>
    <w:rsid w:val="00C422EE"/>
    <w:rsid w:val="00C62B5C"/>
    <w:rsid w:val="00C77F73"/>
    <w:rsid w:val="00CB102F"/>
    <w:rsid w:val="00CD1872"/>
    <w:rsid w:val="00CE4206"/>
    <w:rsid w:val="00CE63C7"/>
    <w:rsid w:val="00CF3AF7"/>
    <w:rsid w:val="00CF7095"/>
    <w:rsid w:val="00D04621"/>
    <w:rsid w:val="00D04A98"/>
    <w:rsid w:val="00D219C0"/>
    <w:rsid w:val="00D23744"/>
    <w:rsid w:val="00D41B27"/>
    <w:rsid w:val="00D50B1B"/>
    <w:rsid w:val="00D5585E"/>
    <w:rsid w:val="00DA5667"/>
    <w:rsid w:val="00DE5420"/>
    <w:rsid w:val="00DF634B"/>
    <w:rsid w:val="00DF700D"/>
    <w:rsid w:val="00E43701"/>
    <w:rsid w:val="00E5611C"/>
    <w:rsid w:val="00E71CC0"/>
    <w:rsid w:val="00E753A9"/>
    <w:rsid w:val="00EA5F51"/>
    <w:rsid w:val="00EA6212"/>
    <w:rsid w:val="00EB5D69"/>
    <w:rsid w:val="00ED268A"/>
    <w:rsid w:val="00EF0054"/>
    <w:rsid w:val="00EF198F"/>
    <w:rsid w:val="00EF76CC"/>
    <w:rsid w:val="00F119C6"/>
    <w:rsid w:val="00F20889"/>
    <w:rsid w:val="00F26895"/>
    <w:rsid w:val="00F3220E"/>
    <w:rsid w:val="00F33227"/>
    <w:rsid w:val="00F52D77"/>
    <w:rsid w:val="00F53A15"/>
    <w:rsid w:val="00F563F3"/>
    <w:rsid w:val="00F636AF"/>
    <w:rsid w:val="00F84161"/>
    <w:rsid w:val="00F90E72"/>
    <w:rsid w:val="00FD158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3C5B1-1652-43C3-B9FF-C7CE9763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332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32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32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32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6B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B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B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0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E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26AA-DD8A-4311-8B35-0D23699A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Katz</dc:creator>
  <cp:keywords/>
  <dc:description/>
  <cp:lastModifiedBy>Cline, Richard</cp:lastModifiedBy>
  <cp:revision>2</cp:revision>
  <cp:lastPrinted>2015-08-14T19:08:00Z</cp:lastPrinted>
  <dcterms:created xsi:type="dcterms:W3CDTF">2015-08-14T20:19:00Z</dcterms:created>
  <dcterms:modified xsi:type="dcterms:W3CDTF">2015-08-14T20:19:00Z</dcterms:modified>
</cp:coreProperties>
</file>