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0F8" w:rsidRDefault="009420F8"/>
    <w:p w:rsidR="00763F71" w:rsidRDefault="00763F71"/>
    <w:p w:rsidR="00763F71" w:rsidRDefault="00763F71" w:rsidP="00763F71">
      <w:pPr>
        <w:pStyle w:val="HC"/>
      </w:pPr>
      <w:r>
        <w:t>Jay Katz</w:t>
      </w:r>
    </w:p>
    <w:p w:rsidR="00763F71" w:rsidRDefault="00763F71" w:rsidP="00763F71">
      <w:pPr>
        <w:pStyle w:val="PA"/>
      </w:pPr>
      <w:r>
        <w:t>Jay Katz is a tax attorney in Delaware with more than a decade of experience in private practice litigating tax cases and handling audits, collection matters, and offers in compromise for corporate and individual clients. He has earned LLMs in taxation from both the NYU and University of Florida graduate tax programs. During twelve years as a professor at Widener University Law School and Beasley School of Law at Temple University, Jay has taught virtually every tax and estate planning course on the curriculum and was the director of the Widener tax clinic.</w:t>
      </w:r>
    </w:p>
    <w:p w:rsidR="00763F71" w:rsidRPr="003C1AB3" w:rsidRDefault="00763F71" w:rsidP="00763F71">
      <w:pPr>
        <w:pStyle w:val="PA"/>
      </w:pPr>
      <w:r>
        <w:t xml:space="preserve">In addition to being a coauthor of the 4th Edition of </w:t>
      </w:r>
      <w:r w:rsidRPr="00C8713A">
        <w:rPr>
          <w:i/>
        </w:rPr>
        <w:t>The Tools &amp; Techniques of Income Tax Planning</w:t>
      </w:r>
      <w:r>
        <w:t xml:space="preserve">, </w:t>
      </w:r>
      <w:proofErr w:type="gramStart"/>
      <w:r>
        <w:t>Jay  has</w:t>
      </w:r>
      <w:proofErr w:type="gramEnd"/>
      <w:r>
        <w:t xml:space="preserve"> penned seven published tax articles, including “An Offer in Compromise You Can’t Confuse: It is not the Opening Bid of a Delinquent Taxpayer to Play Let’s Make a Tax Deal with the Internal Revenue Service,” 81 </w:t>
      </w:r>
      <w:r w:rsidRPr="00C8713A">
        <w:rPr>
          <w:i/>
        </w:rPr>
        <w:t>Miss. L. J.</w:t>
      </w:r>
      <w:r>
        <w:t xml:space="preserve"> 1673 (2012) (lead article); “The William O. Douglas Tax Factor: Where Did the Spin Stop and Who Was He Looking Out For?” 3 </w:t>
      </w:r>
      <w:r w:rsidRPr="00C8713A">
        <w:rPr>
          <w:i/>
        </w:rPr>
        <w:t>Charlotte Law Review</w:t>
      </w:r>
      <w:r>
        <w:t xml:space="preserve"> 133 (2012) (lead article); and “The Untold Story of Crane v. Commissioner Reveals an Inconvenient Tax Truth: Useless Depreciation Deductions Cause Global Basis Erosion to Bait </w:t>
      </w:r>
      <w:proofErr w:type="gramStart"/>
      <w:r>
        <w:t>A Hazardous Tax Trap For</w:t>
      </w:r>
      <w:proofErr w:type="gramEnd"/>
      <w:r>
        <w:t xml:space="preserve"> Unwitting Taxpayers,” 30 </w:t>
      </w:r>
      <w:r w:rsidRPr="00C8713A">
        <w:rPr>
          <w:i/>
        </w:rPr>
        <w:t>Va. Tax Rev.</w:t>
      </w:r>
      <w:r>
        <w:t xml:space="preserve"> 559 (2011).</w:t>
      </w:r>
    </w:p>
    <w:p w:rsidR="00763F71" w:rsidRDefault="00763F71">
      <w:bookmarkStart w:id="0" w:name="_GoBack"/>
      <w:bookmarkEnd w:id="0"/>
    </w:p>
    <w:sectPr w:rsidR="00763F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T Std">
    <w:panose1 w:val="00000000000000000000"/>
    <w:charset w:val="00"/>
    <w:family w:val="roman"/>
    <w:notTrueType/>
    <w:pitch w:val="variable"/>
    <w:sig w:usb0="00000003" w:usb1="00000000" w:usb2="00000000" w:usb3="00000000" w:csb0="00000001" w:csb1="00000000"/>
  </w:font>
  <w:font w:name="Avenir LT Std 55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05B"/>
    <w:rsid w:val="0041605B"/>
    <w:rsid w:val="00576634"/>
    <w:rsid w:val="00763F71"/>
    <w:rsid w:val="009420F8"/>
    <w:rsid w:val="00AA7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
    <w:name w:val="PA"/>
    <w:next w:val="Normal"/>
    <w:qFormat/>
    <w:rsid w:val="00763F71"/>
    <w:pPr>
      <w:spacing w:after="240" w:line="240" w:lineRule="auto"/>
      <w:ind w:firstLine="288"/>
      <w:jc w:val="both"/>
    </w:pPr>
    <w:rPr>
      <w:rFonts w:ascii="Palatino LT Std" w:eastAsia="Times New Roman" w:hAnsi="Palatino LT Std" w:cs="Times New Roman"/>
      <w:szCs w:val="20"/>
    </w:rPr>
  </w:style>
  <w:style w:type="paragraph" w:customStyle="1" w:styleId="HC">
    <w:name w:val="HC"/>
    <w:link w:val="HCChar"/>
    <w:qFormat/>
    <w:rsid w:val="00763F71"/>
    <w:pPr>
      <w:spacing w:before="120" w:after="120" w:line="240" w:lineRule="auto"/>
      <w:jc w:val="center"/>
    </w:pPr>
    <w:rPr>
      <w:rFonts w:ascii="Avenir LT Std 55 Roman" w:eastAsia="Times New Roman" w:hAnsi="Avenir LT Std 55 Roman" w:cs="Times New Roman"/>
      <w:b/>
      <w:sz w:val="24"/>
      <w:szCs w:val="20"/>
    </w:rPr>
  </w:style>
  <w:style w:type="character" w:customStyle="1" w:styleId="HCChar">
    <w:name w:val="HC Char"/>
    <w:link w:val="HC"/>
    <w:rsid w:val="00763F71"/>
    <w:rPr>
      <w:rFonts w:ascii="Avenir LT Std 55 Roman" w:eastAsia="Times New Roman" w:hAnsi="Avenir LT Std 55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
    <w:name w:val="PA"/>
    <w:next w:val="Normal"/>
    <w:qFormat/>
    <w:rsid w:val="00763F71"/>
    <w:pPr>
      <w:spacing w:after="240" w:line="240" w:lineRule="auto"/>
      <w:ind w:firstLine="288"/>
      <w:jc w:val="both"/>
    </w:pPr>
    <w:rPr>
      <w:rFonts w:ascii="Palatino LT Std" w:eastAsia="Times New Roman" w:hAnsi="Palatino LT Std" w:cs="Times New Roman"/>
      <w:szCs w:val="20"/>
    </w:rPr>
  </w:style>
  <w:style w:type="paragraph" w:customStyle="1" w:styleId="HC">
    <w:name w:val="HC"/>
    <w:link w:val="HCChar"/>
    <w:qFormat/>
    <w:rsid w:val="00763F71"/>
    <w:pPr>
      <w:spacing w:before="120" w:after="120" w:line="240" w:lineRule="auto"/>
      <w:jc w:val="center"/>
    </w:pPr>
    <w:rPr>
      <w:rFonts w:ascii="Avenir LT Std 55 Roman" w:eastAsia="Times New Roman" w:hAnsi="Avenir LT Std 55 Roman" w:cs="Times New Roman"/>
      <w:b/>
      <w:sz w:val="24"/>
      <w:szCs w:val="20"/>
    </w:rPr>
  </w:style>
  <w:style w:type="character" w:customStyle="1" w:styleId="HCChar">
    <w:name w:val="HC Char"/>
    <w:link w:val="HC"/>
    <w:rsid w:val="00763F71"/>
    <w:rPr>
      <w:rFonts w:ascii="Avenir LT Std 55 Roman" w:eastAsia="Times New Roman" w:hAnsi="Avenir LT Std 55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1131</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Summit Business Media</Company>
  <LinksUpToDate>false</LinksUpToDate>
  <CharactersWithSpaces>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rcline</dc:creator>
  <cp:lastModifiedBy>rcline</cp:lastModifiedBy>
  <cp:revision>1</cp:revision>
  <dcterms:created xsi:type="dcterms:W3CDTF">2014-09-21T14:37:00Z</dcterms:created>
  <dcterms:modified xsi:type="dcterms:W3CDTF">2014-09-23T14:29:00Z</dcterms:modified>
</cp:coreProperties>
</file>