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D9" w:rsidRPr="00B72A5E" w:rsidRDefault="00D731D9" w:rsidP="00D731D9">
      <w:pPr>
        <w:spacing w:after="0" w:line="240" w:lineRule="auto"/>
        <w:jc w:val="center"/>
        <w:rPr>
          <w:rFonts w:eastAsia="Calibri" w:cs="Times New Roman"/>
          <w:b/>
          <w:bCs/>
          <w:szCs w:val="24"/>
          <w:u w:val="single"/>
        </w:rPr>
      </w:pPr>
      <w:r w:rsidRPr="00B72A5E">
        <w:rPr>
          <w:rFonts w:eastAsia="Calibri" w:cs="Times New Roman"/>
          <w:b/>
          <w:bCs/>
          <w:szCs w:val="24"/>
          <w:u w:val="single"/>
        </w:rPr>
        <w:t>FC&amp;S Legal Newsletter for November 2</w:t>
      </w:r>
      <w:r w:rsidR="00C46B0E">
        <w:rPr>
          <w:rFonts w:eastAsia="Calibri" w:cs="Times New Roman"/>
          <w:b/>
          <w:bCs/>
          <w:szCs w:val="24"/>
          <w:u w:val="single"/>
        </w:rPr>
        <w:t>6</w:t>
      </w:r>
      <w:r w:rsidRPr="00B72A5E">
        <w:rPr>
          <w:rFonts w:eastAsia="Calibri" w:cs="Times New Roman"/>
          <w:b/>
          <w:bCs/>
          <w:szCs w:val="24"/>
          <w:u w:val="single"/>
        </w:rPr>
        <w:t>, 2014</w:t>
      </w:r>
    </w:p>
    <w:p w:rsidR="00D731D9" w:rsidRPr="00B72A5E" w:rsidRDefault="00D731D9" w:rsidP="00D731D9">
      <w:pPr>
        <w:tabs>
          <w:tab w:val="left" w:pos="2455"/>
        </w:tabs>
        <w:spacing w:after="0" w:line="240" w:lineRule="auto"/>
        <w:rPr>
          <w:rFonts w:eastAsia="Calibri" w:cs="Times New Roman"/>
          <w:b/>
          <w:bCs/>
          <w:szCs w:val="24"/>
        </w:rPr>
      </w:pPr>
      <w:r w:rsidRPr="00B72A5E">
        <w:rPr>
          <w:rFonts w:eastAsia="Calibri" w:cs="Times New Roman"/>
          <w:b/>
          <w:bCs/>
          <w:szCs w:val="24"/>
        </w:rPr>
        <w:tab/>
      </w:r>
    </w:p>
    <w:p w:rsidR="00D731D9" w:rsidRPr="00B72A5E" w:rsidRDefault="00D731D9" w:rsidP="00D731D9">
      <w:pPr>
        <w:spacing w:after="0" w:line="240" w:lineRule="auto"/>
        <w:rPr>
          <w:rFonts w:eastAsia="Calibri" w:cs="Times New Roman"/>
          <w:b/>
          <w:bCs/>
          <w:szCs w:val="24"/>
        </w:rPr>
      </w:pPr>
      <w:r w:rsidRPr="00B72A5E">
        <w:rPr>
          <w:rFonts w:eastAsia="Calibri" w:cs="Times New Roman"/>
          <w:b/>
          <w:bCs/>
          <w:szCs w:val="24"/>
        </w:rPr>
        <w:t>CASE LAW</w:t>
      </w:r>
      <w:bookmarkStart w:id="0" w:name="_GoBack"/>
      <w:bookmarkEnd w:id="0"/>
    </w:p>
    <w:p w:rsidR="00D731D9" w:rsidRPr="00B72A5E" w:rsidRDefault="00D731D9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Cs/>
          <w:szCs w:val="24"/>
        </w:rPr>
      </w:pPr>
    </w:p>
    <w:p w:rsidR="00C46B0E" w:rsidRPr="00D731D9" w:rsidRDefault="00C46B0E" w:rsidP="00C46B0E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Cs/>
          <w:szCs w:val="24"/>
        </w:rPr>
      </w:pPr>
      <w:r w:rsidRPr="00D731D9">
        <w:rPr>
          <w:rFonts w:eastAsia="Times New Roman" w:cs="Times New Roman"/>
          <w:b/>
          <w:bCs/>
          <w:szCs w:val="24"/>
        </w:rPr>
        <w:t>Commercial Property</w:t>
      </w:r>
    </w:p>
    <w:p w:rsidR="00C46B0E" w:rsidRPr="00D731D9" w:rsidRDefault="00C46B0E" w:rsidP="00C46B0E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/>
          <w:bCs/>
          <w:szCs w:val="24"/>
        </w:rPr>
      </w:pPr>
      <w:hyperlink r:id="rId5" w:history="1">
        <w:r w:rsidRPr="00D731D9">
          <w:rPr>
            <w:rFonts w:eastAsia="Times New Roman" w:cs="Times New Roman"/>
            <w:b/>
            <w:bCs/>
            <w:color w:val="0000FF" w:themeColor="hyperlink"/>
            <w:szCs w:val="24"/>
            <w:u w:val="single"/>
          </w:rPr>
          <w:t xml:space="preserve">Federal Court Dismisses Insured’s Action in </w:t>
        </w:r>
        <w:proofErr w:type="spellStart"/>
        <w:r w:rsidRPr="00D731D9">
          <w:rPr>
            <w:rFonts w:eastAsia="Times New Roman" w:cs="Times New Roman"/>
            <w:b/>
            <w:bCs/>
            <w:color w:val="0000FF" w:themeColor="hyperlink"/>
            <w:szCs w:val="24"/>
            <w:u w:val="single"/>
          </w:rPr>
          <w:t>Superstorm</w:t>
        </w:r>
        <w:proofErr w:type="spellEnd"/>
        <w:r w:rsidRPr="00D731D9">
          <w:rPr>
            <w:rFonts w:eastAsia="Times New Roman" w:cs="Times New Roman"/>
            <w:b/>
            <w:bCs/>
            <w:color w:val="0000FF" w:themeColor="hyperlink"/>
            <w:szCs w:val="24"/>
            <w:u w:val="single"/>
          </w:rPr>
          <w:t xml:space="preserve"> Sandy Case; Issues Order to Show Cause Why It Should Not Sanction Insured and/or Its Counsel for “Bringing a Meritless Claim”</w:t>
        </w:r>
      </w:hyperlink>
      <w:r w:rsidRPr="00D731D9">
        <w:rPr>
          <w:rFonts w:eastAsia="Times New Roman" w:cs="Times New Roman"/>
          <w:b/>
          <w:bCs/>
          <w:szCs w:val="24"/>
        </w:rPr>
        <w:t> </w:t>
      </w:r>
    </w:p>
    <w:p w:rsidR="00C46B0E" w:rsidRPr="00D731D9" w:rsidRDefault="00C46B0E" w:rsidP="00C46B0E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Cs/>
          <w:szCs w:val="24"/>
        </w:rPr>
      </w:pPr>
      <w:r w:rsidRPr="00D731D9">
        <w:rPr>
          <w:rFonts w:eastAsia="Times New Roman" w:cs="Times New Roman"/>
          <w:bCs/>
          <w:szCs w:val="24"/>
        </w:rPr>
        <w:t xml:space="preserve">A federal district court in New Jersey has dismissed an action brought by </w:t>
      </w:r>
      <w:proofErr w:type="gramStart"/>
      <w:r w:rsidRPr="00D731D9">
        <w:rPr>
          <w:rFonts w:eastAsia="Times New Roman" w:cs="Times New Roman"/>
          <w:bCs/>
          <w:szCs w:val="24"/>
        </w:rPr>
        <w:t>an insured</w:t>
      </w:r>
      <w:proofErr w:type="gramEnd"/>
      <w:r w:rsidRPr="00D731D9">
        <w:rPr>
          <w:rFonts w:eastAsia="Times New Roman" w:cs="Times New Roman"/>
          <w:bCs/>
          <w:szCs w:val="24"/>
        </w:rPr>
        <w:t xml:space="preserve"> alleging wind damage to its property from </w:t>
      </w:r>
      <w:proofErr w:type="spellStart"/>
      <w:r w:rsidRPr="00D731D9">
        <w:rPr>
          <w:rFonts w:eastAsia="Times New Roman" w:cs="Times New Roman"/>
          <w:bCs/>
          <w:szCs w:val="24"/>
        </w:rPr>
        <w:t>Superstorm</w:t>
      </w:r>
      <w:proofErr w:type="spellEnd"/>
      <w:r w:rsidRPr="00D731D9">
        <w:rPr>
          <w:rFonts w:eastAsia="Times New Roman" w:cs="Times New Roman"/>
          <w:bCs/>
          <w:szCs w:val="24"/>
        </w:rPr>
        <w:t xml:space="preserve"> Sandy – and issued an Order to Show Cause why it should not sanction the insured and/or its counsel “for bringing a meritless claim.” </w:t>
      </w:r>
      <w:hyperlink r:id="rId6" w:history="1">
        <w:r w:rsidRPr="00D731D9">
          <w:rPr>
            <w:rFonts w:eastAsia="Times New Roman" w:cs="Times New Roman"/>
            <w:bCs/>
            <w:color w:val="0000FF" w:themeColor="hyperlink"/>
            <w:szCs w:val="24"/>
            <w:u w:val="single"/>
          </w:rPr>
          <w:t>Read more</w:t>
        </w:r>
      </w:hyperlink>
    </w:p>
    <w:p w:rsidR="00C46B0E" w:rsidRDefault="00C46B0E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/>
          <w:bCs/>
          <w:szCs w:val="24"/>
        </w:rPr>
      </w:pPr>
    </w:p>
    <w:p w:rsidR="00D731D9" w:rsidRPr="00D731D9" w:rsidRDefault="00D731D9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Cs/>
          <w:szCs w:val="24"/>
        </w:rPr>
      </w:pPr>
      <w:r w:rsidRPr="00D731D9">
        <w:rPr>
          <w:rFonts w:eastAsia="Times New Roman" w:cs="Times New Roman"/>
          <w:b/>
          <w:bCs/>
          <w:szCs w:val="24"/>
        </w:rPr>
        <w:t>Automobile Insurance</w:t>
      </w:r>
    </w:p>
    <w:p w:rsidR="00D731D9" w:rsidRPr="00D731D9" w:rsidRDefault="00D731D9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/>
          <w:bCs/>
          <w:szCs w:val="24"/>
        </w:rPr>
      </w:pPr>
      <w:hyperlink r:id="rId7" w:history="1">
        <w:r w:rsidRPr="00D731D9">
          <w:rPr>
            <w:rFonts w:eastAsia="Times New Roman" w:cs="Times New Roman"/>
            <w:b/>
            <w:bCs/>
            <w:color w:val="0000FF" w:themeColor="hyperlink"/>
            <w:szCs w:val="24"/>
            <w:u w:val="single"/>
          </w:rPr>
          <w:t>The Case of the Exotic Porsche</w:t>
        </w:r>
      </w:hyperlink>
      <w:r w:rsidRPr="00D731D9">
        <w:rPr>
          <w:rFonts w:eastAsia="Times New Roman" w:cs="Times New Roman"/>
          <w:b/>
          <w:bCs/>
          <w:szCs w:val="24"/>
        </w:rPr>
        <w:t> </w:t>
      </w:r>
    </w:p>
    <w:p w:rsidR="00D731D9" w:rsidRPr="00D731D9" w:rsidRDefault="00D731D9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Cs/>
          <w:szCs w:val="24"/>
        </w:rPr>
      </w:pPr>
      <w:r w:rsidRPr="00D731D9">
        <w:rPr>
          <w:rFonts w:eastAsia="Times New Roman" w:cs="Times New Roman"/>
          <w:bCs/>
          <w:szCs w:val="24"/>
        </w:rPr>
        <w:t xml:space="preserve">An appellate court in Florida, reversing a trial court’s decision, has ruled that an expensive Porsche that was damaged while being driven by the owner of a dealership to another location for an inspection and possible servicing had been damaged during a “test drive” and the damage, therefore, was covered by the dealership’s insurance policy. </w:t>
      </w:r>
      <w:hyperlink r:id="rId8" w:history="1">
        <w:r w:rsidRPr="00D731D9">
          <w:rPr>
            <w:rFonts w:eastAsia="Times New Roman" w:cs="Times New Roman"/>
            <w:bCs/>
            <w:color w:val="0000FF" w:themeColor="hyperlink"/>
            <w:szCs w:val="24"/>
            <w:u w:val="single"/>
          </w:rPr>
          <w:t>Read more</w:t>
        </w:r>
      </w:hyperlink>
    </w:p>
    <w:p w:rsidR="00D731D9" w:rsidRPr="00D731D9" w:rsidRDefault="00D731D9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Cs/>
          <w:szCs w:val="24"/>
        </w:rPr>
      </w:pPr>
    </w:p>
    <w:p w:rsidR="00D731D9" w:rsidRPr="00B72A5E" w:rsidRDefault="00D731D9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Cs/>
          <w:szCs w:val="24"/>
        </w:rPr>
      </w:pPr>
      <w:r w:rsidRPr="00B72A5E">
        <w:rPr>
          <w:rFonts w:eastAsia="Times New Roman" w:cs="Times New Roman"/>
          <w:b/>
          <w:bCs/>
          <w:szCs w:val="24"/>
        </w:rPr>
        <w:t>Homeowners Insurance</w:t>
      </w:r>
    </w:p>
    <w:p w:rsidR="00D731D9" w:rsidRPr="00B72A5E" w:rsidRDefault="00D731D9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/>
          <w:bCs/>
          <w:szCs w:val="24"/>
        </w:rPr>
      </w:pPr>
      <w:hyperlink r:id="rId9" w:history="1">
        <w:r w:rsidRPr="00B72A5E">
          <w:rPr>
            <w:rStyle w:val="Hyperlink"/>
            <w:rFonts w:eastAsia="Times New Roman" w:cs="Times New Roman"/>
            <w:b/>
            <w:bCs/>
            <w:szCs w:val="24"/>
          </w:rPr>
          <w:t>Seventh Circuit Again Refuses to Limit Continuous Trigger to Third-Party Coverage Cases and to Universally Apply Manifestation Trigger to First-Party Coverage Cases</w:t>
        </w:r>
      </w:hyperlink>
      <w:r w:rsidRPr="00B72A5E">
        <w:rPr>
          <w:rFonts w:eastAsia="Times New Roman" w:cs="Times New Roman"/>
          <w:b/>
          <w:bCs/>
          <w:szCs w:val="24"/>
        </w:rPr>
        <w:t> </w:t>
      </w:r>
    </w:p>
    <w:p w:rsidR="00D731D9" w:rsidRDefault="00D731D9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Cs/>
          <w:szCs w:val="24"/>
        </w:rPr>
      </w:pPr>
      <w:r w:rsidRPr="00B72A5E">
        <w:rPr>
          <w:rFonts w:eastAsia="Times New Roman" w:cs="Times New Roman"/>
          <w:bCs/>
          <w:szCs w:val="24"/>
        </w:rPr>
        <w:t>For the second time since 2012, the U.S. Court of Appeals for the Seventh Circuit, applying Wisconsin law, has refused to limit the continuous trigger to third-party coverage cases and to universally apply the manifestation trigger to first-party coverage cases.</w:t>
      </w:r>
      <w:r>
        <w:rPr>
          <w:rFonts w:eastAsia="Times New Roman" w:cs="Times New Roman"/>
          <w:bCs/>
          <w:szCs w:val="24"/>
        </w:rPr>
        <w:t xml:space="preserve"> </w:t>
      </w:r>
      <w:hyperlink r:id="rId10" w:history="1">
        <w:r w:rsidRPr="00B72A5E">
          <w:rPr>
            <w:rStyle w:val="Hyperlink"/>
            <w:rFonts w:eastAsia="Times New Roman" w:cs="Times New Roman"/>
            <w:bCs/>
            <w:szCs w:val="24"/>
          </w:rPr>
          <w:t>Read more</w:t>
        </w:r>
      </w:hyperlink>
    </w:p>
    <w:p w:rsidR="00D731D9" w:rsidRPr="00B72A5E" w:rsidRDefault="00D731D9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Cs/>
          <w:szCs w:val="24"/>
        </w:rPr>
      </w:pPr>
    </w:p>
    <w:p w:rsidR="00D731D9" w:rsidRPr="00B72A5E" w:rsidRDefault="00D731D9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Cs/>
          <w:szCs w:val="24"/>
        </w:rPr>
      </w:pPr>
      <w:r w:rsidRPr="00B72A5E">
        <w:rPr>
          <w:rFonts w:eastAsia="Times New Roman" w:cs="Times New Roman"/>
          <w:b/>
          <w:bCs/>
          <w:szCs w:val="24"/>
        </w:rPr>
        <w:t>Crime and Employee Dishonesty</w:t>
      </w:r>
    </w:p>
    <w:p w:rsidR="00D731D9" w:rsidRPr="00B72A5E" w:rsidRDefault="00D731D9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/>
          <w:bCs/>
          <w:szCs w:val="24"/>
        </w:rPr>
      </w:pPr>
      <w:hyperlink r:id="rId11" w:history="1">
        <w:r w:rsidRPr="00B72A5E">
          <w:rPr>
            <w:rStyle w:val="Hyperlink"/>
            <w:rFonts w:eastAsia="Times New Roman" w:cs="Times New Roman"/>
            <w:b/>
            <w:bCs/>
            <w:szCs w:val="24"/>
          </w:rPr>
          <w:t>Insurer May Void Policy Where Embezzling Treasurer Failed to Disclose His Own Actions to Insurer</w:t>
        </w:r>
      </w:hyperlink>
      <w:r w:rsidRPr="00B72A5E">
        <w:rPr>
          <w:rFonts w:eastAsia="Times New Roman" w:cs="Times New Roman"/>
          <w:b/>
          <w:bCs/>
          <w:szCs w:val="24"/>
        </w:rPr>
        <w:t> </w:t>
      </w:r>
    </w:p>
    <w:p w:rsidR="00D731D9" w:rsidRDefault="00D731D9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Cs/>
          <w:szCs w:val="24"/>
        </w:rPr>
      </w:pPr>
      <w:r w:rsidRPr="00B72A5E">
        <w:rPr>
          <w:rFonts w:eastAsia="Times New Roman" w:cs="Times New Roman"/>
          <w:bCs/>
          <w:szCs w:val="24"/>
        </w:rPr>
        <w:t xml:space="preserve">A federal district court in Virginia has ruled that an insurance company could void a commercial crime insurance policy where the insured’s treasurer had completed a renewal survey without revealing that he was embezzling from the insured. </w:t>
      </w:r>
      <w:hyperlink r:id="rId12" w:history="1">
        <w:r w:rsidRPr="00B72A5E">
          <w:rPr>
            <w:rStyle w:val="Hyperlink"/>
            <w:rFonts w:eastAsia="Times New Roman" w:cs="Times New Roman"/>
            <w:bCs/>
            <w:szCs w:val="24"/>
          </w:rPr>
          <w:t>Read more</w:t>
        </w:r>
      </w:hyperlink>
    </w:p>
    <w:p w:rsidR="00D731D9" w:rsidRPr="00B72A5E" w:rsidRDefault="00D731D9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Cs/>
          <w:szCs w:val="24"/>
        </w:rPr>
      </w:pPr>
    </w:p>
    <w:p w:rsidR="00D731D9" w:rsidRPr="00B72A5E" w:rsidRDefault="00D731D9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Cs/>
          <w:szCs w:val="24"/>
        </w:rPr>
      </w:pPr>
      <w:r w:rsidRPr="00B72A5E">
        <w:rPr>
          <w:rFonts w:eastAsia="Times New Roman" w:cs="Times New Roman"/>
          <w:bCs/>
          <w:szCs w:val="24"/>
        </w:rPr>
        <w:t>Browse </w:t>
      </w:r>
      <w:hyperlink r:id="rId13" w:history="1">
        <w:r w:rsidRPr="00B72A5E">
          <w:rPr>
            <w:rFonts w:eastAsia="Times New Roman" w:cs="Times New Roman"/>
            <w:bCs/>
            <w:color w:val="0563C1"/>
            <w:szCs w:val="24"/>
            <w:u w:val="single"/>
          </w:rPr>
          <w:t>Case Law Developments</w:t>
        </w:r>
      </w:hyperlink>
    </w:p>
    <w:p w:rsidR="00D731D9" w:rsidRPr="00B72A5E" w:rsidRDefault="00D731D9" w:rsidP="00D731D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/>
          <w:bCs/>
          <w:szCs w:val="24"/>
        </w:rPr>
      </w:pPr>
    </w:p>
    <w:p w:rsidR="00D731D9" w:rsidRPr="00B72A5E" w:rsidRDefault="00D731D9" w:rsidP="00D731D9">
      <w:pPr>
        <w:spacing w:after="0" w:line="240" w:lineRule="auto"/>
        <w:rPr>
          <w:rFonts w:eastAsia="Calibri" w:cs="Times New Roman"/>
          <w:b/>
          <w:bCs/>
          <w:szCs w:val="24"/>
        </w:rPr>
      </w:pPr>
      <w:r w:rsidRPr="00B72A5E">
        <w:rPr>
          <w:rFonts w:eastAsia="Calibri" w:cs="Times New Roman"/>
          <w:b/>
          <w:bCs/>
          <w:szCs w:val="24"/>
        </w:rPr>
        <w:t>LEGISLATIVE/REGULATORY DEVELOPMENTS</w:t>
      </w:r>
    </w:p>
    <w:p w:rsidR="00D731D9" w:rsidRPr="00B72A5E" w:rsidRDefault="00D731D9" w:rsidP="00D731D9">
      <w:pPr>
        <w:spacing w:after="0" w:line="240" w:lineRule="auto"/>
        <w:rPr>
          <w:rFonts w:eastAsia="Calibri" w:cs="Times New Roman"/>
          <w:szCs w:val="24"/>
        </w:rPr>
      </w:pPr>
    </w:p>
    <w:p w:rsidR="00C46B0E" w:rsidRPr="00C46B0E" w:rsidRDefault="00C46B0E" w:rsidP="00C46B0E">
      <w:pPr>
        <w:spacing w:after="0" w:line="240" w:lineRule="auto"/>
        <w:rPr>
          <w:rFonts w:eastAsia="Calibri" w:cs="Times New Roman"/>
          <w:szCs w:val="24"/>
        </w:rPr>
      </w:pPr>
      <w:r w:rsidRPr="00C46B0E">
        <w:rPr>
          <w:rFonts w:eastAsia="Calibri" w:cs="Times New Roman"/>
          <w:b/>
          <w:bCs/>
          <w:szCs w:val="24"/>
        </w:rPr>
        <w:t>In the States</w:t>
      </w:r>
    </w:p>
    <w:p w:rsidR="00C46B0E" w:rsidRPr="00C46B0E" w:rsidRDefault="00C46B0E" w:rsidP="00C46B0E">
      <w:pPr>
        <w:spacing w:after="0" w:line="240" w:lineRule="auto"/>
        <w:rPr>
          <w:rFonts w:eastAsia="Calibri" w:cs="Times New Roman"/>
          <w:b/>
          <w:bCs/>
          <w:szCs w:val="24"/>
        </w:rPr>
      </w:pPr>
      <w:hyperlink r:id="rId14" w:history="1">
        <w:r w:rsidRPr="00C46B0E">
          <w:rPr>
            <w:rFonts w:eastAsia="Calibri" w:cs="Times New Roman"/>
            <w:b/>
            <w:bCs/>
            <w:color w:val="0000FF" w:themeColor="hyperlink"/>
            <w:szCs w:val="24"/>
            <w:u w:val="single"/>
          </w:rPr>
          <w:t>National Association of Insurance Commissioners Elects 2015 Officers</w:t>
        </w:r>
      </w:hyperlink>
      <w:r w:rsidRPr="00C46B0E">
        <w:rPr>
          <w:rFonts w:eastAsia="Calibri" w:cs="Times New Roman"/>
          <w:b/>
          <w:bCs/>
          <w:szCs w:val="24"/>
        </w:rPr>
        <w:t> </w:t>
      </w:r>
    </w:p>
    <w:p w:rsidR="00C46B0E" w:rsidRPr="00C46B0E" w:rsidRDefault="00C46B0E" w:rsidP="00C46B0E">
      <w:pPr>
        <w:spacing w:after="0" w:line="240" w:lineRule="auto"/>
        <w:rPr>
          <w:rFonts w:eastAsia="Calibri" w:cs="Times New Roman"/>
          <w:bCs/>
          <w:szCs w:val="24"/>
        </w:rPr>
      </w:pPr>
      <w:r w:rsidRPr="00C46B0E">
        <w:rPr>
          <w:rFonts w:eastAsia="Calibri" w:cs="Times New Roman"/>
          <w:szCs w:val="24"/>
        </w:rPr>
        <w:t xml:space="preserve">Members of the National Association of Insurance Commissioners have elected their 2015 officers at the NAIC’s </w:t>
      </w:r>
      <w:proofErr w:type="gramStart"/>
      <w:r w:rsidRPr="00C46B0E">
        <w:rPr>
          <w:rFonts w:eastAsia="Calibri" w:cs="Times New Roman"/>
          <w:szCs w:val="24"/>
        </w:rPr>
        <w:t>Fall</w:t>
      </w:r>
      <w:proofErr w:type="gramEnd"/>
      <w:r w:rsidRPr="00C46B0E">
        <w:rPr>
          <w:rFonts w:eastAsia="Calibri" w:cs="Times New Roman"/>
          <w:szCs w:val="24"/>
        </w:rPr>
        <w:t xml:space="preserve"> national meeting.</w:t>
      </w:r>
      <w:r w:rsidRPr="00C46B0E">
        <w:rPr>
          <w:rFonts w:eastAsia="Times New Roman" w:cs="Times New Roman"/>
          <w:bCs/>
          <w:szCs w:val="24"/>
        </w:rPr>
        <w:t xml:space="preserve"> </w:t>
      </w:r>
      <w:hyperlink r:id="rId15" w:history="1">
        <w:r w:rsidRPr="00C46B0E">
          <w:rPr>
            <w:rFonts w:eastAsia="Calibri" w:cs="Times New Roman"/>
            <w:bCs/>
            <w:color w:val="0000FF" w:themeColor="hyperlink"/>
            <w:szCs w:val="24"/>
            <w:u w:val="single"/>
          </w:rPr>
          <w:t>Read more</w:t>
        </w:r>
      </w:hyperlink>
    </w:p>
    <w:p w:rsidR="00C46B0E" w:rsidRDefault="00C46B0E" w:rsidP="00D731D9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:rsidR="00D731D9" w:rsidRPr="00B72A5E" w:rsidRDefault="00D731D9" w:rsidP="00D731D9">
      <w:pPr>
        <w:spacing w:after="0" w:line="240" w:lineRule="auto"/>
        <w:rPr>
          <w:rFonts w:eastAsia="Calibri" w:cs="Times New Roman"/>
          <w:szCs w:val="24"/>
        </w:rPr>
      </w:pPr>
      <w:r w:rsidRPr="00B72A5E">
        <w:rPr>
          <w:rFonts w:eastAsia="Calibri" w:cs="Times New Roman"/>
          <w:b/>
          <w:bCs/>
          <w:szCs w:val="24"/>
        </w:rPr>
        <w:t>Employee Benefits</w:t>
      </w:r>
    </w:p>
    <w:p w:rsidR="00D731D9" w:rsidRDefault="00D731D9" w:rsidP="00D731D9">
      <w:pPr>
        <w:spacing w:after="0" w:line="240" w:lineRule="auto"/>
        <w:rPr>
          <w:rFonts w:eastAsia="Calibri" w:cs="Times New Roman"/>
          <w:b/>
          <w:bCs/>
          <w:szCs w:val="24"/>
        </w:rPr>
      </w:pPr>
      <w:hyperlink r:id="rId16" w:history="1">
        <w:r w:rsidRPr="00B72A5E">
          <w:rPr>
            <w:rStyle w:val="Hyperlink"/>
            <w:rFonts w:eastAsia="Calibri" w:cs="Times New Roman"/>
            <w:b/>
            <w:bCs/>
            <w:szCs w:val="24"/>
          </w:rPr>
          <w:t>PBGC Annual Report Shows Severe Deterioration in Multiemployer Program</w:t>
        </w:r>
      </w:hyperlink>
      <w:r w:rsidRPr="00B72A5E">
        <w:rPr>
          <w:rFonts w:eastAsia="Calibri" w:cs="Times New Roman"/>
          <w:b/>
          <w:bCs/>
          <w:szCs w:val="24"/>
        </w:rPr>
        <w:t> </w:t>
      </w:r>
    </w:p>
    <w:p w:rsidR="00D731D9" w:rsidRDefault="00D731D9" w:rsidP="00D731D9">
      <w:pPr>
        <w:spacing w:after="0" w:line="240" w:lineRule="auto"/>
        <w:rPr>
          <w:rFonts w:eastAsia="Calibri" w:cs="Times New Roman"/>
          <w:bCs/>
          <w:szCs w:val="24"/>
        </w:rPr>
      </w:pPr>
      <w:r w:rsidRPr="00B72A5E">
        <w:rPr>
          <w:rFonts w:eastAsia="Calibri" w:cs="Times New Roman"/>
          <w:szCs w:val="24"/>
        </w:rPr>
        <w:lastRenderedPageBreak/>
        <w:t>The Pension Benefit Guaranty Corporation’s annual report showed that the PBGC’s deficit increased to about $62 billion in fiscal year 2014, largely due to the declining condition of a few multiemployer plans.</w:t>
      </w:r>
      <w:r w:rsidRPr="00B72A5E">
        <w:rPr>
          <w:rFonts w:eastAsia="Times New Roman" w:cs="Times New Roman"/>
          <w:bCs/>
          <w:szCs w:val="24"/>
        </w:rPr>
        <w:t xml:space="preserve"> </w:t>
      </w:r>
      <w:hyperlink r:id="rId17" w:history="1">
        <w:r w:rsidRPr="00B72A5E">
          <w:rPr>
            <w:rStyle w:val="Hyperlink"/>
            <w:rFonts w:eastAsia="Calibri" w:cs="Times New Roman"/>
            <w:bCs/>
            <w:szCs w:val="24"/>
          </w:rPr>
          <w:t>Read more</w:t>
        </w:r>
      </w:hyperlink>
    </w:p>
    <w:p w:rsidR="00D731D9" w:rsidRPr="00B72A5E" w:rsidRDefault="00D731D9" w:rsidP="00D731D9">
      <w:pPr>
        <w:spacing w:after="0" w:line="240" w:lineRule="auto"/>
        <w:rPr>
          <w:rFonts w:eastAsia="Calibri" w:cs="Times New Roman"/>
          <w:szCs w:val="24"/>
        </w:rPr>
      </w:pPr>
    </w:p>
    <w:p w:rsidR="00D731D9" w:rsidRPr="00B72A5E" w:rsidRDefault="00D731D9" w:rsidP="00D731D9">
      <w:pPr>
        <w:spacing w:after="0" w:line="240" w:lineRule="auto"/>
        <w:rPr>
          <w:rFonts w:eastAsia="Calibri" w:cs="Times New Roman"/>
          <w:szCs w:val="24"/>
        </w:rPr>
      </w:pPr>
    </w:p>
    <w:p w:rsidR="00D731D9" w:rsidRPr="00B72A5E" w:rsidRDefault="00D731D9" w:rsidP="00D731D9">
      <w:pPr>
        <w:spacing w:after="0" w:line="240" w:lineRule="auto"/>
        <w:rPr>
          <w:rFonts w:eastAsia="Calibri" w:cs="Times New Roman"/>
          <w:b/>
          <w:bCs/>
          <w:color w:val="0000FF"/>
          <w:szCs w:val="24"/>
          <w:u w:val="single"/>
        </w:rPr>
      </w:pPr>
      <w:r w:rsidRPr="00B72A5E">
        <w:rPr>
          <w:rFonts w:eastAsia="Calibri" w:cs="Times New Roman"/>
          <w:szCs w:val="24"/>
        </w:rPr>
        <w:t>Browse </w:t>
      </w:r>
      <w:hyperlink r:id="rId18" w:history="1">
        <w:r w:rsidRPr="00B72A5E">
          <w:rPr>
            <w:rFonts w:eastAsia="Calibri" w:cs="Times New Roman"/>
            <w:b/>
            <w:bCs/>
            <w:color w:val="0000FF"/>
            <w:szCs w:val="24"/>
            <w:u w:val="single"/>
          </w:rPr>
          <w:t>Legislative/Regulatory Developments</w:t>
        </w:r>
      </w:hyperlink>
    </w:p>
    <w:p w:rsidR="00D731D9" w:rsidRPr="00B72A5E" w:rsidRDefault="00D731D9" w:rsidP="00D731D9">
      <w:pPr>
        <w:spacing w:after="0" w:line="240" w:lineRule="auto"/>
        <w:rPr>
          <w:rFonts w:eastAsia="Calibri" w:cs="Times New Roman"/>
          <w:szCs w:val="24"/>
        </w:rPr>
      </w:pPr>
    </w:p>
    <w:p w:rsidR="00D731D9" w:rsidRPr="00B72A5E" w:rsidRDefault="00D731D9" w:rsidP="00D731D9">
      <w:pPr>
        <w:spacing w:after="0" w:line="240" w:lineRule="auto"/>
        <w:rPr>
          <w:rFonts w:eastAsia="Calibri" w:cs="Times New Roman"/>
          <w:b/>
          <w:bCs/>
          <w:szCs w:val="24"/>
        </w:rPr>
      </w:pPr>
      <w:r w:rsidRPr="00B72A5E">
        <w:rPr>
          <w:rFonts w:eastAsia="Calibri" w:cs="Times New Roman"/>
          <w:b/>
          <w:bCs/>
          <w:szCs w:val="24"/>
        </w:rPr>
        <w:t>INDUSTRY NEWS</w:t>
      </w:r>
    </w:p>
    <w:p w:rsidR="00D731D9" w:rsidRPr="00B72A5E" w:rsidRDefault="00D731D9" w:rsidP="00D731D9">
      <w:pPr>
        <w:spacing w:after="0" w:line="240" w:lineRule="auto"/>
        <w:rPr>
          <w:rFonts w:eastAsia="Calibri" w:cs="Times New Roman"/>
          <w:bCs/>
          <w:szCs w:val="24"/>
        </w:rPr>
      </w:pPr>
    </w:p>
    <w:p w:rsidR="00C46B0E" w:rsidRPr="00C46B0E" w:rsidRDefault="00C46B0E" w:rsidP="00C46B0E">
      <w:pPr>
        <w:spacing w:after="0" w:line="240" w:lineRule="auto"/>
        <w:rPr>
          <w:rFonts w:eastAsia="Calibri" w:cs="Times New Roman"/>
          <w:bCs/>
          <w:szCs w:val="24"/>
        </w:rPr>
      </w:pPr>
      <w:r w:rsidRPr="00C46B0E">
        <w:rPr>
          <w:rFonts w:eastAsia="Calibri" w:cs="Times New Roman"/>
          <w:b/>
          <w:bCs/>
          <w:szCs w:val="24"/>
        </w:rPr>
        <w:t>Erie Insurance Announces First-of-Its-Kind Ridesharing Coverage</w:t>
      </w:r>
      <w:r w:rsidRPr="00C46B0E">
        <w:rPr>
          <w:rFonts w:eastAsia="Calibri" w:cs="Times New Roman"/>
          <w:bCs/>
          <w:szCs w:val="24"/>
        </w:rPr>
        <w:t xml:space="preserve"> </w:t>
      </w:r>
      <w:hyperlink r:id="rId19" w:history="1">
        <w:r w:rsidRPr="00C46B0E">
          <w:rPr>
            <w:rFonts w:eastAsia="Calibri" w:cs="Times New Roman"/>
            <w:bCs/>
            <w:color w:val="0000FF" w:themeColor="hyperlink"/>
            <w:szCs w:val="24"/>
            <w:u w:val="single"/>
          </w:rPr>
          <w:t>Read more</w:t>
        </w:r>
      </w:hyperlink>
    </w:p>
    <w:p w:rsidR="00C46B0E" w:rsidRPr="00C46B0E" w:rsidRDefault="00C46B0E" w:rsidP="00C46B0E">
      <w:pPr>
        <w:spacing w:after="0" w:line="240" w:lineRule="auto"/>
        <w:rPr>
          <w:rFonts w:eastAsia="Calibri" w:cs="Times New Roman"/>
          <w:bCs/>
          <w:szCs w:val="24"/>
        </w:rPr>
      </w:pPr>
    </w:p>
    <w:p w:rsidR="00C46B0E" w:rsidRPr="00C46B0E" w:rsidRDefault="00C46B0E" w:rsidP="00C46B0E">
      <w:pPr>
        <w:spacing w:after="0" w:line="240" w:lineRule="auto"/>
        <w:rPr>
          <w:rFonts w:eastAsia="Calibri" w:cs="Times New Roman"/>
          <w:bCs/>
          <w:szCs w:val="24"/>
        </w:rPr>
      </w:pPr>
      <w:r w:rsidRPr="00C46B0E">
        <w:rPr>
          <w:rFonts w:eastAsia="Calibri" w:cs="Times New Roman"/>
          <w:b/>
          <w:bCs/>
          <w:szCs w:val="24"/>
        </w:rPr>
        <w:t>MetLife Completes Merger of Three Life Insurance Companies and One Former Offshore Reinsurance Subsidiary</w:t>
      </w:r>
      <w:r w:rsidRPr="00C46B0E">
        <w:rPr>
          <w:rFonts w:eastAsia="Calibri" w:cs="Times New Roman"/>
          <w:bCs/>
          <w:szCs w:val="24"/>
        </w:rPr>
        <w:t xml:space="preserve"> </w:t>
      </w:r>
      <w:hyperlink r:id="rId20" w:history="1">
        <w:r w:rsidRPr="00C46B0E">
          <w:rPr>
            <w:rFonts w:eastAsia="Calibri" w:cs="Times New Roman"/>
            <w:bCs/>
            <w:color w:val="0000FF" w:themeColor="hyperlink"/>
            <w:szCs w:val="24"/>
            <w:u w:val="single"/>
          </w:rPr>
          <w:t>Read more</w:t>
        </w:r>
      </w:hyperlink>
      <w:r w:rsidRPr="00C46B0E">
        <w:rPr>
          <w:rFonts w:eastAsia="Calibri" w:cs="Times New Roman"/>
          <w:bCs/>
          <w:szCs w:val="24"/>
        </w:rPr>
        <w:t xml:space="preserve"> </w:t>
      </w:r>
    </w:p>
    <w:p w:rsidR="00C46B0E" w:rsidRPr="00C46B0E" w:rsidRDefault="00C46B0E" w:rsidP="00C46B0E">
      <w:pPr>
        <w:spacing w:after="0" w:line="240" w:lineRule="auto"/>
        <w:rPr>
          <w:rFonts w:eastAsia="Calibri" w:cs="Times New Roman"/>
          <w:bCs/>
          <w:szCs w:val="24"/>
        </w:rPr>
      </w:pPr>
    </w:p>
    <w:p w:rsidR="00D731D9" w:rsidRPr="00B72A5E" w:rsidRDefault="00D731D9" w:rsidP="00D731D9">
      <w:pPr>
        <w:spacing w:after="0" w:line="240" w:lineRule="auto"/>
        <w:rPr>
          <w:rFonts w:eastAsia="Calibri" w:cs="Times New Roman"/>
          <w:bCs/>
          <w:szCs w:val="24"/>
        </w:rPr>
      </w:pPr>
      <w:r w:rsidRPr="00B72A5E">
        <w:rPr>
          <w:rFonts w:eastAsia="Calibri" w:cs="Times New Roman"/>
          <w:b/>
          <w:bCs/>
          <w:szCs w:val="24"/>
        </w:rPr>
        <w:t xml:space="preserve">Former General Counsel of the Florida Office of Insurance Regulation Joins </w:t>
      </w:r>
      <w:proofErr w:type="spellStart"/>
      <w:r w:rsidRPr="00B72A5E">
        <w:rPr>
          <w:rFonts w:eastAsia="Calibri" w:cs="Times New Roman"/>
          <w:b/>
          <w:bCs/>
          <w:szCs w:val="24"/>
        </w:rPr>
        <w:t>GrayRobinson</w:t>
      </w:r>
      <w:proofErr w:type="spellEnd"/>
      <w:r w:rsidRPr="00B72A5E">
        <w:rPr>
          <w:rFonts w:eastAsia="Calibri" w:cs="Times New Roman"/>
          <w:b/>
          <w:bCs/>
          <w:szCs w:val="24"/>
        </w:rPr>
        <w:t xml:space="preserve"> to Create New Insurance Regulation Practice</w:t>
      </w:r>
      <w:r>
        <w:rPr>
          <w:rFonts w:eastAsia="Calibri" w:cs="Times New Roman"/>
          <w:bCs/>
          <w:szCs w:val="24"/>
        </w:rPr>
        <w:t xml:space="preserve"> </w:t>
      </w:r>
      <w:hyperlink r:id="rId21" w:history="1">
        <w:r w:rsidRPr="00B72A5E">
          <w:rPr>
            <w:rStyle w:val="Hyperlink"/>
            <w:rFonts w:eastAsia="Calibri" w:cs="Times New Roman"/>
            <w:bCs/>
            <w:szCs w:val="24"/>
          </w:rPr>
          <w:t>Read more</w:t>
        </w:r>
      </w:hyperlink>
    </w:p>
    <w:p w:rsidR="00D731D9" w:rsidRDefault="00D731D9" w:rsidP="00D731D9">
      <w:pPr>
        <w:spacing w:after="0" w:line="240" w:lineRule="auto"/>
        <w:rPr>
          <w:rFonts w:eastAsia="Calibri" w:cs="Times New Roman"/>
          <w:bCs/>
          <w:szCs w:val="24"/>
        </w:rPr>
      </w:pPr>
    </w:p>
    <w:p w:rsidR="00D731D9" w:rsidRPr="00B72A5E" w:rsidRDefault="00D731D9" w:rsidP="00D731D9">
      <w:pPr>
        <w:spacing w:after="0" w:line="240" w:lineRule="auto"/>
        <w:rPr>
          <w:rFonts w:eastAsia="Calibri" w:cs="Times New Roman"/>
          <w:bCs/>
          <w:szCs w:val="24"/>
        </w:rPr>
      </w:pPr>
      <w:r w:rsidRPr="00B72A5E">
        <w:rPr>
          <w:rFonts w:eastAsia="Calibri" w:cs="Times New Roman"/>
          <w:b/>
          <w:bCs/>
          <w:szCs w:val="24"/>
        </w:rPr>
        <w:t>Frank Kaplan and Ken Meyers Join Blank Rome from Bingham</w:t>
      </w:r>
      <w:r>
        <w:rPr>
          <w:rFonts w:eastAsia="Calibri" w:cs="Times New Roman"/>
          <w:bCs/>
          <w:szCs w:val="24"/>
        </w:rPr>
        <w:t xml:space="preserve"> </w:t>
      </w:r>
      <w:hyperlink r:id="rId22" w:history="1">
        <w:r w:rsidRPr="00B72A5E">
          <w:rPr>
            <w:rStyle w:val="Hyperlink"/>
            <w:rFonts w:eastAsia="Calibri" w:cs="Times New Roman"/>
            <w:bCs/>
            <w:szCs w:val="24"/>
          </w:rPr>
          <w:t>Read more</w:t>
        </w:r>
      </w:hyperlink>
    </w:p>
    <w:p w:rsidR="00D731D9" w:rsidRDefault="00D731D9" w:rsidP="00D731D9">
      <w:pPr>
        <w:spacing w:after="0" w:line="240" w:lineRule="auto"/>
        <w:rPr>
          <w:rFonts w:eastAsia="Calibri" w:cs="Times New Roman"/>
          <w:bCs/>
          <w:szCs w:val="24"/>
        </w:rPr>
      </w:pPr>
    </w:p>
    <w:p w:rsidR="00D731D9" w:rsidRDefault="00D731D9" w:rsidP="00D731D9">
      <w:pPr>
        <w:spacing w:after="0" w:line="240" w:lineRule="auto"/>
        <w:rPr>
          <w:rFonts w:eastAsia="Calibri" w:cs="Times New Roman"/>
          <w:bCs/>
          <w:szCs w:val="24"/>
        </w:rPr>
      </w:pPr>
      <w:r w:rsidRPr="00B72A5E">
        <w:rPr>
          <w:rFonts w:eastAsia="Calibri" w:cs="Times New Roman"/>
          <w:b/>
          <w:bCs/>
          <w:szCs w:val="24"/>
        </w:rPr>
        <w:t>Aviva and Friends Life Group May Merge to Create Giant U.K. Insurance, Savings, and Asset Management Company</w:t>
      </w:r>
      <w:r>
        <w:rPr>
          <w:rFonts w:eastAsia="Calibri" w:cs="Times New Roman"/>
          <w:bCs/>
          <w:szCs w:val="24"/>
        </w:rPr>
        <w:t xml:space="preserve"> </w:t>
      </w:r>
      <w:hyperlink r:id="rId23" w:history="1">
        <w:r w:rsidRPr="00B72A5E">
          <w:rPr>
            <w:rStyle w:val="Hyperlink"/>
            <w:rFonts w:eastAsia="Calibri" w:cs="Times New Roman"/>
            <w:bCs/>
            <w:szCs w:val="24"/>
          </w:rPr>
          <w:t>Read more</w:t>
        </w:r>
      </w:hyperlink>
    </w:p>
    <w:p w:rsidR="00D731D9" w:rsidRPr="00B72A5E" w:rsidRDefault="00D731D9" w:rsidP="00D731D9">
      <w:pPr>
        <w:spacing w:after="0" w:line="240" w:lineRule="auto"/>
        <w:rPr>
          <w:rFonts w:eastAsia="Calibri" w:cs="Times New Roman"/>
          <w:bCs/>
          <w:szCs w:val="24"/>
        </w:rPr>
      </w:pPr>
    </w:p>
    <w:p w:rsidR="00D731D9" w:rsidRPr="00B72A5E" w:rsidRDefault="00D731D9" w:rsidP="00D731D9">
      <w:pPr>
        <w:spacing w:after="0" w:line="240" w:lineRule="auto"/>
        <w:rPr>
          <w:rFonts w:eastAsia="Calibri" w:cs="Times New Roman"/>
        </w:rPr>
      </w:pPr>
      <w:r w:rsidRPr="00B72A5E">
        <w:rPr>
          <w:rFonts w:eastAsia="Calibri" w:cs="Times New Roman"/>
          <w:bCs/>
          <w:szCs w:val="24"/>
        </w:rPr>
        <w:t>Browse</w:t>
      </w:r>
      <w:r w:rsidRPr="00B72A5E">
        <w:rPr>
          <w:rFonts w:eastAsia="Calibri" w:cs="Times New Roman"/>
          <w:b/>
          <w:bCs/>
          <w:szCs w:val="24"/>
        </w:rPr>
        <w:t> </w:t>
      </w:r>
      <w:hyperlink r:id="rId24" w:history="1">
        <w:r w:rsidRPr="00B72A5E">
          <w:rPr>
            <w:rFonts w:eastAsia="Calibri" w:cs="Times New Roman"/>
            <w:b/>
            <w:bCs/>
            <w:color w:val="0000FF"/>
            <w:szCs w:val="24"/>
            <w:u w:val="single"/>
          </w:rPr>
          <w:t>Industry News</w:t>
        </w:r>
      </w:hyperlink>
    </w:p>
    <w:p w:rsidR="00D731D9" w:rsidRPr="00B72A5E" w:rsidRDefault="00D731D9" w:rsidP="00D731D9">
      <w:pPr>
        <w:rPr>
          <w:rFonts w:eastAsia="Calibri" w:cs="Times New Roman"/>
        </w:rPr>
      </w:pPr>
    </w:p>
    <w:p w:rsidR="00FF09AA" w:rsidRDefault="00FF09AA"/>
    <w:sectPr w:rsidR="00FF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D9"/>
    <w:rsid w:val="00C46B0E"/>
    <w:rsid w:val="00D731D9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ndslegal.com/2014/11/20/the-case-of-the-exotic-porsche" TargetMode="External"/><Relationship Id="rId13" Type="http://schemas.openxmlformats.org/officeDocument/2006/relationships/hyperlink" Target="http://www.fcandslegal.com/case-law-developments" TargetMode="External"/><Relationship Id="rId18" Type="http://schemas.openxmlformats.org/officeDocument/2006/relationships/hyperlink" Target="http://www.fcandslegal.com/legislative-regulatory-development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candslegal.com/2014/11/24/former-general-counsel-of-the-florida-office-of-in" TargetMode="External"/><Relationship Id="rId7" Type="http://schemas.openxmlformats.org/officeDocument/2006/relationships/hyperlink" Target="http://www.fcandslegal.com/2014/11/20/the-case-of-the-exotic-porsche" TargetMode="External"/><Relationship Id="rId12" Type="http://schemas.openxmlformats.org/officeDocument/2006/relationships/hyperlink" Target="http://www.fcandslegal.com/2014/11/24/insurer-may-void-policy-where-embezzling-treasurer" TargetMode="External"/><Relationship Id="rId17" Type="http://schemas.openxmlformats.org/officeDocument/2006/relationships/hyperlink" Target="http://www.fcandslegal.com/2014/11/24/pbgc-annual-report-shows-severe-deterioration-in-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candslegal.com/2014/11/24/pbgc-annual-report-shows-severe-deterioration-in-m" TargetMode="External"/><Relationship Id="rId20" Type="http://schemas.openxmlformats.org/officeDocument/2006/relationships/hyperlink" Target="http://www.fcandslegal.com/2014/11/20/metlife-completes-merger-of-three-life-insurance-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candslegal.com/2014/11/20/federal-court-dismisses-insureds-action-in-superst" TargetMode="External"/><Relationship Id="rId11" Type="http://schemas.openxmlformats.org/officeDocument/2006/relationships/hyperlink" Target="http://www.fcandslegal.com/2014/11/24/insurer-may-void-policy-where-embezzling-treasurer" TargetMode="External"/><Relationship Id="rId24" Type="http://schemas.openxmlformats.org/officeDocument/2006/relationships/hyperlink" Target="http://www.fcandslegal.com/industry-news" TargetMode="External"/><Relationship Id="rId5" Type="http://schemas.openxmlformats.org/officeDocument/2006/relationships/hyperlink" Target="http://www.fcandslegal.com/2014/11/20/federal-court-dismisses-insureds-action-in-superst" TargetMode="External"/><Relationship Id="rId15" Type="http://schemas.openxmlformats.org/officeDocument/2006/relationships/hyperlink" Target="http://www.fcandslegal.com/2014/11/20/national-association-of-insurance-commissioners-el" TargetMode="External"/><Relationship Id="rId23" Type="http://schemas.openxmlformats.org/officeDocument/2006/relationships/hyperlink" Target="http://www.fcandslegal.com/2014/11/24/aviva-and-friends-life-group-may-merge-to-create-g" TargetMode="External"/><Relationship Id="rId10" Type="http://schemas.openxmlformats.org/officeDocument/2006/relationships/hyperlink" Target="http://www.fcandslegal.com/2014/11/24/seventh-circuit-again-refuses-to-limit-continuous" TargetMode="External"/><Relationship Id="rId19" Type="http://schemas.openxmlformats.org/officeDocument/2006/relationships/hyperlink" Target="http://www.fcandslegal.com/2014/11/20/erie-insurance-announces-first-of-its-kind-rides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andslegal.com/2014/11/24/seventh-circuit-again-refuses-to-limit-continuous" TargetMode="External"/><Relationship Id="rId14" Type="http://schemas.openxmlformats.org/officeDocument/2006/relationships/hyperlink" Target="http://www.fcandslegal.com/2014/11/20/national-association-of-insurance-commissioners-el" TargetMode="External"/><Relationship Id="rId22" Type="http://schemas.openxmlformats.org/officeDocument/2006/relationships/hyperlink" Target="http://www.fcandslegal.com/2014/11/24/frank-kaplan-and-ken-meyers-join-blank-rome-from-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2014-11-25T13:39:00Z</dcterms:created>
  <dcterms:modified xsi:type="dcterms:W3CDTF">2014-11-25T14:02:00Z</dcterms:modified>
</cp:coreProperties>
</file>