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F35" w:rsidRPr="00F87E3B" w:rsidRDefault="00A84F35" w:rsidP="00A84F35">
      <w:pPr>
        <w:spacing w:after="0" w:line="240" w:lineRule="auto"/>
        <w:jc w:val="center"/>
        <w:rPr>
          <w:rFonts w:eastAsia="Times New Roman" w:cs="Times New Roman"/>
          <w:b/>
          <w:bCs/>
          <w:szCs w:val="24"/>
          <w:u w:val="single"/>
        </w:rPr>
      </w:pPr>
      <w:r w:rsidRPr="00F87E3B">
        <w:rPr>
          <w:rFonts w:eastAsia="Times New Roman" w:cs="Times New Roman"/>
          <w:b/>
          <w:bCs/>
          <w:szCs w:val="24"/>
          <w:u w:val="single"/>
        </w:rPr>
        <w:t xml:space="preserve">FC&amp;S Legal Newsletter for August </w:t>
      </w:r>
      <w:r>
        <w:rPr>
          <w:rFonts w:eastAsia="Times New Roman" w:cs="Times New Roman"/>
          <w:b/>
          <w:bCs/>
          <w:szCs w:val="24"/>
          <w:u w:val="single"/>
        </w:rPr>
        <w:t>10</w:t>
      </w:r>
      <w:r w:rsidRPr="00F87E3B">
        <w:rPr>
          <w:rFonts w:eastAsia="Times New Roman" w:cs="Times New Roman"/>
          <w:b/>
          <w:bCs/>
          <w:szCs w:val="24"/>
          <w:u w:val="single"/>
        </w:rPr>
        <w:t>, 2015</w:t>
      </w:r>
    </w:p>
    <w:p w:rsidR="00A84F35" w:rsidRPr="00F87E3B" w:rsidRDefault="00A84F35" w:rsidP="00A84F35">
      <w:pPr>
        <w:tabs>
          <w:tab w:val="left" w:pos="2455"/>
        </w:tabs>
        <w:spacing w:after="0" w:line="240" w:lineRule="auto"/>
        <w:rPr>
          <w:rFonts w:eastAsia="Times New Roman" w:cs="Times New Roman"/>
          <w:b/>
          <w:bCs/>
          <w:szCs w:val="24"/>
        </w:rPr>
      </w:pPr>
      <w:r w:rsidRPr="00F87E3B">
        <w:rPr>
          <w:rFonts w:eastAsia="Times New Roman" w:cs="Times New Roman"/>
          <w:b/>
          <w:bCs/>
          <w:szCs w:val="24"/>
        </w:rPr>
        <w:tab/>
      </w:r>
    </w:p>
    <w:p w:rsidR="00A84F35" w:rsidRPr="00F87E3B" w:rsidRDefault="00A84F35" w:rsidP="00A84F35">
      <w:pPr>
        <w:spacing w:after="0" w:line="240" w:lineRule="auto"/>
        <w:rPr>
          <w:rFonts w:eastAsia="Times New Roman" w:cs="Times New Roman"/>
          <w:b/>
          <w:bCs/>
          <w:szCs w:val="24"/>
        </w:rPr>
      </w:pPr>
      <w:r w:rsidRPr="00F87E3B">
        <w:rPr>
          <w:rFonts w:eastAsia="Times New Roman" w:cs="Times New Roman"/>
          <w:b/>
          <w:bCs/>
          <w:szCs w:val="24"/>
        </w:rPr>
        <w:t xml:space="preserve">CASE LAW </w:t>
      </w:r>
    </w:p>
    <w:p w:rsidR="00A84F35" w:rsidRPr="00F87E3B" w:rsidRDefault="00A84F35" w:rsidP="00A84F35">
      <w:pPr>
        <w:spacing w:after="0" w:line="240" w:lineRule="auto"/>
        <w:rPr>
          <w:rFonts w:eastAsia="Times New Roman" w:cs="Times New Roman"/>
          <w:b/>
          <w:bCs/>
          <w:szCs w:val="24"/>
        </w:rPr>
      </w:pPr>
    </w:p>
    <w:p w:rsidR="00A84F35" w:rsidRPr="00A84F35" w:rsidRDefault="00A84F35" w:rsidP="00A84F35">
      <w:pPr>
        <w:shd w:val="clear" w:color="auto" w:fill="FFFFFF"/>
        <w:spacing w:after="0" w:line="240" w:lineRule="auto"/>
        <w:textAlignment w:val="baseline"/>
        <w:outlineLvl w:val="2"/>
        <w:rPr>
          <w:rFonts w:eastAsia="Times New Roman" w:cs="Times New Roman"/>
          <w:bCs/>
          <w:szCs w:val="24"/>
        </w:rPr>
      </w:pPr>
      <w:r w:rsidRPr="00A84F35">
        <w:rPr>
          <w:rFonts w:eastAsia="Times New Roman" w:cs="Times New Roman"/>
          <w:b/>
          <w:bCs/>
          <w:szCs w:val="24"/>
        </w:rPr>
        <w:t>Automobile Insurance</w:t>
      </w:r>
    </w:p>
    <w:p w:rsidR="00A84F35" w:rsidRPr="00A84F35" w:rsidRDefault="000040A6" w:rsidP="00A84F35">
      <w:pPr>
        <w:shd w:val="clear" w:color="auto" w:fill="FFFFFF"/>
        <w:spacing w:after="0" w:line="240" w:lineRule="auto"/>
        <w:textAlignment w:val="baseline"/>
        <w:outlineLvl w:val="2"/>
        <w:rPr>
          <w:rFonts w:eastAsia="Times New Roman" w:cs="Times New Roman"/>
          <w:b/>
          <w:bCs/>
          <w:szCs w:val="24"/>
        </w:rPr>
      </w:pPr>
      <w:hyperlink r:id="rId7" w:history="1">
        <w:r w:rsidR="00A84F35" w:rsidRPr="00A84F35">
          <w:rPr>
            <w:rStyle w:val="Hyperlink"/>
            <w:rFonts w:eastAsia="Times New Roman" w:cs="Times New Roman"/>
            <w:b/>
            <w:bCs/>
            <w:szCs w:val="24"/>
          </w:rPr>
          <w:t>It’s Time for Pennsylvania’s Top Court to Determine Whether the Economic Loss Doctrine Bars First Party Claims under Pennsylvania’s UTPCPL</w:t>
        </w:r>
      </w:hyperlink>
      <w:r w:rsidR="00A84F35" w:rsidRPr="00A84F35">
        <w:rPr>
          <w:rFonts w:eastAsia="Times New Roman" w:cs="Times New Roman"/>
          <w:b/>
          <w:bCs/>
          <w:szCs w:val="24"/>
        </w:rPr>
        <w:t> </w:t>
      </w:r>
    </w:p>
    <w:p w:rsidR="00A84F35" w:rsidRDefault="00A84F35" w:rsidP="00A84F35">
      <w:pPr>
        <w:shd w:val="clear" w:color="auto" w:fill="FFFFFF"/>
        <w:spacing w:after="0" w:line="240" w:lineRule="auto"/>
        <w:textAlignment w:val="baseline"/>
        <w:outlineLvl w:val="2"/>
        <w:rPr>
          <w:rFonts w:eastAsia="Times New Roman" w:cs="Times New Roman"/>
          <w:bCs/>
          <w:szCs w:val="24"/>
        </w:rPr>
      </w:pPr>
      <w:r w:rsidRPr="00A84F35">
        <w:rPr>
          <w:rFonts w:eastAsia="Times New Roman" w:cs="Times New Roman"/>
          <w:bCs/>
          <w:szCs w:val="24"/>
        </w:rPr>
        <w:t>Another federal district court in Pennsylvania has been asked to decide whether the economic loss doctrine barred first party claims under Pennsylvania’s Unfair Trade Practices and Consumer Protection Law. This court decided that it did – but numerous other federal, and lower Pennsylvania, courts have reached the opposite conclusion. It is time for the Pennsylvania Supreme Court to resolve the issue.</w:t>
      </w:r>
      <w:r>
        <w:rPr>
          <w:rFonts w:eastAsia="Times New Roman" w:cs="Times New Roman"/>
          <w:bCs/>
          <w:szCs w:val="24"/>
        </w:rPr>
        <w:t xml:space="preserve"> </w:t>
      </w:r>
      <w:hyperlink r:id="rId8" w:history="1">
        <w:r w:rsidRPr="00D7644B">
          <w:rPr>
            <w:rStyle w:val="Hyperlink"/>
            <w:rFonts w:eastAsia="Times New Roman" w:cs="Times New Roman"/>
            <w:bCs/>
            <w:szCs w:val="24"/>
          </w:rPr>
          <w:t>Read more</w:t>
        </w:r>
      </w:hyperlink>
    </w:p>
    <w:p w:rsidR="00D7644B" w:rsidRPr="00A84F35" w:rsidRDefault="00D7644B" w:rsidP="00A84F35">
      <w:pPr>
        <w:shd w:val="clear" w:color="auto" w:fill="FFFFFF"/>
        <w:spacing w:after="0" w:line="240" w:lineRule="auto"/>
        <w:textAlignment w:val="baseline"/>
        <w:outlineLvl w:val="2"/>
        <w:rPr>
          <w:rFonts w:eastAsia="Times New Roman" w:cs="Times New Roman"/>
          <w:bCs/>
          <w:szCs w:val="24"/>
        </w:rPr>
      </w:pPr>
    </w:p>
    <w:p w:rsidR="00A84F35" w:rsidRPr="00A84F35" w:rsidRDefault="00A84F35" w:rsidP="00A84F35">
      <w:pPr>
        <w:shd w:val="clear" w:color="auto" w:fill="FFFFFF"/>
        <w:spacing w:after="0" w:line="240" w:lineRule="auto"/>
        <w:textAlignment w:val="baseline"/>
        <w:outlineLvl w:val="2"/>
        <w:rPr>
          <w:rFonts w:eastAsia="Times New Roman" w:cs="Times New Roman"/>
          <w:bCs/>
          <w:szCs w:val="24"/>
        </w:rPr>
      </w:pPr>
      <w:r w:rsidRPr="00A84F35">
        <w:rPr>
          <w:rFonts w:eastAsia="Times New Roman" w:cs="Times New Roman"/>
          <w:b/>
          <w:bCs/>
          <w:szCs w:val="24"/>
        </w:rPr>
        <w:t>Commercial General Liability</w:t>
      </w:r>
    </w:p>
    <w:p w:rsidR="00A84F35" w:rsidRPr="00A84F35" w:rsidRDefault="000040A6" w:rsidP="00A84F35">
      <w:pPr>
        <w:shd w:val="clear" w:color="auto" w:fill="FFFFFF"/>
        <w:spacing w:after="0" w:line="240" w:lineRule="auto"/>
        <w:textAlignment w:val="baseline"/>
        <w:outlineLvl w:val="2"/>
        <w:rPr>
          <w:rFonts w:eastAsia="Times New Roman" w:cs="Times New Roman"/>
          <w:b/>
          <w:bCs/>
          <w:szCs w:val="24"/>
        </w:rPr>
      </w:pPr>
      <w:hyperlink r:id="rId9" w:history="1">
        <w:r w:rsidR="00A84F35" w:rsidRPr="00A84F35">
          <w:rPr>
            <w:rStyle w:val="Hyperlink"/>
            <w:rFonts w:eastAsia="Times New Roman" w:cs="Times New Roman"/>
            <w:b/>
            <w:bCs/>
            <w:szCs w:val="24"/>
          </w:rPr>
          <w:t xml:space="preserve">Tenth Circuit: Colorado’s “Complete Operation” Doctrine Barred Coverage for Suit Alleging that Workers Delivering Stairmaster Lost Control and It Tumbled </w:t>
        </w:r>
        <w:proofErr w:type="gramStart"/>
        <w:r w:rsidR="00A84F35" w:rsidRPr="00A84F35">
          <w:rPr>
            <w:rStyle w:val="Hyperlink"/>
            <w:rFonts w:eastAsia="Times New Roman" w:cs="Times New Roman"/>
            <w:b/>
            <w:bCs/>
            <w:szCs w:val="24"/>
          </w:rPr>
          <w:t>Down</w:t>
        </w:r>
        <w:proofErr w:type="gramEnd"/>
        <w:r w:rsidR="00A84F35" w:rsidRPr="00A84F35">
          <w:rPr>
            <w:rStyle w:val="Hyperlink"/>
            <w:rFonts w:eastAsia="Times New Roman" w:cs="Times New Roman"/>
            <w:b/>
            <w:bCs/>
            <w:szCs w:val="24"/>
          </w:rPr>
          <w:t xml:space="preserve"> the Steps, Crushing Buyer</w:t>
        </w:r>
      </w:hyperlink>
      <w:r w:rsidR="00A84F35" w:rsidRPr="00A84F35">
        <w:rPr>
          <w:rFonts w:eastAsia="Times New Roman" w:cs="Times New Roman"/>
          <w:b/>
          <w:bCs/>
          <w:szCs w:val="24"/>
        </w:rPr>
        <w:t> </w:t>
      </w:r>
    </w:p>
    <w:p w:rsidR="00A84F35" w:rsidRDefault="00A84F35" w:rsidP="00A84F35">
      <w:pPr>
        <w:shd w:val="clear" w:color="auto" w:fill="FFFFFF"/>
        <w:spacing w:after="0" w:line="240" w:lineRule="auto"/>
        <w:textAlignment w:val="baseline"/>
        <w:outlineLvl w:val="2"/>
        <w:rPr>
          <w:rFonts w:eastAsia="Times New Roman" w:cs="Times New Roman"/>
          <w:bCs/>
          <w:szCs w:val="24"/>
        </w:rPr>
      </w:pPr>
      <w:r w:rsidRPr="00A84F35">
        <w:rPr>
          <w:rFonts w:eastAsia="Times New Roman" w:cs="Times New Roman"/>
          <w:bCs/>
          <w:szCs w:val="24"/>
        </w:rPr>
        <w:t xml:space="preserve">The U.S. Court of Appeals for the Tenth Circuit, affirming a decision by the U.S. District Court for the District of Colorado, has ruled that the “loading or unloading” provision in an auto exclusion in a commercial general liability insurance policy, which mirrored Colorado’s “compete operation” doctrine, barred coverage for a lawsuit alleging that a Stairmaster exercise machine being delivered by two of the insured’s employees fell down the stairs at the purchaser’s loft, crushing her. </w:t>
      </w:r>
      <w:hyperlink r:id="rId10" w:history="1">
        <w:r w:rsidRPr="00D7644B">
          <w:rPr>
            <w:rStyle w:val="Hyperlink"/>
            <w:rFonts w:eastAsia="Times New Roman" w:cs="Times New Roman"/>
            <w:bCs/>
            <w:szCs w:val="24"/>
          </w:rPr>
          <w:t>Read more</w:t>
        </w:r>
      </w:hyperlink>
    </w:p>
    <w:p w:rsidR="00D7644B" w:rsidRPr="00A84F35" w:rsidRDefault="00D7644B" w:rsidP="00A84F35">
      <w:pPr>
        <w:shd w:val="clear" w:color="auto" w:fill="FFFFFF"/>
        <w:spacing w:after="0" w:line="240" w:lineRule="auto"/>
        <w:textAlignment w:val="baseline"/>
        <w:outlineLvl w:val="2"/>
        <w:rPr>
          <w:rFonts w:eastAsia="Times New Roman" w:cs="Times New Roman"/>
          <w:bCs/>
          <w:szCs w:val="24"/>
        </w:rPr>
      </w:pPr>
    </w:p>
    <w:p w:rsidR="00A84F35" w:rsidRPr="00A84F35" w:rsidRDefault="00A84F35" w:rsidP="00A84F35">
      <w:pPr>
        <w:shd w:val="clear" w:color="auto" w:fill="FFFFFF"/>
        <w:spacing w:after="0" w:line="240" w:lineRule="auto"/>
        <w:textAlignment w:val="baseline"/>
        <w:outlineLvl w:val="2"/>
        <w:rPr>
          <w:rFonts w:eastAsia="Times New Roman" w:cs="Times New Roman"/>
          <w:bCs/>
          <w:szCs w:val="24"/>
        </w:rPr>
      </w:pPr>
      <w:r w:rsidRPr="00A84F35">
        <w:rPr>
          <w:rFonts w:eastAsia="Times New Roman" w:cs="Times New Roman"/>
          <w:b/>
          <w:bCs/>
          <w:szCs w:val="24"/>
        </w:rPr>
        <w:t>Commercial General Liability</w:t>
      </w:r>
    </w:p>
    <w:p w:rsidR="00A84F35" w:rsidRPr="00A84F35" w:rsidRDefault="000040A6" w:rsidP="00A84F35">
      <w:pPr>
        <w:shd w:val="clear" w:color="auto" w:fill="FFFFFF"/>
        <w:spacing w:after="0" w:line="240" w:lineRule="auto"/>
        <w:textAlignment w:val="baseline"/>
        <w:outlineLvl w:val="2"/>
        <w:rPr>
          <w:rFonts w:eastAsia="Times New Roman" w:cs="Times New Roman"/>
          <w:b/>
          <w:bCs/>
          <w:szCs w:val="24"/>
        </w:rPr>
      </w:pPr>
      <w:hyperlink r:id="rId11" w:history="1">
        <w:r w:rsidR="00A84F35" w:rsidRPr="00A84F35">
          <w:rPr>
            <w:rStyle w:val="Hyperlink"/>
            <w:rFonts w:eastAsia="Times New Roman" w:cs="Times New Roman"/>
            <w:b/>
            <w:bCs/>
            <w:szCs w:val="24"/>
          </w:rPr>
          <w:t>No Coverage for “Junk Fax” Class Action Where Individuals’ Separate Claims Did Not Reach Policy’s $1,000 Deductible, Eighth Circuit Affirms</w:t>
        </w:r>
      </w:hyperlink>
      <w:r w:rsidR="00A84F35" w:rsidRPr="00A84F35">
        <w:rPr>
          <w:rFonts w:eastAsia="Times New Roman" w:cs="Times New Roman"/>
          <w:b/>
          <w:bCs/>
          <w:szCs w:val="24"/>
        </w:rPr>
        <w:t> </w:t>
      </w:r>
    </w:p>
    <w:p w:rsidR="00A84F35" w:rsidRDefault="00A84F35" w:rsidP="00A84F35">
      <w:pPr>
        <w:shd w:val="clear" w:color="auto" w:fill="FFFFFF"/>
        <w:spacing w:after="0" w:line="240" w:lineRule="auto"/>
        <w:textAlignment w:val="baseline"/>
        <w:outlineLvl w:val="2"/>
        <w:rPr>
          <w:rFonts w:eastAsia="Times New Roman" w:cs="Times New Roman"/>
          <w:bCs/>
          <w:szCs w:val="24"/>
        </w:rPr>
      </w:pPr>
      <w:r w:rsidRPr="00A84F35">
        <w:rPr>
          <w:rFonts w:eastAsia="Times New Roman" w:cs="Times New Roman"/>
          <w:bCs/>
          <w:szCs w:val="24"/>
        </w:rPr>
        <w:t>The U.S. Court of Appeals for the Eighth Circuit, affirming a decision by the U.S. District Court for the Western District of Missouri, has ruled that an insurance company was not obligated to defend its insured in connection with a putative “junk fax” class action lawsuit where the amount sought by individuals did not separately reach the $1,000 deductible in the insured’s policy.</w:t>
      </w:r>
      <w:r w:rsidR="00D7644B">
        <w:rPr>
          <w:rFonts w:eastAsia="Times New Roman" w:cs="Times New Roman"/>
          <w:bCs/>
          <w:szCs w:val="24"/>
        </w:rPr>
        <w:t xml:space="preserve"> </w:t>
      </w:r>
      <w:hyperlink r:id="rId12" w:history="1">
        <w:r w:rsidR="00D7644B" w:rsidRPr="00D7644B">
          <w:rPr>
            <w:rStyle w:val="Hyperlink"/>
            <w:rFonts w:eastAsia="Times New Roman" w:cs="Times New Roman"/>
            <w:bCs/>
            <w:szCs w:val="24"/>
          </w:rPr>
          <w:t>Read more</w:t>
        </w:r>
      </w:hyperlink>
    </w:p>
    <w:p w:rsidR="00D7644B" w:rsidRPr="00A84F35" w:rsidRDefault="00D7644B" w:rsidP="00A84F35">
      <w:pPr>
        <w:shd w:val="clear" w:color="auto" w:fill="FFFFFF"/>
        <w:spacing w:after="0" w:line="240" w:lineRule="auto"/>
        <w:textAlignment w:val="baseline"/>
        <w:outlineLvl w:val="2"/>
        <w:rPr>
          <w:rFonts w:eastAsia="Times New Roman" w:cs="Times New Roman"/>
          <w:bCs/>
          <w:szCs w:val="24"/>
        </w:rPr>
      </w:pPr>
    </w:p>
    <w:p w:rsidR="00A84F35" w:rsidRPr="00A84F35" w:rsidRDefault="00A84F35" w:rsidP="00A84F35">
      <w:pPr>
        <w:shd w:val="clear" w:color="auto" w:fill="FFFFFF"/>
        <w:spacing w:after="0" w:line="240" w:lineRule="auto"/>
        <w:textAlignment w:val="baseline"/>
        <w:outlineLvl w:val="2"/>
        <w:rPr>
          <w:rFonts w:eastAsia="Times New Roman" w:cs="Times New Roman"/>
          <w:bCs/>
          <w:szCs w:val="24"/>
        </w:rPr>
      </w:pPr>
      <w:r w:rsidRPr="00A84F35">
        <w:rPr>
          <w:rFonts w:eastAsia="Times New Roman" w:cs="Times New Roman"/>
          <w:b/>
          <w:bCs/>
          <w:szCs w:val="24"/>
        </w:rPr>
        <w:t>Business Owners</w:t>
      </w:r>
    </w:p>
    <w:p w:rsidR="00A84F35" w:rsidRPr="00A84F35" w:rsidRDefault="000040A6" w:rsidP="00A84F35">
      <w:pPr>
        <w:shd w:val="clear" w:color="auto" w:fill="FFFFFF"/>
        <w:spacing w:after="0" w:line="240" w:lineRule="auto"/>
        <w:textAlignment w:val="baseline"/>
        <w:outlineLvl w:val="2"/>
        <w:rPr>
          <w:rFonts w:eastAsia="Times New Roman" w:cs="Times New Roman"/>
          <w:b/>
          <w:bCs/>
          <w:szCs w:val="24"/>
        </w:rPr>
      </w:pPr>
      <w:hyperlink r:id="rId13" w:history="1">
        <w:r w:rsidR="00A84F35" w:rsidRPr="00A84F35">
          <w:rPr>
            <w:rStyle w:val="Hyperlink"/>
            <w:rFonts w:eastAsia="Times New Roman" w:cs="Times New Roman"/>
            <w:b/>
            <w:bCs/>
            <w:szCs w:val="24"/>
          </w:rPr>
          <w:t xml:space="preserve">Eighth Circuit: Insured May Recover “Extra Expenses” Incurred in Moving Medical Practice to Replacement Location </w:t>
        </w:r>
        <w:proofErr w:type="gramStart"/>
        <w:r w:rsidR="00A84F35" w:rsidRPr="00A84F35">
          <w:rPr>
            <w:rStyle w:val="Hyperlink"/>
            <w:rFonts w:eastAsia="Times New Roman" w:cs="Times New Roman"/>
            <w:b/>
            <w:bCs/>
            <w:szCs w:val="24"/>
          </w:rPr>
          <w:t>After</w:t>
        </w:r>
        <w:proofErr w:type="gramEnd"/>
        <w:r w:rsidR="00A84F35" w:rsidRPr="00A84F35">
          <w:rPr>
            <w:rStyle w:val="Hyperlink"/>
            <w:rFonts w:eastAsia="Times New Roman" w:cs="Times New Roman"/>
            <w:b/>
            <w:bCs/>
            <w:szCs w:val="24"/>
          </w:rPr>
          <w:t xml:space="preserve"> Tornado</w:t>
        </w:r>
      </w:hyperlink>
      <w:r w:rsidR="00A84F35" w:rsidRPr="00A84F35">
        <w:rPr>
          <w:rFonts w:eastAsia="Times New Roman" w:cs="Times New Roman"/>
          <w:b/>
          <w:bCs/>
          <w:szCs w:val="24"/>
        </w:rPr>
        <w:t> </w:t>
      </w:r>
    </w:p>
    <w:p w:rsidR="00A84F35" w:rsidRDefault="00A84F35" w:rsidP="00A84F35">
      <w:pPr>
        <w:shd w:val="clear" w:color="auto" w:fill="FFFFFF"/>
        <w:spacing w:after="0" w:line="240" w:lineRule="auto"/>
        <w:textAlignment w:val="baseline"/>
        <w:outlineLvl w:val="2"/>
        <w:rPr>
          <w:rFonts w:eastAsia="Times New Roman" w:cs="Times New Roman"/>
          <w:bCs/>
          <w:szCs w:val="24"/>
        </w:rPr>
      </w:pPr>
      <w:r w:rsidRPr="00A84F35">
        <w:rPr>
          <w:rFonts w:eastAsia="Times New Roman" w:cs="Times New Roman"/>
          <w:bCs/>
          <w:szCs w:val="24"/>
        </w:rPr>
        <w:t xml:space="preserve">The U.S. Court of Appeals for the Eighth Circuit has ruled that a medical practice that moved to a replacement location after a tornado damaged its insured location was entitled to be reimbursed as “extra expenses” for the repair and relocation of its magnetic resonance imaging machine and for the replacement of other specialty equipment. </w:t>
      </w:r>
      <w:hyperlink r:id="rId14" w:history="1">
        <w:r w:rsidRPr="00D7644B">
          <w:rPr>
            <w:rStyle w:val="Hyperlink"/>
            <w:rFonts w:eastAsia="Times New Roman" w:cs="Times New Roman"/>
            <w:bCs/>
            <w:szCs w:val="24"/>
          </w:rPr>
          <w:t>Read more</w:t>
        </w:r>
      </w:hyperlink>
    </w:p>
    <w:p w:rsidR="00D7644B" w:rsidRPr="00A84F35" w:rsidRDefault="00D7644B" w:rsidP="00A84F35">
      <w:pPr>
        <w:shd w:val="clear" w:color="auto" w:fill="FFFFFF"/>
        <w:spacing w:after="0" w:line="240" w:lineRule="auto"/>
        <w:textAlignment w:val="baseline"/>
        <w:outlineLvl w:val="2"/>
        <w:rPr>
          <w:rFonts w:eastAsia="Times New Roman" w:cs="Times New Roman"/>
          <w:bCs/>
          <w:szCs w:val="24"/>
        </w:rPr>
      </w:pPr>
    </w:p>
    <w:p w:rsidR="00A84F35" w:rsidRPr="00F87E3B" w:rsidRDefault="00A84F35" w:rsidP="00A84F35">
      <w:pPr>
        <w:shd w:val="clear" w:color="auto" w:fill="FFFFFF"/>
        <w:spacing w:after="0" w:line="240" w:lineRule="auto"/>
        <w:textAlignment w:val="baseline"/>
        <w:outlineLvl w:val="2"/>
        <w:rPr>
          <w:rFonts w:eastAsia="Times New Roman" w:cs="Times New Roman"/>
          <w:bCs/>
          <w:szCs w:val="24"/>
        </w:rPr>
      </w:pPr>
      <w:r w:rsidRPr="00F87E3B">
        <w:rPr>
          <w:rFonts w:eastAsia="Times New Roman" w:cs="Times New Roman"/>
          <w:bCs/>
          <w:szCs w:val="24"/>
        </w:rPr>
        <w:t>Browse </w:t>
      </w:r>
      <w:hyperlink r:id="rId15" w:history="1">
        <w:r w:rsidRPr="00F87E3B">
          <w:rPr>
            <w:rFonts w:eastAsia="Times New Roman" w:cs="Times New Roman"/>
            <w:bCs/>
            <w:color w:val="0563C1"/>
            <w:szCs w:val="24"/>
            <w:u w:val="single"/>
          </w:rPr>
          <w:t>Case Law Developments</w:t>
        </w:r>
      </w:hyperlink>
    </w:p>
    <w:p w:rsidR="00A84F35" w:rsidRPr="00F87E3B" w:rsidRDefault="00A84F35" w:rsidP="00A84F35">
      <w:pPr>
        <w:shd w:val="clear" w:color="auto" w:fill="FFFFFF"/>
        <w:spacing w:after="0" w:line="240" w:lineRule="auto"/>
        <w:textAlignment w:val="baseline"/>
        <w:outlineLvl w:val="2"/>
        <w:rPr>
          <w:rFonts w:eastAsia="Times New Roman" w:cs="Times New Roman"/>
          <w:b/>
          <w:bCs/>
          <w:szCs w:val="24"/>
        </w:rPr>
      </w:pPr>
    </w:p>
    <w:p w:rsidR="00A84F35" w:rsidRPr="00F87E3B" w:rsidRDefault="00A84F35" w:rsidP="00A84F35">
      <w:pPr>
        <w:spacing w:after="0" w:line="240" w:lineRule="auto"/>
        <w:rPr>
          <w:rFonts w:eastAsia="Times New Roman" w:cs="Times New Roman"/>
          <w:b/>
          <w:bCs/>
          <w:szCs w:val="24"/>
        </w:rPr>
      </w:pPr>
      <w:r w:rsidRPr="00F87E3B">
        <w:rPr>
          <w:rFonts w:eastAsia="Times New Roman" w:cs="Times New Roman"/>
          <w:b/>
          <w:bCs/>
          <w:szCs w:val="24"/>
        </w:rPr>
        <w:t>LEGISLATIVE/REGULATORY DEVELOPMENTS</w:t>
      </w:r>
    </w:p>
    <w:p w:rsidR="00A84F35" w:rsidRPr="00F87E3B" w:rsidRDefault="00A84F35" w:rsidP="00A84F35">
      <w:pPr>
        <w:spacing w:after="0" w:line="240" w:lineRule="auto"/>
        <w:rPr>
          <w:rFonts w:eastAsia="Times New Roman" w:cs="Times New Roman"/>
          <w:szCs w:val="24"/>
        </w:rPr>
      </w:pPr>
    </w:p>
    <w:p w:rsidR="00B46B0D" w:rsidRDefault="00B46B0D" w:rsidP="00A84F35">
      <w:pPr>
        <w:spacing w:after="0" w:line="240" w:lineRule="auto"/>
        <w:rPr>
          <w:rFonts w:eastAsia="Times New Roman" w:cs="Times New Roman"/>
          <w:b/>
          <w:bCs/>
          <w:szCs w:val="24"/>
        </w:rPr>
      </w:pPr>
    </w:p>
    <w:p w:rsidR="00A84F35" w:rsidRPr="00A84F35" w:rsidRDefault="00A84F35" w:rsidP="00A84F35">
      <w:pPr>
        <w:spacing w:after="0" w:line="240" w:lineRule="auto"/>
        <w:rPr>
          <w:rFonts w:eastAsia="Times New Roman" w:cs="Times New Roman"/>
          <w:szCs w:val="24"/>
        </w:rPr>
      </w:pPr>
      <w:bookmarkStart w:id="0" w:name="_GoBack"/>
      <w:bookmarkEnd w:id="0"/>
      <w:proofErr w:type="spellStart"/>
      <w:r w:rsidRPr="00A84F35">
        <w:rPr>
          <w:rFonts w:eastAsia="Times New Roman" w:cs="Times New Roman"/>
          <w:b/>
          <w:bCs/>
          <w:szCs w:val="24"/>
        </w:rPr>
        <w:lastRenderedPageBreak/>
        <w:t>Cyberliability</w:t>
      </w:r>
      <w:proofErr w:type="spellEnd"/>
    </w:p>
    <w:p w:rsidR="00A84F35" w:rsidRPr="00A84F35" w:rsidRDefault="000040A6" w:rsidP="00A84F35">
      <w:pPr>
        <w:spacing w:after="0" w:line="240" w:lineRule="auto"/>
        <w:rPr>
          <w:rFonts w:eastAsia="Times New Roman" w:cs="Times New Roman"/>
          <w:b/>
          <w:bCs/>
          <w:szCs w:val="24"/>
        </w:rPr>
      </w:pPr>
      <w:hyperlink r:id="rId16" w:history="1">
        <w:r w:rsidR="00A84F35" w:rsidRPr="00A84F35">
          <w:rPr>
            <w:rStyle w:val="Hyperlink"/>
            <w:rFonts w:eastAsia="Times New Roman" w:cs="Times New Roman"/>
            <w:b/>
            <w:bCs/>
            <w:szCs w:val="24"/>
          </w:rPr>
          <w:t xml:space="preserve">NAIC Releases Draft Consumer Bill of Rights, Coordinates Insurer Examinations to Verify Data Security, and Sponsors </w:t>
        </w:r>
        <w:proofErr w:type="spellStart"/>
        <w:r w:rsidR="00A84F35" w:rsidRPr="00A84F35">
          <w:rPr>
            <w:rStyle w:val="Hyperlink"/>
            <w:rFonts w:eastAsia="Times New Roman" w:cs="Times New Roman"/>
            <w:b/>
            <w:bCs/>
            <w:szCs w:val="24"/>
          </w:rPr>
          <w:t>Cybersecurity</w:t>
        </w:r>
        <w:proofErr w:type="spellEnd"/>
        <w:r w:rsidR="00A84F35" w:rsidRPr="00A84F35">
          <w:rPr>
            <w:rStyle w:val="Hyperlink"/>
            <w:rFonts w:eastAsia="Times New Roman" w:cs="Times New Roman"/>
            <w:b/>
            <w:bCs/>
            <w:szCs w:val="24"/>
          </w:rPr>
          <w:t xml:space="preserve"> Forum</w:t>
        </w:r>
      </w:hyperlink>
      <w:r w:rsidR="00A84F35" w:rsidRPr="00A84F35">
        <w:rPr>
          <w:rFonts w:eastAsia="Times New Roman" w:cs="Times New Roman"/>
          <w:b/>
          <w:bCs/>
          <w:szCs w:val="24"/>
        </w:rPr>
        <w:t> </w:t>
      </w:r>
    </w:p>
    <w:p w:rsidR="00A84F35" w:rsidRDefault="00A84F35" w:rsidP="00A84F35">
      <w:pPr>
        <w:spacing w:after="0" w:line="240" w:lineRule="auto"/>
        <w:rPr>
          <w:rFonts w:eastAsia="Times New Roman" w:cs="Times New Roman"/>
          <w:bCs/>
          <w:szCs w:val="24"/>
        </w:rPr>
      </w:pPr>
      <w:r w:rsidRPr="00A84F35">
        <w:rPr>
          <w:rFonts w:eastAsia="Times New Roman" w:cs="Times New Roman"/>
          <w:szCs w:val="24"/>
        </w:rPr>
        <w:t>The National Association of Insurance Commissioners is moving forward with three additional initiatives designed to help protect consumer information and educate the public about cyber risks.</w:t>
      </w:r>
      <w:r w:rsidRPr="00A84F35">
        <w:rPr>
          <w:rFonts w:eastAsia="Times New Roman" w:cs="Times New Roman"/>
          <w:bCs/>
          <w:szCs w:val="24"/>
        </w:rPr>
        <w:t xml:space="preserve"> </w:t>
      </w:r>
      <w:hyperlink r:id="rId17" w:history="1">
        <w:r w:rsidRPr="00D7644B">
          <w:rPr>
            <w:rStyle w:val="Hyperlink"/>
            <w:rFonts w:eastAsia="Times New Roman" w:cs="Times New Roman"/>
            <w:bCs/>
            <w:szCs w:val="24"/>
          </w:rPr>
          <w:t>Read more</w:t>
        </w:r>
      </w:hyperlink>
    </w:p>
    <w:p w:rsidR="00D7644B" w:rsidRPr="00A84F35" w:rsidRDefault="00D7644B" w:rsidP="00A84F35">
      <w:pPr>
        <w:spacing w:after="0" w:line="240" w:lineRule="auto"/>
        <w:rPr>
          <w:rFonts w:eastAsia="Times New Roman" w:cs="Times New Roman"/>
          <w:szCs w:val="24"/>
        </w:rPr>
      </w:pPr>
    </w:p>
    <w:p w:rsidR="00A84F35" w:rsidRPr="00A84F35" w:rsidRDefault="00A84F35" w:rsidP="00A84F35">
      <w:pPr>
        <w:spacing w:after="0" w:line="240" w:lineRule="auto"/>
        <w:rPr>
          <w:rFonts w:eastAsia="Times New Roman" w:cs="Times New Roman"/>
          <w:szCs w:val="24"/>
        </w:rPr>
      </w:pPr>
      <w:r w:rsidRPr="00A84F35">
        <w:rPr>
          <w:rFonts w:eastAsia="Times New Roman" w:cs="Times New Roman"/>
          <w:b/>
          <w:bCs/>
          <w:szCs w:val="24"/>
        </w:rPr>
        <w:t>Alternative Risk and Captives</w:t>
      </w:r>
    </w:p>
    <w:p w:rsidR="00A84F35" w:rsidRPr="00A84F35" w:rsidRDefault="000040A6" w:rsidP="00A84F35">
      <w:pPr>
        <w:spacing w:after="0" w:line="240" w:lineRule="auto"/>
        <w:rPr>
          <w:rFonts w:eastAsia="Times New Roman" w:cs="Times New Roman"/>
          <w:b/>
          <w:bCs/>
          <w:szCs w:val="24"/>
        </w:rPr>
      </w:pPr>
      <w:hyperlink r:id="rId18" w:history="1">
        <w:r w:rsidR="00A84F35" w:rsidRPr="00A84F35">
          <w:rPr>
            <w:rStyle w:val="Hyperlink"/>
            <w:rFonts w:eastAsia="Times New Roman" w:cs="Times New Roman"/>
            <w:b/>
            <w:bCs/>
            <w:szCs w:val="24"/>
          </w:rPr>
          <w:t>Vermont Reports 14 New Captive Insurance Companies </w:t>
        </w:r>
      </w:hyperlink>
      <w:r w:rsidR="00A84F35" w:rsidRPr="00A84F35">
        <w:rPr>
          <w:rFonts w:eastAsia="Times New Roman" w:cs="Times New Roman"/>
          <w:b/>
          <w:bCs/>
          <w:szCs w:val="24"/>
        </w:rPr>
        <w:t> </w:t>
      </w:r>
    </w:p>
    <w:p w:rsidR="00A84F35" w:rsidRDefault="00A84F35" w:rsidP="00A84F35">
      <w:pPr>
        <w:spacing w:after="0" w:line="240" w:lineRule="auto"/>
        <w:rPr>
          <w:rFonts w:eastAsia="Times New Roman" w:cs="Times New Roman"/>
          <w:bCs/>
          <w:szCs w:val="24"/>
        </w:rPr>
      </w:pPr>
      <w:r w:rsidRPr="00A84F35">
        <w:rPr>
          <w:rFonts w:eastAsia="Times New Roman" w:cs="Times New Roman"/>
          <w:szCs w:val="24"/>
        </w:rPr>
        <w:t>The Vermont Department of Financial Regulation has reported the licensing of 14 new captive insurance companies: seven pure, three risk retention groups, one special purpose financial captives, one industrial insured, one sponsored, and one association.</w:t>
      </w:r>
      <w:r w:rsidRPr="00A84F35">
        <w:rPr>
          <w:rFonts w:eastAsia="Times New Roman" w:cs="Times New Roman"/>
          <w:bCs/>
          <w:szCs w:val="24"/>
        </w:rPr>
        <w:t xml:space="preserve"> </w:t>
      </w:r>
      <w:hyperlink r:id="rId19" w:history="1">
        <w:r w:rsidRPr="00D7644B">
          <w:rPr>
            <w:rStyle w:val="Hyperlink"/>
            <w:rFonts w:eastAsia="Times New Roman" w:cs="Times New Roman"/>
            <w:bCs/>
            <w:szCs w:val="24"/>
          </w:rPr>
          <w:t>Read more</w:t>
        </w:r>
      </w:hyperlink>
    </w:p>
    <w:p w:rsidR="00A84F35" w:rsidRPr="00A84F35" w:rsidRDefault="00A84F35" w:rsidP="00A84F35">
      <w:pPr>
        <w:spacing w:after="0" w:line="240" w:lineRule="auto"/>
        <w:rPr>
          <w:rFonts w:eastAsia="Times New Roman" w:cs="Times New Roman"/>
          <w:szCs w:val="24"/>
        </w:rPr>
      </w:pPr>
    </w:p>
    <w:p w:rsidR="00A84F35" w:rsidRPr="00F87E3B" w:rsidRDefault="00A84F35" w:rsidP="00A84F35">
      <w:pPr>
        <w:spacing w:after="0" w:line="240" w:lineRule="auto"/>
        <w:rPr>
          <w:rFonts w:eastAsia="Times New Roman" w:cs="Times New Roman"/>
          <w:b/>
          <w:bCs/>
          <w:color w:val="0000FF"/>
          <w:szCs w:val="24"/>
          <w:u w:val="single"/>
        </w:rPr>
      </w:pPr>
      <w:r w:rsidRPr="00F87E3B">
        <w:rPr>
          <w:rFonts w:eastAsia="Times New Roman" w:cs="Times New Roman"/>
          <w:szCs w:val="24"/>
        </w:rPr>
        <w:t>Browse </w:t>
      </w:r>
      <w:hyperlink r:id="rId20" w:history="1">
        <w:r w:rsidRPr="00F87E3B">
          <w:rPr>
            <w:rFonts w:eastAsia="Times New Roman" w:cs="Times New Roman"/>
            <w:b/>
            <w:bCs/>
            <w:color w:val="0000FF"/>
            <w:szCs w:val="24"/>
            <w:u w:val="single"/>
          </w:rPr>
          <w:t>Legislative/Regulatory Developments</w:t>
        </w:r>
      </w:hyperlink>
    </w:p>
    <w:p w:rsidR="00A84F35" w:rsidRPr="00F87E3B" w:rsidRDefault="00A84F35" w:rsidP="00A84F35">
      <w:pPr>
        <w:spacing w:after="0" w:line="240" w:lineRule="auto"/>
        <w:rPr>
          <w:rFonts w:eastAsia="Times New Roman" w:cs="Times New Roman"/>
          <w:szCs w:val="24"/>
        </w:rPr>
      </w:pPr>
    </w:p>
    <w:p w:rsidR="00A84F35" w:rsidRPr="00F87E3B" w:rsidRDefault="00A84F35" w:rsidP="00A84F35">
      <w:pPr>
        <w:spacing w:after="0" w:line="240" w:lineRule="auto"/>
        <w:rPr>
          <w:rFonts w:eastAsia="Times New Roman" w:cs="Times New Roman"/>
          <w:b/>
          <w:bCs/>
          <w:szCs w:val="24"/>
        </w:rPr>
      </w:pPr>
      <w:r w:rsidRPr="00F87E3B">
        <w:rPr>
          <w:rFonts w:eastAsia="Times New Roman" w:cs="Times New Roman"/>
          <w:b/>
          <w:bCs/>
          <w:szCs w:val="24"/>
        </w:rPr>
        <w:t>INDUSTRY NEWS</w:t>
      </w:r>
    </w:p>
    <w:p w:rsidR="00A84F35" w:rsidRPr="00F87E3B" w:rsidRDefault="00A84F35" w:rsidP="00A84F35">
      <w:pPr>
        <w:spacing w:after="0" w:line="240" w:lineRule="auto"/>
        <w:rPr>
          <w:rFonts w:eastAsia="Times New Roman" w:cs="Times New Roman"/>
          <w:bCs/>
          <w:szCs w:val="24"/>
        </w:rPr>
      </w:pPr>
    </w:p>
    <w:p w:rsidR="00A84F35" w:rsidRPr="00A84F35" w:rsidRDefault="00A84F35" w:rsidP="00A84F35">
      <w:pPr>
        <w:spacing w:after="0" w:line="240" w:lineRule="auto"/>
        <w:rPr>
          <w:rFonts w:eastAsia="Times New Roman" w:cs="Times New Roman"/>
          <w:bCs/>
          <w:szCs w:val="24"/>
        </w:rPr>
      </w:pPr>
      <w:r w:rsidRPr="00D7644B">
        <w:rPr>
          <w:rFonts w:eastAsia="Times New Roman" w:cs="Times New Roman"/>
          <w:b/>
          <w:bCs/>
          <w:szCs w:val="24"/>
        </w:rPr>
        <w:t>GEICO Introduces Ridesharing Product to Pennsylvania</w:t>
      </w:r>
      <w:r>
        <w:rPr>
          <w:rFonts w:eastAsia="Times New Roman" w:cs="Times New Roman"/>
          <w:bCs/>
          <w:szCs w:val="24"/>
        </w:rPr>
        <w:t xml:space="preserve"> </w:t>
      </w:r>
      <w:hyperlink r:id="rId21" w:history="1">
        <w:r w:rsidRPr="00A84F35">
          <w:rPr>
            <w:rStyle w:val="Hyperlink"/>
            <w:rFonts w:eastAsia="Times New Roman" w:cs="Times New Roman"/>
            <w:bCs/>
            <w:szCs w:val="24"/>
          </w:rPr>
          <w:t>Read more</w:t>
        </w:r>
      </w:hyperlink>
    </w:p>
    <w:p w:rsidR="00A84F35" w:rsidRDefault="00A84F35" w:rsidP="00A84F35">
      <w:pPr>
        <w:spacing w:after="0" w:line="240" w:lineRule="auto"/>
        <w:rPr>
          <w:rFonts w:eastAsia="Times New Roman" w:cs="Times New Roman"/>
          <w:bCs/>
          <w:szCs w:val="24"/>
        </w:rPr>
      </w:pPr>
    </w:p>
    <w:p w:rsidR="00A84F35" w:rsidRPr="00A84F35" w:rsidRDefault="00A84F35" w:rsidP="00A84F35">
      <w:pPr>
        <w:spacing w:after="0" w:line="240" w:lineRule="auto"/>
        <w:rPr>
          <w:rFonts w:eastAsia="Times New Roman" w:cs="Times New Roman"/>
          <w:bCs/>
          <w:szCs w:val="24"/>
        </w:rPr>
      </w:pPr>
      <w:r w:rsidRPr="00D7644B">
        <w:rPr>
          <w:rFonts w:eastAsia="Times New Roman" w:cs="Times New Roman"/>
          <w:b/>
          <w:bCs/>
          <w:szCs w:val="24"/>
        </w:rPr>
        <w:t>$470 Billion in Insurance Premiums Up for Grabs Due to Declining Customer Loyalty and Perceived Product Commoditization, Accenture Reports</w:t>
      </w:r>
      <w:r>
        <w:rPr>
          <w:rFonts w:eastAsia="Times New Roman" w:cs="Times New Roman"/>
          <w:bCs/>
          <w:szCs w:val="24"/>
        </w:rPr>
        <w:t xml:space="preserve"> </w:t>
      </w:r>
      <w:hyperlink r:id="rId22" w:history="1">
        <w:r w:rsidRPr="00A84F35">
          <w:rPr>
            <w:rStyle w:val="Hyperlink"/>
            <w:rFonts w:eastAsia="Times New Roman" w:cs="Times New Roman"/>
            <w:bCs/>
            <w:szCs w:val="24"/>
          </w:rPr>
          <w:t>Read more</w:t>
        </w:r>
      </w:hyperlink>
    </w:p>
    <w:p w:rsidR="00A84F35" w:rsidRDefault="00A84F35" w:rsidP="00A84F35">
      <w:pPr>
        <w:spacing w:after="0" w:line="240" w:lineRule="auto"/>
        <w:rPr>
          <w:rFonts w:eastAsia="Times New Roman" w:cs="Times New Roman"/>
          <w:bCs/>
          <w:szCs w:val="24"/>
        </w:rPr>
      </w:pPr>
    </w:p>
    <w:p w:rsidR="00A84F35" w:rsidRPr="00A84F35" w:rsidRDefault="00A84F35" w:rsidP="00A84F35">
      <w:pPr>
        <w:spacing w:after="0" w:line="240" w:lineRule="auto"/>
        <w:rPr>
          <w:rFonts w:eastAsia="Times New Roman" w:cs="Times New Roman"/>
          <w:bCs/>
          <w:szCs w:val="24"/>
        </w:rPr>
      </w:pPr>
      <w:r w:rsidRPr="00D7644B">
        <w:rPr>
          <w:rFonts w:eastAsia="Times New Roman" w:cs="Times New Roman"/>
          <w:b/>
          <w:bCs/>
          <w:szCs w:val="24"/>
        </w:rPr>
        <w:t>Munich Re Introduces U.S. Inland Flood Insurance Product</w:t>
      </w:r>
      <w:r>
        <w:rPr>
          <w:rFonts w:eastAsia="Times New Roman" w:cs="Times New Roman"/>
          <w:bCs/>
          <w:szCs w:val="24"/>
        </w:rPr>
        <w:t xml:space="preserve"> </w:t>
      </w:r>
      <w:hyperlink r:id="rId23" w:history="1">
        <w:r w:rsidRPr="00A84F35">
          <w:rPr>
            <w:rStyle w:val="Hyperlink"/>
            <w:rFonts w:eastAsia="Times New Roman" w:cs="Times New Roman"/>
            <w:bCs/>
            <w:szCs w:val="24"/>
          </w:rPr>
          <w:t>Read more</w:t>
        </w:r>
      </w:hyperlink>
    </w:p>
    <w:p w:rsidR="00A84F35" w:rsidRDefault="00A84F35" w:rsidP="00A84F35">
      <w:pPr>
        <w:spacing w:after="0" w:line="240" w:lineRule="auto"/>
        <w:rPr>
          <w:rFonts w:eastAsia="Times New Roman" w:cs="Times New Roman"/>
          <w:bCs/>
          <w:szCs w:val="24"/>
        </w:rPr>
      </w:pPr>
    </w:p>
    <w:p w:rsidR="00A84F35" w:rsidRDefault="00A84F35" w:rsidP="00A84F35">
      <w:pPr>
        <w:spacing w:after="0" w:line="240" w:lineRule="auto"/>
        <w:rPr>
          <w:rFonts w:eastAsia="Times New Roman" w:cs="Times New Roman"/>
          <w:b/>
          <w:bCs/>
          <w:szCs w:val="24"/>
        </w:rPr>
      </w:pPr>
      <w:r w:rsidRPr="00D7644B">
        <w:rPr>
          <w:rFonts w:eastAsia="Times New Roman" w:cs="Times New Roman"/>
          <w:b/>
          <w:bCs/>
          <w:szCs w:val="24"/>
        </w:rPr>
        <w:t>Allianz Life Adds Accumulation Bonus, New Index Option to Fixed Index Universal Life Insurance Policies</w:t>
      </w:r>
      <w:r>
        <w:rPr>
          <w:rFonts w:eastAsia="Times New Roman" w:cs="Times New Roman"/>
          <w:bCs/>
          <w:szCs w:val="24"/>
        </w:rPr>
        <w:t xml:space="preserve"> </w:t>
      </w:r>
      <w:hyperlink r:id="rId24" w:history="1">
        <w:r w:rsidRPr="00A84F35">
          <w:rPr>
            <w:rStyle w:val="Hyperlink"/>
            <w:rFonts w:eastAsia="Times New Roman" w:cs="Times New Roman"/>
            <w:bCs/>
            <w:szCs w:val="24"/>
          </w:rPr>
          <w:t>Read more</w:t>
        </w:r>
      </w:hyperlink>
      <w:r w:rsidRPr="00A84F35">
        <w:rPr>
          <w:rFonts w:eastAsia="Times New Roman" w:cs="Times New Roman"/>
          <w:b/>
          <w:bCs/>
          <w:szCs w:val="24"/>
        </w:rPr>
        <w:t xml:space="preserve"> </w:t>
      </w:r>
    </w:p>
    <w:p w:rsidR="00A84F35" w:rsidRDefault="00A84F35" w:rsidP="00A84F35">
      <w:pPr>
        <w:spacing w:after="0" w:line="240" w:lineRule="auto"/>
        <w:rPr>
          <w:rFonts w:eastAsia="Times New Roman" w:cs="Times New Roman"/>
          <w:bCs/>
          <w:szCs w:val="24"/>
        </w:rPr>
      </w:pPr>
    </w:p>
    <w:p w:rsidR="00A84F35" w:rsidRDefault="00A84F35" w:rsidP="00A84F35">
      <w:pPr>
        <w:spacing w:after="0" w:line="240" w:lineRule="auto"/>
        <w:rPr>
          <w:rFonts w:eastAsia="Times New Roman" w:cs="Times New Roman"/>
          <w:bCs/>
          <w:szCs w:val="24"/>
        </w:rPr>
      </w:pPr>
      <w:r w:rsidRPr="00D7644B">
        <w:rPr>
          <w:rFonts w:eastAsia="Times New Roman" w:cs="Times New Roman"/>
          <w:b/>
          <w:bCs/>
          <w:szCs w:val="24"/>
        </w:rPr>
        <w:t>W. Robert Berkley, Jr., to Assume CEO Role at W. R. Berkley Corporation</w:t>
      </w:r>
      <w:r>
        <w:rPr>
          <w:rFonts w:eastAsia="Times New Roman" w:cs="Times New Roman"/>
          <w:bCs/>
          <w:szCs w:val="24"/>
        </w:rPr>
        <w:t xml:space="preserve"> </w:t>
      </w:r>
      <w:hyperlink r:id="rId25" w:history="1">
        <w:r w:rsidRPr="00A84F35">
          <w:rPr>
            <w:rStyle w:val="Hyperlink"/>
            <w:rFonts w:eastAsia="Times New Roman" w:cs="Times New Roman"/>
            <w:bCs/>
            <w:szCs w:val="24"/>
          </w:rPr>
          <w:t>Read more</w:t>
        </w:r>
      </w:hyperlink>
    </w:p>
    <w:p w:rsidR="00A84F35" w:rsidRPr="00A84F35" w:rsidRDefault="00A84F35" w:rsidP="00A84F35">
      <w:pPr>
        <w:spacing w:after="0" w:line="240" w:lineRule="auto"/>
        <w:rPr>
          <w:rFonts w:eastAsia="Times New Roman" w:cs="Times New Roman"/>
          <w:bCs/>
          <w:szCs w:val="24"/>
        </w:rPr>
      </w:pPr>
    </w:p>
    <w:p w:rsidR="00A84F35" w:rsidRPr="00F87E3B" w:rsidRDefault="00A84F35" w:rsidP="00A84F35">
      <w:pPr>
        <w:spacing w:after="0" w:line="240" w:lineRule="auto"/>
        <w:rPr>
          <w:rFonts w:eastAsia="Times New Roman" w:cs="Times New Roman"/>
        </w:rPr>
      </w:pPr>
      <w:r w:rsidRPr="00F87E3B">
        <w:rPr>
          <w:rFonts w:eastAsia="Times New Roman" w:cs="Times New Roman"/>
          <w:bCs/>
          <w:szCs w:val="24"/>
        </w:rPr>
        <w:t>Browse</w:t>
      </w:r>
      <w:r w:rsidRPr="00F87E3B">
        <w:rPr>
          <w:rFonts w:eastAsia="Times New Roman" w:cs="Times New Roman"/>
          <w:b/>
          <w:bCs/>
          <w:szCs w:val="24"/>
        </w:rPr>
        <w:t> </w:t>
      </w:r>
      <w:hyperlink r:id="rId26" w:history="1">
        <w:r w:rsidRPr="00F87E3B">
          <w:rPr>
            <w:rFonts w:eastAsia="Times New Roman" w:cs="Times New Roman"/>
            <w:b/>
            <w:bCs/>
            <w:color w:val="0000FF"/>
            <w:szCs w:val="24"/>
            <w:u w:val="single"/>
          </w:rPr>
          <w:t>Industry News</w:t>
        </w:r>
      </w:hyperlink>
    </w:p>
    <w:p w:rsidR="00A84F35" w:rsidRPr="00F87E3B" w:rsidRDefault="00A84F35" w:rsidP="00A84F35">
      <w:pPr>
        <w:rPr>
          <w:rFonts w:eastAsia="Calibri" w:cs="Times New Roman"/>
        </w:rPr>
      </w:pPr>
    </w:p>
    <w:p w:rsidR="00FF09AA" w:rsidRDefault="00FF09AA"/>
    <w:sectPr w:rsidR="00FF09AA">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0A6" w:rsidRDefault="000040A6" w:rsidP="00481590">
      <w:pPr>
        <w:spacing w:after="0" w:line="240" w:lineRule="auto"/>
      </w:pPr>
      <w:r>
        <w:separator/>
      </w:r>
    </w:p>
  </w:endnote>
  <w:endnote w:type="continuationSeparator" w:id="0">
    <w:p w:rsidR="000040A6" w:rsidRDefault="000040A6" w:rsidP="00481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590" w:rsidRDefault="004815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590" w:rsidRDefault="004815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590" w:rsidRDefault="004815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0A6" w:rsidRDefault="000040A6" w:rsidP="00481590">
      <w:pPr>
        <w:spacing w:after="0" w:line="240" w:lineRule="auto"/>
      </w:pPr>
      <w:r>
        <w:separator/>
      </w:r>
    </w:p>
  </w:footnote>
  <w:footnote w:type="continuationSeparator" w:id="0">
    <w:p w:rsidR="000040A6" w:rsidRDefault="000040A6" w:rsidP="004815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590" w:rsidRDefault="004815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590" w:rsidRDefault="004815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590" w:rsidRDefault="004815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F35"/>
    <w:rsid w:val="000040A6"/>
    <w:rsid w:val="00481590"/>
    <w:rsid w:val="00A84F35"/>
    <w:rsid w:val="00B46B0D"/>
    <w:rsid w:val="00D7644B"/>
    <w:rsid w:val="00FF0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F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F35"/>
    <w:rPr>
      <w:color w:val="0000FF" w:themeColor="hyperlink"/>
      <w:u w:val="single"/>
    </w:rPr>
  </w:style>
  <w:style w:type="paragraph" w:styleId="Header">
    <w:name w:val="header"/>
    <w:basedOn w:val="Normal"/>
    <w:link w:val="HeaderChar"/>
    <w:uiPriority w:val="99"/>
    <w:unhideWhenUsed/>
    <w:rsid w:val="004815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590"/>
  </w:style>
  <w:style w:type="paragraph" w:styleId="Footer">
    <w:name w:val="footer"/>
    <w:basedOn w:val="Normal"/>
    <w:link w:val="FooterChar"/>
    <w:uiPriority w:val="99"/>
    <w:unhideWhenUsed/>
    <w:rsid w:val="004815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5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F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F35"/>
    <w:rPr>
      <w:color w:val="0000FF" w:themeColor="hyperlink"/>
      <w:u w:val="single"/>
    </w:rPr>
  </w:style>
  <w:style w:type="paragraph" w:styleId="Header">
    <w:name w:val="header"/>
    <w:basedOn w:val="Normal"/>
    <w:link w:val="HeaderChar"/>
    <w:uiPriority w:val="99"/>
    <w:unhideWhenUsed/>
    <w:rsid w:val="004815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590"/>
  </w:style>
  <w:style w:type="paragraph" w:styleId="Footer">
    <w:name w:val="footer"/>
    <w:basedOn w:val="Normal"/>
    <w:link w:val="FooterChar"/>
    <w:uiPriority w:val="99"/>
    <w:unhideWhenUsed/>
    <w:rsid w:val="004815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88650">
      <w:bodyDiv w:val="1"/>
      <w:marLeft w:val="0"/>
      <w:marRight w:val="0"/>
      <w:marTop w:val="0"/>
      <w:marBottom w:val="0"/>
      <w:divBdr>
        <w:top w:val="none" w:sz="0" w:space="0" w:color="auto"/>
        <w:left w:val="none" w:sz="0" w:space="0" w:color="auto"/>
        <w:bottom w:val="none" w:sz="0" w:space="0" w:color="auto"/>
        <w:right w:val="none" w:sz="0" w:space="0" w:color="auto"/>
      </w:divBdr>
      <w:divsChild>
        <w:div w:id="621882363">
          <w:marLeft w:val="0"/>
          <w:marRight w:val="0"/>
          <w:marTop w:val="165"/>
          <w:marBottom w:val="165"/>
          <w:divBdr>
            <w:top w:val="none" w:sz="0" w:space="0" w:color="auto"/>
            <w:left w:val="none" w:sz="0" w:space="0" w:color="auto"/>
            <w:bottom w:val="none" w:sz="0" w:space="0" w:color="auto"/>
            <w:right w:val="none" w:sz="0" w:space="0" w:color="auto"/>
          </w:divBdr>
        </w:div>
        <w:div w:id="1464735331">
          <w:marLeft w:val="0"/>
          <w:marRight w:val="0"/>
          <w:marTop w:val="165"/>
          <w:marBottom w:val="165"/>
          <w:divBdr>
            <w:top w:val="none" w:sz="0" w:space="0" w:color="auto"/>
            <w:left w:val="none" w:sz="0" w:space="0" w:color="auto"/>
            <w:bottom w:val="none" w:sz="0" w:space="0" w:color="auto"/>
            <w:right w:val="none" w:sz="0" w:space="0" w:color="auto"/>
          </w:divBdr>
        </w:div>
        <w:div w:id="1869175967">
          <w:marLeft w:val="0"/>
          <w:marRight w:val="0"/>
          <w:marTop w:val="165"/>
          <w:marBottom w:val="165"/>
          <w:divBdr>
            <w:top w:val="none" w:sz="0" w:space="0" w:color="auto"/>
            <w:left w:val="none" w:sz="0" w:space="0" w:color="auto"/>
            <w:bottom w:val="none" w:sz="0" w:space="0" w:color="auto"/>
            <w:right w:val="none" w:sz="0" w:space="0" w:color="auto"/>
          </w:divBdr>
        </w:div>
        <w:div w:id="1776828465">
          <w:marLeft w:val="0"/>
          <w:marRight w:val="0"/>
          <w:marTop w:val="165"/>
          <w:marBottom w:val="165"/>
          <w:divBdr>
            <w:top w:val="none" w:sz="0" w:space="0" w:color="auto"/>
            <w:left w:val="none" w:sz="0" w:space="0" w:color="auto"/>
            <w:bottom w:val="none" w:sz="0" w:space="0" w:color="auto"/>
            <w:right w:val="none" w:sz="0" w:space="0" w:color="auto"/>
          </w:divBdr>
        </w:div>
        <w:div w:id="643238793">
          <w:marLeft w:val="0"/>
          <w:marRight w:val="0"/>
          <w:marTop w:val="165"/>
          <w:marBottom w:val="165"/>
          <w:divBdr>
            <w:top w:val="none" w:sz="0" w:space="0" w:color="auto"/>
            <w:left w:val="none" w:sz="0" w:space="0" w:color="auto"/>
            <w:bottom w:val="none" w:sz="0" w:space="0" w:color="auto"/>
            <w:right w:val="none" w:sz="0" w:space="0" w:color="auto"/>
          </w:divBdr>
        </w:div>
      </w:divsChild>
    </w:div>
    <w:div w:id="1666593879">
      <w:bodyDiv w:val="1"/>
      <w:marLeft w:val="0"/>
      <w:marRight w:val="0"/>
      <w:marTop w:val="0"/>
      <w:marBottom w:val="0"/>
      <w:divBdr>
        <w:top w:val="none" w:sz="0" w:space="0" w:color="auto"/>
        <w:left w:val="none" w:sz="0" w:space="0" w:color="auto"/>
        <w:bottom w:val="none" w:sz="0" w:space="0" w:color="auto"/>
        <w:right w:val="none" w:sz="0" w:space="0" w:color="auto"/>
      </w:divBdr>
      <w:divsChild>
        <w:div w:id="175656209">
          <w:marLeft w:val="0"/>
          <w:marRight w:val="0"/>
          <w:marTop w:val="0"/>
          <w:marBottom w:val="270"/>
          <w:divBdr>
            <w:top w:val="none" w:sz="0" w:space="0" w:color="auto"/>
            <w:left w:val="none" w:sz="0" w:space="0" w:color="auto"/>
            <w:bottom w:val="none" w:sz="0" w:space="0" w:color="auto"/>
            <w:right w:val="none" w:sz="0" w:space="0" w:color="auto"/>
          </w:divBdr>
        </w:div>
        <w:div w:id="415398760">
          <w:marLeft w:val="0"/>
          <w:marRight w:val="0"/>
          <w:marTop w:val="0"/>
          <w:marBottom w:val="270"/>
          <w:divBdr>
            <w:top w:val="none" w:sz="0" w:space="0" w:color="auto"/>
            <w:left w:val="none" w:sz="0" w:space="0" w:color="auto"/>
            <w:bottom w:val="none" w:sz="0" w:space="0" w:color="auto"/>
            <w:right w:val="none" w:sz="0" w:space="0" w:color="auto"/>
          </w:divBdr>
        </w:div>
        <w:div w:id="1595896348">
          <w:marLeft w:val="0"/>
          <w:marRight w:val="0"/>
          <w:marTop w:val="0"/>
          <w:marBottom w:val="270"/>
          <w:divBdr>
            <w:top w:val="none" w:sz="0" w:space="0" w:color="auto"/>
            <w:left w:val="none" w:sz="0" w:space="0" w:color="auto"/>
            <w:bottom w:val="none" w:sz="0" w:space="0" w:color="auto"/>
            <w:right w:val="none" w:sz="0" w:space="0" w:color="auto"/>
          </w:divBdr>
        </w:div>
        <w:div w:id="1337541663">
          <w:marLeft w:val="0"/>
          <w:marRight w:val="0"/>
          <w:marTop w:val="0"/>
          <w:marBottom w:val="270"/>
          <w:divBdr>
            <w:top w:val="none" w:sz="0" w:space="0" w:color="auto"/>
            <w:left w:val="none" w:sz="0" w:space="0" w:color="auto"/>
            <w:bottom w:val="none" w:sz="0" w:space="0" w:color="auto"/>
            <w:right w:val="none" w:sz="0" w:space="0" w:color="auto"/>
          </w:divBdr>
        </w:div>
      </w:divsChild>
    </w:div>
    <w:div w:id="1750691069">
      <w:bodyDiv w:val="1"/>
      <w:marLeft w:val="0"/>
      <w:marRight w:val="0"/>
      <w:marTop w:val="0"/>
      <w:marBottom w:val="0"/>
      <w:divBdr>
        <w:top w:val="none" w:sz="0" w:space="0" w:color="auto"/>
        <w:left w:val="none" w:sz="0" w:space="0" w:color="auto"/>
        <w:bottom w:val="none" w:sz="0" w:space="0" w:color="auto"/>
        <w:right w:val="none" w:sz="0" w:space="0" w:color="auto"/>
      </w:divBdr>
      <w:divsChild>
        <w:div w:id="801310919">
          <w:marLeft w:val="0"/>
          <w:marRight w:val="0"/>
          <w:marTop w:val="0"/>
          <w:marBottom w:val="270"/>
          <w:divBdr>
            <w:top w:val="none" w:sz="0" w:space="0" w:color="auto"/>
            <w:left w:val="none" w:sz="0" w:space="0" w:color="auto"/>
            <w:bottom w:val="none" w:sz="0" w:space="0" w:color="auto"/>
            <w:right w:val="none" w:sz="0" w:space="0" w:color="auto"/>
          </w:divBdr>
        </w:div>
        <w:div w:id="1068307523">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andslegal.com/2015/08/06/its-time-for-pennsylvanias-top-court-to-determine" TargetMode="External"/><Relationship Id="rId13" Type="http://schemas.openxmlformats.org/officeDocument/2006/relationships/hyperlink" Target="http://www.fcandslegal.com/2015/08/06/eighth-circuit-insured-may-recover-extra-expenses" TargetMode="External"/><Relationship Id="rId18" Type="http://schemas.openxmlformats.org/officeDocument/2006/relationships/hyperlink" Target="http://www.fcandslegal.com/2015/08/06/vermont-reports-14-new-captive-insurance-companies" TargetMode="External"/><Relationship Id="rId26" Type="http://schemas.openxmlformats.org/officeDocument/2006/relationships/hyperlink" Target="http://www.fcandslegal.com/industry-news" TargetMode="External"/><Relationship Id="rId3" Type="http://schemas.openxmlformats.org/officeDocument/2006/relationships/settings" Target="settings.xml"/><Relationship Id="rId21" Type="http://schemas.openxmlformats.org/officeDocument/2006/relationships/hyperlink" Target="http://www.fcandslegal.com/2015/08/06/geico-introduces-ridesharing-product-to-pennsylvan" TargetMode="External"/><Relationship Id="rId34" Type="http://schemas.openxmlformats.org/officeDocument/2006/relationships/theme" Target="theme/theme1.xml"/><Relationship Id="rId7" Type="http://schemas.openxmlformats.org/officeDocument/2006/relationships/hyperlink" Target="http://www.fcandslegal.com/2015/08/06/its-time-for-pennsylvanias-top-court-to-determine" TargetMode="External"/><Relationship Id="rId12" Type="http://schemas.openxmlformats.org/officeDocument/2006/relationships/hyperlink" Target="http://www.fcandslegal.com/2015/08/06/no-coverage-for-junk-fax-class-action-where-indivi" TargetMode="External"/><Relationship Id="rId17" Type="http://schemas.openxmlformats.org/officeDocument/2006/relationships/hyperlink" Target="http://www.fcandslegal.com/2015/08/06/naic-releases-draft-consumer-bill-of-rights-coordi" TargetMode="External"/><Relationship Id="rId25" Type="http://schemas.openxmlformats.org/officeDocument/2006/relationships/hyperlink" Target="http://www.fcandslegal.com/2015/08/06/w-robert-berkley-jr-to-assume-ceo-role-at-w-r-berk"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fcandslegal.com/2015/08/06/naic-releases-draft-consumer-bill-of-rights-coordi" TargetMode="External"/><Relationship Id="rId20" Type="http://schemas.openxmlformats.org/officeDocument/2006/relationships/hyperlink" Target="http://www.fcandslegal.com/legislative-regulatory-developments"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candslegal.com/2015/08/06/no-coverage-for-junk-fax-class-action-where-indivi" TargetMode="External"/><Relationship Id="rId24" Type="http://schemas.openxmlformats.org/officeDocument/2006/relationships/hyperlink" Target="http://www.fcandslegal.com/2015/08/06/allianz-life-adds-accumulation-bonus-new-index-opt"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fcandslegal.com/case-law-developments" TargetMode="External"/><Relationship Id="rId23" Type="http://schemas.openxmlformats.org/officeDocument/2006/relationships/hyperlink" Target="http://www.fcandslegal.com/2015/08/06/munich-re-introduces-us-inland-flood-insurance-pro" TargetMode="External"/><Relationship Id="rId28" Type="http://schemas.openxmlformats.org/officeDocument/2006/relationships/header" Target="header2.xml"/><Relationship Id="rId10" Type="http://schemas.openxmlformats.org/officeDocument/2006/relationships/hyperlink" Target="http://www.fcandslegal.com/2015/08/06/tenth-circuit-colorados-complete-operation-doctrin" TargetMode="External"/><Relationship Id="rId19" Type="http://schemas.openxmlformats.org/officeDocument/2006/relationships/hyperlink" Target="http://www.fcandslegal.com/2015/08/06/vermont-reports-14-new-captive-insurance-companies"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fcandslegal.com/2015/08/06/tenth-circuit-colorados-complete-operation-doctrin" TargetMode="External"/><Relationship Id="rId14" Type="http://schemas.openxmlformats.org/officeDocument/2006/relationships/hyperlink" Target="http://www.fcandslegal.com/2015/08/06/eighth-circuit-insured-may-recover-extra-expenses" TargetMode="External"/><Relationship Id="rId22" Type="http://schemas.openxmlformats.org/officeDocument/2006/relationships/hyperlink" Target="http://www.fcandslegal.com/2015/08/06/470-billion-in-insurance-premiums-up-for-grabs-due"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4874</Characters>
  <Application>Microsoft Office Word</Application>
  <DocSecurity>0</DocSecurity>
  <Lines>40</Lines>
  <Paragraphs>11</Paragraphs>
  <ScaleCrop>false</ScaleCrop>
  <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2015-08-07T13:42:00Z</dcterms:created>
  <dcterms:modified xsi:type="dcterms:W3CDTF">2015-08-07T13:54:00Z</dcterms:modified>
</cp:coreProperties>
</file>