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A4" w:rsidRDefault="00B806A4" w:rsidP="00B806A4">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Chapter </w:t>
      </w:r>
      <w:r w:rsidR="00A5399D">
        <w:rPr>
          <w:rFonts w:ascii="Times New Roman" w:hAnsi="Times New Roman" w:cs="Times New Roman"/>
          <w:b/>
          <w:sz w:val="24"/>
          <w:szCs w:val="24"/>
        </w:rPr>
        <w:t>9</w:t>
      </w:r>
    </w:p>
    <w:p w:rsidR="00B806A4" w:rsidRDefault="00A5399D" w:rsidP="00B806A4">
      <w:pPr>
        <w:pStyle w:val="NoSpacing"/>
        <w:jc w:val="center"/>
        <w:rPr>
          <w:rFonts w:ascii="Times New Roman" w:hAnsi="Times New Roman" w:cs="Times New Roman"/>
          <w:b/>
          <w:sz w:val="24"/>
          <w:szCs w:val="24"/>
        </w:rPr>
      </w:pPr>
      <w:r>
        <w:rPr>
          <w:rFonts w:ascii="Times New Roman" w:hAnsi="Times New Roman" w:cs="Times New Roman"/>
          <w:b/>
          <w:sz w:val="24"/>
          <w:szCs w:val="24"/>
        </w:rPr>
        <w:t>Other Qualified Defined Contribution Plans</w:t>
      </w:r>
    </w:p>
    <w:p w:rsidR="00B806A4" w:rsidRDefault="00B806A4" w:rsidP="00B806A4">
      <w:pPr>
        <w:pStyle w:val="NoSpacing"/>
        <w:rPr>
          <w:rFonts w:ascii="Times New Roman" w:hAnsi="Times New Roman" w:cs="Times New Roman"/>
          <w:b/>
          <w:sz w:val="24"/>
          <w:szCs w:val="24"/>
        </w:rPr>
      </w:pPr>
    </w:p>
    <w:p w:rsidR="00B806A4" w:rsidRDefault="00B806A4" w:rsidP="00BD0AFA">
      <w:pPr>
        <w:pStyle w:val="NoSpacing"/>
        <w:rPr>
          <w:rFonts w:ascii="Times New Roman" w:hAnsi="Times New Roman" w:cs="Times New Roman"/>
          <w:b/>
          <w:sz w:val="24"/>
          <w:szCs w:val="24"/>
        </w:rPr>
      </w:pPr>
    </w:p>
    <w:p w:rsidR="00981C39" w:rsidRDefault="00981C39" w:rsidP="00981C39">
      <w:pPr>
        <w:pStyle w:val="NoSpacing"/>
        <w:ind w:left="720"/>
        <w:rPr>
          <w:rFonts w:ascii="Times New Roman" w:hAnsi="Times New Roman" w:cs="Times New Roman"/>
          <w:b/>
          <w:sz w:val="24"/>
          <w:szCs w:val="24"/>
        </w:rPr>
      </w:pPr>
    </w:p>
    <w:p w:rsidR="00B806A4" w:rsidRPr="00AE6419" w:rsidRDefault="00B806A4" w:rsidP="00742F15">
      <w:pPr>
        <w:pStyle w:val="NoSpacing"/>
        <w:ind w:left="720"/>
        <w:rPr>
          <w:rFonts w:ascii="Times New Roman" w:hAnsi="Times New Roman" w:cs="Times New Roman"/>
          <w:b/>
          <w:sz w:val="24"/>
          <w:szCs w:val="24"/>
        </w:rPr>
      </w:pPr>
      <w:r w:rsidRPr="00AE6419">
        <w:rPr>
          <w:rFonts w:ascii="Times New Roman" w:hAnsi="Times New Roman" w:cs="Times New Roman"/>
          <w:b/>
          <w:sz w:val="24"/>
          <w:szCs w:val="24"/>
        </w:rPr>
        <w:t xml:space="preserve">Q. </w:t>
      </w:r>
      <w:r w:rsidR="00A5399D">
        <w:rPr>
          <w:rFonts w:ascii="Times New Roman" w:hAnsi="Times New Roman" w:cs="Times New Roman"/>
          <w:b/>
          <w:sz w:val="24"/>
          <w:szCs w:val="24"/>
        </w:rPr>
        <w:t>9</w:t>
      </w:r>
      <w:r w:rsidRPr="00AE6419">
        <w:rPr>
          <w:rFonts w:ascii="Times New Roman" w:hAnsi="Times New Roman" w:cs="Times New Roman"/>
          <w:b/>
          <w:sz w:val="24"/>
          <w:szCs w:val="24"/>
        </w:rPr>
        <w:t>.01:</w:t>
      </w:r>
      <w:r w:rsidRPr="00AE6419">
        <w:rPr>
          <w:rFonts w:ascii="Times New Roman" w:hAnsi="Times New Roman" w:cs="Times New Roman"/>
          <w:b/>
          <w:sz w:val="24"/>
          <w:szCs w:val="24"/>
        </w:rPr>
        <w:tab/>
      </w:r>
      <w:r w:rsidR="00E87EC9">
        <w:rPr>
          <w:rFonts w:ascii="Times New Roman" w:hAnsi="Times New Roman" w:cs="Times New Roman"/>
          <w:b/>
          <w:sz w:val="24"/>
          <w:szCs w:val="24"/>
        </w:rPr>
        <w:t>What is a</w:t>
      </w:r>
      <w:r w:rsidR="00554888">
        <w:rPr>
          <w:rFonts w:ascii="Times New Roman" w:hAnsi="Times New Roman" w:cs="Times New Roman"/>
          <w:b/>
          <w:sz w:val="24"/>
          <w:szCs w:val="24"/>
        </w:rPr>
        <w:t xml:space="preserve"> SIMPLE IRA</w:t>
      </w:r>
      <w:r w:rsidR="00E87EC9">
        <w:rPr>
          <w:rFonts w:ascii="Times New Roman" w:hAnsi="Times New Roman" w:cs="Times New Roman"/>
          <w:b/>
          <w:sz w:val="24"/>
          <w:szCs w:val="24"/>
        </w:rPr>
        <w:t xml:space="preserve">? </w:t>
      </w:r>
    </w:p>
    <w:p w:rsidR="00B806A4" w:rsidRDefault="00B806A4" w:rsidP="00B806A4">
      <w:pPr>
        <w:pStyle w:val="NoSpacing"/>
        <w:ind w:left="720"/>
        <w:rPr>
          <w:rFonts w:ascii="Times New Roman" w:hAnsi="Times New Roman" w:cs="Times New Roman"/>
          <w:sz w:val="24"/>
          <w:szCs w:val="24"/>
        </w:rPr>
      </w:pPr>
    </w:p>
    <w:p w:rsidR="00554888" w:rsidRDefault="00E935B1" w:rsidP="00BC0DC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 </w:t>
      </w:r>
      <w:r w:rsidR="00554888" w:rsidRPr="00554888">
        <w:rPr>
          <w:rFonts w:ascii="Times New Roman" w:hAnsi="Times New Roman" w:cs="Times New Roman"/>
          <w:sz w:val="24"/>
          <w:szCs w:val="24"/>
        </w:rPr>
        <w:t xml:space="preserve">SIMPLE IRA is established under Code Section 408(p) and technically is not a qualified plan, but a type of </w:t>
      </w:r>
      <w:r w:rsidR="00D45856">
        <w:rPr>
          <w:rFonts w:ascii="Times New Roman" w:hAnsi="Times New Roman" w:cs="Times New Roman"/>
          <w:sz w:val="24"/>
          <w:szCs w:val="24"/>
        </w:rPr>
        <w:t xml:space="preserve">individual retirement </w:t>
      </w:r>
      <w:r w:rsidR="00554888" w:rsidRPr="00554888">
        <w:rPr>
          <w:rFonts w:ascii="Times New Roman" w:hAnsi="Times New Roman" w:cs="Times New Roman"/>
          <w:sz w:val="24"/>
          <w:szCs w:val="24"/>
        </w:rPr>
        <w:t>account</w:t>
      </w:r>
      <w:r w:rsidR="00D45856">
        <w:rPr>
          <w:rFonts w:ascii="Times New Roman" w:hAnsi="Times New Roman" w:cs="Times New Roman"/>
          <w:sz w:val="24"/>
          <w:szCs w:val="24"/>
        </w:rPr>
        <w:t xml:space="preserve"> (</w:t>
      </w:r>
      <w:r w:rsidR="00D45856" w:rsidRPr="00554888">
        <w:rPr>
          <w:rFonts w:ascii="Times New Roman" w:hAnsi="Times New Roman" w:cs="Times New Roman"/>
          <w:sz w:val="24"/>
          <w:szCs w:val="24"/>
        </w:rPr>
        <w:t>IRA</w:t>
      </w:r>
      <w:r w:rsidR="00D45856">
        <w:rPr>
          <w:rFonts w:ascii="Times New Roman" w:hAnsi="Times New Roman" w:cs="Times New Roman"/>
          <w:sz w:val="24"/>
          <w:szCs w:val="24"/>
        </w:rPr>
        <w:t>)</w:t>
      </w:r>
      <w:r w:rsidR="00554888" w:rsidRPr="00554888">
        <w:rPr>
          <w:rFonts w:ascii="Times New Roman" w:hAnsi="Times New Roman" w:cs="Times New Roman"/>
          <w:sz w:val="24"/>
          <w:szCs w:val="24"/>
        </w:rPr>
        <w:t xml:space="preserve">. Eligibility to sponsor a SIMPLE IRA is limited to an employer </w:t>
      </w:r>
      <w:r w:rsidR="00314786">
        <w:rPr>
          <w:rFonts w:ascii="Times New Roman" w:hAnsi="Times New Roman" w:cs="Times New Roman"/>
          <w:sz w:val="24"/>
          <w:szCs w:val="24"/>
        </w:rPr>
        <w:t>with</w:t>
      </w:r>
      <w:r w:rsidR="00314786" w:rsidRPr="00554888">
        <w:rPr>
          <w:rFonts w:ascii="Times New Roman" w:hAnsi="Times New Roman" w:cs="Times New Roman"/>
          <w:sz w:val="24"/>
          <w:szCs w:val="24"/>
        </w:rPr>
        <w:t xml:space="preserve"> </w:t>
      </w:r>
      <w:r w:rsidR="00554888" w:rsidRPr="00554888">
        <w:rPr>
          <w:rFonts w:ascii="Times New Roman" w:hAnsi="Times New Roman" w:cs="Times New Roman"/>
          <w:sz w:val="24"/>
          <w:szCs w:val="24"/>
        </w:rPr>
        <w:t>no more than 100 employees who received at least $5,000 of compensation from the employer in the preceding year. If an employer adopts a SIMPLE IRA and in a subsequent year cannot satisfy the 100-employee rule (i.e., the employer has more than 100 employees), under some circumstances, a two-year grace period is provided, allowing the employer to continue the SIMPLE IRA for two years.</w:t>
      </w:r>
      <w:r w:rsidR="001A4B94">
        <w:rPr>
          <w:rStyle w:val="FootnoteReference"/>
          <w:rFonts w:ascii="Times New Roman" w:hAnsi="Times New Roman" w:cs="Times New Roman"/>
          <w:sz w:val="24"/>
          <w:szCs w:val="24"/>
        </w:rPr>
        <w:footnoteReference w:id="1"/>
      </w:r>
      <w:r w:rsidR="00BC0DC5">
        <w:rPr>
          <w:rFonts w:ascii="Times New Roman" w:hAnsi="Times New Roman" w:cs="Times New Roman"/>
          <w:sz w:val="24"/>
          <w:szCs w:val="24"/>
        </w:rPr>
        <w:t xml:space="preserve"> </w:t>
      </w:r>
      <w:r w:rsidR="00554888" w:rsidRPr="00554888">
        <w:rPr>
          <w:rFonts w:ascii="Times New Roman" w:hAnsi="Times New Roman" w:cs="Times New Roman"/>
          <w:sz w:val="24"/>
          <w:szCs w:val="24"/>
        </w:rPr>
        <w:t>For purposes of the 100-employee limitation, all employees employed at any time during the calendar year are taken into account, regardless of whether they are eligible to participate in the SIMPLE IRA plan</w:t>
      </w:r>
      <w:r w:rsidR="00BC0DC5">
        <w:rPr>
          <w:rFonts w:ascii="Times New Roman" w:hAnsi="Times New Roman" w:cs="Times New Roman"/>
          <w:sz w:val="24"/>
          <w:szCs w:val="24"/>
        </w:rPr>
        <w:t>.</w:t>
      </w:r>
      <w:r w:rsidR="001A4B94">
        <w:rPr>
          <w:rStyle w:val="FootnoteReference"/>
          <w:rFonts w:ascii="Times New Roman" w:hAnsi="Times New Roman" w:cs="Times New Roman"/>
          <w:sz w:val="24"/>
          <w:szCs w:val="24"/>
        </w:rPr>
        <w:footnoteReference w:id="2"/>
      </w:r>
    </w:p>
    <w:p w:rsidR="00BC0DC5" w:rsidRPr="00554888" w:rsidRDefault="00BC0DC5" w:rsidP="00BC0DC5">
      <w:pPr>
        <w:spacing w:after="0" w:line="240" w:lineRule="auto"/>
        <w:ind w:left="720"/>
        <w:rPr>
          <w:rFonts w:ascii="Times New Roman" w:hAnsi="Times New Roman" w:cs="Times New Roman"/>
          <w:sz w:val="24"/>
          <w:szCs w:val="24"/>
        </w:rPr>
      </w:pPr>
    </w:p>
    <w:p w:rsidR="00554888" w:rsidRDefault="00554888" w:rsidP="00554888">
      <w:pPr>
        <w:spacing w:after="0" w:line="240" w:lineRule="auto"/>
        <w:ind w:left="720"/>
        <w:rPr>
          <w:rFonts w:ascii="Times New Roman" w:hAnsi="Times New Roman" w:cs="Times New Roman"/>
          <w:sz w:val="24"/>
          <w:szCs w:val="24"/>
        </w:rPr>
      </w:pPr>
      <w:r w:rsidRPr="00554888">
        <w:rPr>
          <w:rFonts w:ascii="Times New Roman" w:hAnsi="Times New Roman" w:cs="Times New Roman"/>
          <w:sz w:val="24"/>
          <w:szCs w:val="24"/>
        </w:rPr>
        <w:t xml:space="preserve">The term “employer” includes all employers of a controlled group under </w:t>
      </w:r>
      <w:r w:rsidR="001F2544">
        <w:rPr>
          <w:rFonts w:ascii="Times New Roman" w:hAnsi="Times New Roman" w:cs="Times New Roman"/>
          <w:sz w:val="24"/>
          <w:szCs w:val="24"/>
        </w:rPr>
        <w:t>Code</w:t>
      </w:r>
      <w:r w:rsidR="001F2544" w:rsidRPr="00554888">
        <w:rPr>
          <w:rFonts w:ascii="Times New Roman" w:hAnsi="Times New Roman" w:cs="Times New Roman"/>
          <w:sz w:val="24"/>
          <w:szCs w:val="24"/>
        </w:rPr>
        <w:t xml:space="preserve"> </w:t>
      </w:r>
      <w:r w:rsidRPr="00554888">
        <w:rPr>
          <w:rFonts w:ascii="Times New Roman" w:hAnsi="Times New Roman" w:cs="Times New Roman"/>
          <w:sz w:val="24"/>
          <w:szCs w:val="24"/>
        </w:rPr>
        <w:t>Sections 414(b), 414(c), and 414(m</w:t>
      </w:r>
      <w:proofErr w:type="gramStart"/>
      <w:r w:rsidRPr="00554888">
        <w:rPr>
          <w:rFonts w:ascii="Times New Roman" w:hAnsi="Times New Roman" w:cs="Times New Roman"/>
          <w:sz w:val="24"/>
          <w:szCs w:val="24"/>
        </w:rPr>
        <w:t>)(</w:t>
      </w:r>
      <w:proofErr w:type="gramEnd"/>
      <w:r w:rsidRPr="00554888">
        <w:rPr>
          <w:rFonts w:ascii="Times New Roman" w:hAnsi="Times New Roman" w:cs="Times New Roman"/>
          <w:sz w:val="24"/>
          <w:szCs w:val="24"/>
        </w:rPr>
        <w:t>4)(B).</w:t>
      </w:r>
      <w:r w:rsidR="00314786">
        <w:rPr>
          <w:rStyle w:val="FootnoteReference"/>
          <w:rFonts w:ascii="Times New Roman" w:hAnsi="Times New Roman" w:cs="Times New Roman"/>
          <w:sz w:val="24"/>
          <w:szCs w:val="24"/>
        </w:rPr>
        <w:footnoteReference w:id="3"/>
      </w:r>
      <w:r w:rsidRPr="00554888">
        <w:rPr>
          <w:rFonts w:ascii="Times New Roman" w:hAnsi="Times New Roman" w:cs="Times New Roman"/>
          <w:sz w:val="24"/>
          <w:szCs w:val="24"/>
        </w:rPr>
        <w:t xml:space="preserve"> For example, two companies (even in different industries) owned by the same person must be aggregated in determining whether the 100-employee requirement is satisfied. </w:t>
      </w:r>
    </w:p>
    <w:p w:rsidR="00BC0DC5" w:rsidRPr="00554888" w:rsidRDefault="00BC0DC5" w:rsidP="00554888">
      <w:pPr>
        <w:spacing w:after="0" w:line="240" w:lineRule="auto"/>
        <w:ind w:left="720"/>
        <w:rPr>
          <w:rFonts w:ascii="Times New Roman" w:hAnsi="Times New Roman" w:cs="Times New Roman"/>
          <w:sz w:val="24"/>
          <w:szCs w:val="24"/>
        </w:rPr>
      </w:pPr>
    </w:p>
    <w:p w:rsidR="00554888" w:rsidRPr="00554888" w:rsidRDefault="00554888" w:rsidP="00656B2E">
      <w:pPr>
        <w:spacing w:after="0" w:line="240" w:lineRule="auto"/>
        <w:ind w:left="720"/>
        <w:rPr>
          <w:rFonts w:ascii="Times New Roman" w:hAnsi="Times New Roman" w:cs="Times New Roman"/>
          <w:sz w:val="24"/>
          <w:szCs w:val="24"/>
        </w:rPr>
      </w:pPr>
      <w:r w:rsidRPr="00554888">
        <w:rPr>
          <w:rFonts w:ascii="Times New Roman" w:hAnsi="Times New Roman" w:cs="Times New Roman"/>
          <w:sz w:val="24"/>
          <w:szCs w:val="24"/>
        </w:rPr>
        <w:t>An employer that adopts a SIMPLE IRA may not maintain any other “qualified plan” for which contributions are made or benefits accrued (defined benefit plan) beginning or ending in the year the SIMPLE plan is maintained</w:t>
      </w:r>
      <w:r w:rsidR="00656B2E">
        <w:rPr>
          <w:rFonts w:ascii="Times New Roman" w:hAnsi="Times New Roman" w:cs="Times New Roman"/>
          <w:sz w:val="24"/>
          <w:szCs w:val="24"/>
        </w:rPr>
        <w:t>.</w:t>
      </w:r>
      <w:r w:rsidR="001F2544">
        <w:rPr>
          <w:rStyle w:val="FootnoteReference"/>
          <w:rFonts w:ascii="Times New Roman" w:hAnsi="Times New Roman" w:cs="Times New Roman"/>
          <w:sz w:val="24"/>
          <w:szCs w:val="24"/>
        </w:rPr>
        <w:footnoteReference w:id="4"/>
      </w:r>
      <w:r w:rsidRPr="00554888">
        <w:rPr>
          <w:rFonts w:ascii="Times New Roman" w:hAnsi="Times New Roman" w:cs="Times New Roman"/>
          <w:sz w:val="24"/>
          <w:szCs w:val="24"/>
        </w:rPr>
        <w:t xml:space="preserve"> </w:t>
      </w:r>
    </w:p>
    <w:p w:rsidR="00656B2E" w:rsidRDefault="00656B2E" w:rsidP="00554888">
      <w:pPr>
        <w:spacing w:after="0" w:line="240" w:lineRule="auto"/>
        <w:ind w:left="720"/>
        <w:rPr>
          <w:rFonts w:ascii="Times New Roman" w:hAnsi="Times New Roman" w:cs="Times New Roman"/>
          <w:sz w:val="24"/>
          <w:szCs w:val="24"/>
        </w:rPr>
      </w:pPr>
    </w:p>
    <w:p w:rsidR="00554888" w:rsidRPr="004B76E0" w:rsidRDefault="00554888" w:rsidP="00656B2E">
      <w:pPr>
        <w:spacing w:after="0" w:line="240" w:lineRule="auto"/>
        <w:ind w:left="1440"/>
        <w:rPr>
          <w:rFonts w:ascii="Times New Roman" w:hAnsi="Times New Roman" w:cs="Times New Roman"/>
          <w:i/>
          <w:sz w:val="24"/>
          <w:szCs w:val="24"/>
        </w:rPr>
      </w:pPr>
      <w:r w:rsidRPr="00656B2E">
        <w:rPr>
          <w:rFonts w:ascii="Times New Roman" w:hAnsi="Times New Roman" w:cs="Times New Roman"/>
          <w:b/>
          <w:sz w:val="24"/>
          <w:szCs w:val="24"/>
        </w:rPr>
        <w:t xml:space="preserve">Practice </w:t>
      </w:r>
      <w:r w:rsidR="003A31D9">
        <w:rPr>
          <w:rFonts w:ascii="Times New Roman" w:hAnsi="Times New Roman" w:cs="Times New Roman"/>
          <w:b/>
          <w:sz w:val="24"/>
          <w:szCs w:val="24"/>
        </w:rPr>
        <w:t>Point</w:t>
      </w:r>
      <w:proofErr w:type="gramStart"/>
      <w:r w:rsidR="003A31D9">
        <w:rPr>
          <w:rFonts w:ascii="Times New Roman" w:hAnsi="Times New Roman" w:cs="Times New Roman"/>
          <w:b/>
          <w:sz w:val="24"/>
          <w:szCs w:val="24"/>
        </w:rPr>
        <w:t xml:space="preserve">: </w:t>
      </w:r>
      <w:r w:rsidRPr="004B76E0">
        <w:rPr>
          <w:rFonts w:ascii="Times New Roman" w:hAnsi="Times New Roman" w:cs="Times New Roman"/>
          <w:b/>
          <w:i/>
          <w:sz w:val="24"/>
          <w:szCs w:val="24"/>
        </w:rPr>
        <w:t>.</w:t>
      </w:r>
      <w:r w:rsidRPr="004B76E0">
        <w:rPr>
          <w:rFonts w:ascii="Times New Roman" w:hAnsi="Times New Roman" w:cs="Times New Roman"/>
          <w:i/>
          <w:sz w:val="24"/>
          <w:szCs w:val="24"/>
        </w:rPr>
        <w:t> </w:t>
      </w:r>
      <w:proofErr w:type="gramEnd"/>
      <w:r w:rsidRPr="00BD0AFA">
        <w:rPr>
          <w:rFonts w:ascii="Times New Roman" w:hAnsi="Times New Roman" w:cs="Times New Roman"/>
          <w:sz w:val="24"/>
          <w:szCs w:val="24"/>
        </w:rPr>
        <w:t xml:space="preserve">A newly established SIMPLE IRA may be adopted effective on any date between January 1 and October 1 if the employer did not sponsor a SIMPLE plan previously. A newly formed employer may establish the plan as soon as administratively feasible after coming into existence. The employer may use Form 5305-SIMPLE to adopt the plan with a “designated financial institution” or Form 5304-SIMPLE to adopt the plan if each employee selects his or her own financial institution.  </w:t>
      </w:r>
      <w:r w:rsidR="002D2198" w:rsidRPr="00BD0AFA">
        <w:rPr>
          <w:rFonts w:ascii="Times New Roman" w:hAnsi="Times New Roman" w:cs="Times New Roman"/>
          <w:sz w:val="24"/>
          <w:szCs w:val="24"/>
        </w:rPr>
        <w:t xml:space="preserve">Neither of these forms </w:t>
      </w:r>
      <w:proofErr w:type="gramStart"/>
      <w:r w:rsidR="002D2198" w:rsidRPr="00BD0AFA">
        <w:rPr>
          <w:rFonts w:ascii="Times New Roman" w:hAnsi="Times New Roman" w:cs="Times New Roman"/>
          <w:sz w:val="24"/>
          <w:szCs w:val="24"/>
        </w:rPr>
        <w:t>have</w:t>
      </w:r>
      <w:proofErr w:type="gramEnd"/>
      <w:r w:rsidR="002D2198" w:rsidRPr="00BD0AFA">
        <w:rPr>
          <w:rFonts w:ascii="Times New Roman" w:hAnsi="Times New Roman" w:cs="Times New Roman"/>
          <w:sz w:val="24"/>
          <w:szCs w:val="24"/>
        </w:rPr>
        <w:t xml:space="preserve"> to be filed with the</w:t>
      </w:r>
      <w:r w:rsidR="003A31D9">
        <w:rPr>
          <w:rFonts w:ascii="Times New Roman" w:hAnsi="Times New Roman" w:cs="Times New Roman"/>
          <w:sz w:val="24"/>
          <w:szCs w:val="24"/>
        </w:rPr>
        <w:t xml:space="preserve"> IRS.</w:t>
      </w:r>
      <w:r w:rsidR="002D2198" w:rsidRPr="00BD0AFA">
        <w:rPr>
          <w:rFonts w:ascii="Times New Roman" w:hAnsi="Times New Roman" w:cs="Times New Roman"/>
          <w:sz w:val="24"/>
          <w:szCs w:val="24"/>
        </w:rPr>
        <w:t xml:space="preserve"> </w:t>
      </w:r>
    </w:p>
    <w:p w:rsidR="00656B2E" w:rsidRPr="00554888" w:rsidRDefault="00656B2E" w:rsidP="00656B2E">
      <w:pPr>
        <w:spacing w:after="0" w:line="240" w:lineRule="auto"/>
        <w:ind w:left="1440"/>
        <w:rPr>
          <w:rFonts w:ascii="Times New Roman" w:hAnsi="Times New Roman" w:cs="Times New Roman"/>
          <w:sz w:val="24"/>
          <w:szCs w:val="24"/>
        </w:rPr>
      </w:pPr>
    </w:p>
    <w:p w:rsidR="00554888" w:rsidRDefault="00554888" w:rsidP="00656B2E">
      <w:pPr>
        <w:spacing w:after="0" w:line="240" w:lineRule="auto"/>
        <w:ind w:left="1440"/>
        <w:rPr>
          <w:rFonts w:ascii="Times New Roman" w:hAnsi="Times New Roman" w:cs="Times New Roman"/>
          <w:sz w:val="24"/>
          <w:szCs w:val="24"/>
        </w:rPr>
      </w:pPr>
      <w:r w:rsidRPr="00656B2E">
        <w:rPr>
          <w:rFonts w:ascii="Times New Roman" w:hAnsi="Times New Roman" w:cs="Times New Roman"/>
          <w:b/>
          <w:sz w:val="24"/>
          <w:szCs w:val="24"/>
        </w:rPr>
        <w:t>Example</w:t>
      </w:r>
      <w:r w:rsidR="003A31D9">
        <w:rPr>
          <w:rFonts w:ascii="Times New Roman" w:hAnsi="Times New Roman" w:cs="Times New Roman"/>
          <w:b/>
          <w:sz w:val="24"/>
          <w:szCs w:val="24"/>
        </w:rPr>
        <w:t>1</w:t>
      </w:r>
      <w:r w:rsidRPr="00554888">
        <w:rPr>
          <w:rFonts w:ascii="Times New Roman" w:hAnsi="Times New Roman" w:cs="Times New Roman"/>
          <w:sz w:val="24"/>
          <w:szCs w:val="24"/>
        </w:rPr>
        <w:t xml:space="preserve"> An adopting employer sponsors a profit sharing plan that is maintained on the same fiscal year as the employer’s tax year, July 1 to June 30. If the employer makes any contribution to the plan for the plan year beginning July 1, 201</w:t>
      </w:r>
      <w:r w:rsidR="00656B2E">
        <w:rPr>
          <w:rFonts w:ascii="Times New Roman" w:hAnsi="Times New Roman" w:cs="Times New Roman"/>
          <w:sz w:val="24"/>
          <w:szCs w:val="24"/>
        </w:rPr>
        <w:t>3</w:t>
      </w:r>
      <w:r w:rsidR="00684A16">
        <w:rPr>
          <w:rFonts w:ascii="Times New Roman" w:hAnsi="Times New Roman" w:cs="Times New Roman"/>
          <w:sz w:val="24"/>
          <w:szCs w:val="24"/>
        </w:rPr>
        <w:t>,</w:t>
      </w:r>
      <w:r w:rsidRPr="00554888">
        <w:rPr>
          <w:rFonts w:ascii="Times New Roman" w:hAnsi="Times New Roman" w:cs="Times New Roman"/>
          <w:sz w:val="24"/>
          <w:szCs w:val="24"/>
        </w:rPr>
        <w:t xml:space="preserve"> and ending June 30, 201</w:t>
      </w:r>
      <w:r w:rsidR="00656B2E">
        <w:rPr>
          <w:rFonts w:ascii="Times New Roman" w:hAnsi="Times New Roman" w:cs="Times New Roman"/>
          <w:sz w:val="24"/>
          <w:szCs w:val="24"/>
        </w:rPr>
        <w:t>4</w:t>
      </w:r>
      <w:r w:rsidRPr="00554888">
        <w:rPr>
          <w:rFonts w:ascii="Times New Roman" w:hAnsi="Times New Roman" w:cs="Times New Roman"/>
          <w:sz w:val="24"/>
          <w:szCs w:val="24"/>
        </w:rPr>
        <w:t xml:space="preserve">, that same employer may not adopt a SIMPLE </w:t>
      </w:r>
      <w:r w:rsidRPr="00554888">
        <w:rPr>
          <w:rFonts w:ascii="Times New Roman" w:hAnsi="Times New Roman" w:cs="Times New Roman"/>
          <w:sz w:val="24"/>
          <w:szCs w:val="24"/>
        </w:rPr>
        <w:lastRenderedPageBreak/>
        <w:t>IRA for calendar year 201</w:t>
      </w:r>
      <w:r w:rsidR="00656B2E">
        <w:rPr>
          <w:rFonts w:ascii="Times New Roman" w:hAnsi="Times New Roman" w:cs="Times New Roman"/>
          <w:sz w:val="24"/>
          <w:szCs w:val="24"/>
        </w:rPr>
        <w:t>3</w:t>
      </w:r>
      <w:r w:rsidRPr="00554888">
        <w:rPr>
          <w:rFonts w:ascii="Times New Roman" w:hAnsi="Times New Roman" w:cs="Times New Roman"/>
          <w:sz w:val="24"/>
          <w:szCs w:val="24"/>
        </w:rPr>
        <w:t xml:space="preserve"> or calendar year 201</w:t>
      </w:r>
      <w:r w:rsidR="00656B2E">
        <w:rPr>
          <w:rFonts w:ascii="Times New Roman" w:hAnsi="Times New Roman" w:cs="Times New Roman"/>
          <w:sz w:val="24"/>
          <w:szCs w:val="24"/>
        </w:rPr>
        <w:t>4</w:t>
      </w:r>
      <w:r w:rsidRPr="00554888">
        <w:rPr>
          <w:rFonts w:ascii="Times New Roman" w:hAnsi="Times New Roman" w:cs="Times New Roman"/>
          <w:sz w:val="24"/>
          <w:szCs w:val="24"/>
        </w:rPr>
        <w:t xml:space="preserve"> (all SIMPLE plans are maintained on a calendar year). </w:t>
      </w:r>
    </w:p>
    <w:p w:rsidR="00656B2E" w:rsidRPr="00554888" w:rsidRDefault="00656B2E" w:rsidP="00554888">
      <w:pPr>
        <w:spacing w:after="0" w:line="240" w:lineRule="auto"/>
        <w:ind w:left="720"/>
        <w:rPr>
          <w:rFonts w:ascii="Times New Roman" w:hAnsi="Times New Roman" w:cs="Times New Roman"/>
          <w:sz w:val="24"/>
          <w:szCs w:val="24"/>
        </w:rPr>
      </w:pPr>
    </w:p>
    <w:p w:rsidR="00554888" w:rsidRDefault="00554888" w:rsidP="00656B2E">
      <w:pPr>
        <w:spacing w:after="0" w:line="240" w:lineRule="auto"/>
        <w:ind w:left="720"/>
        <w:rPr>
          <w:rFonts w:ascii="Times New Roman" w:hAnsi="Times New Roman" w:cs="Times New Roman"/>
          <w:sz w:val="24"/>
          <w:szCs w:val="24"/>
        </w:rPr>
      </w:pPr>
      <w:r w:rsidRPr="00554888">
        <w:rPr>
          <w:rFonts w:ascii="Times New Roman" w:hAnsi="Times New Roman" w:cs="Times New Roman"/>
          <w:sz w:val="24"/>
          <w:szCs w:val="24"/>
        </w:rPr>
        <w:t xml:space="preserve">The term “qualified plan” refers to any qualified retirement plan (under </w:t>
      </w:r>
      <w:r w:rsidR="00684A16">
        <w:rPr>
          <w:rFonts w:ascii="Times New Roman" w:hAnsi="Times New Roman" w:cs="Times New Roman"/>
          <w:sz w:val="24"/>
          <w:szCs w:val="24"/>
        </w:rPr>
        <w:t>Code</w:t>
      </w:r>
      <w:r w:rsidR="00684A16" w:rsidRPr="00554888">
        <w:rPr>
          <w:rFonts w:ascii="Times New Roman" w:hAnsi="Times New Roman" w:cs="Times New Roman"/>
          <w:sz w:val="24"/>
          <w:szCs w:val="24"/>
        </w:rPr>
        <w:t xml:space="preserve"> </w:t>
      </w:r>
      <w:r w:rsidRPr="00554888">
        <w:rPr>
          <w:rFonts w:ascii="Times New Roman" w:hAnsi="Times New Roman" w:cs="Times New Roman"/>
          <w:sz w:val="24"/>
          <w:szCs w:val="24"/>
        </w:rPr>
        <w:t>Section 401(a)), qualified annuity plan, governmental plan, tax-sheltered annuity, or simplified employee pension plan</w:t>
      </w:r>
      <w:r w:rsidR="00656B2E">
        <w:rPr>
          <w:rFonts w:ascii="Times New Roman" w:hAnsi="Times New Roman" w:cs="Times New Roman"/>
          <w:sz w:val="24"/>
          <w:szCs w:val="24"/>
        </w:rPr>
        <w:t>.</w:t>
      </w:r>
      <w:r w:rsidR="00684A16">
        <w:rPr>
          <w:rStyle w:val="FootnoteReference"/>
          <w:rFonts w:ascii="Times New Roman" w:hAnsi="Times New Roman" w:cs="Times New Roman"/>
          <w:sz w:val="24"/>
          <w:szCs w:val="24"/>
        </w:rPr>
        <w:footnoteReference w:id="5"/>
      </w:r>
    </w:p>
    <w:p w:rsidR="00656B2E" w:rsidRPr="00554888" w:rsidRDefault="00656B2E" w:rsidP="00656B2E">
      <w:pPr>
        <w:spacing w:after="0" w:line="240" w:lineRule="auto"/>
        <w:ind w:left="720"/>
        <w:rPr>
          <w:rFonts w:ascii="Times New Roman" w:hAnsi="Times New Roman" w:cs="Times New Roman"/>
          <w:sz w:val="24"/>
          <w:szCs w:val="24"/>
        </w:rPr>
      </w:pPr>
    </w:p>
    <w:p w:rsidR="00656B2E" w:rsidRPr="00AE6419" w:rsidRDefault="00656B2E" w:rsidP="00656B2E">
      <w:pPr>
        <w:pStyle w:val="NoSpacing"/>
        <w:ind w:left="720"/>
        <w:rPr>
          <w:rFonts w:ascii="Times New Roman" w:hAnsi="Times New Roman" w:cs="Times New Roman"/>
          <w:b/>
          <w:sz w:val="24"/>
          <w:szCs w:val="24"/>
        </w:rPr>
      </w:pPr>
      <w:r w:rsidRPr="00AE6419">
        <w:rPr>
          <w:rFonts w:ascii="Times New Roman" w:hAnsi="Times New Roman" w:cs="Times New Roman"/>
          <w:b/>
          <w:sz w:val="24"/>
          <w:szCs w:val="24"/>
        </w:rPr>
        <w:t xml:space="preserve">Q. </w:t>
      </w:r>
      <w:r>
        <w:rPr>
          <w:rFonts w:ascii="Times New Roman" w:hAnsi="Times New Roman" w:cs="Times New Roman"/>
          <w:b/>
          <w:sz w:val="24"/>
          <w:szCs w:val="24"/>
        </w:rPr>
        <w:t>9</w:t>
      </w:r>
      <w:r w:rsidRPr="00AE6419">
        <w:rPr>
          <w:rFonts w:ascii="Times New Roman" w:hAnsi="Times New Roman" w:cs="Times New Roman"/>
          <w:b/>
          <w:sz w:val="24"/>
          <w:szCs w:val="24"/>
        </w:rPr>
        <w:t>.0</w:t>
      </w:r>
      <w:r>
        <w:rPr>
          <w:rFonts w:ascii="Times New Roman" w:hAnsi="Times New Roman" w:cs="Times New Roman"/>
          <w:b/>
          <w:sz w:val="24"/>
          <w:szCs w:val="24"/>
        </w:rPr>
        <w:t>2</w:t>
      </w:r>
      <w:r w:rsidRPr="00AE6419">
        <w:rPr>
          <w:rFonts w:ascii="Times New Roman" w:hAnsi="Times New Roman" w:cs="Times New Roman"/>
          <w:b/>
          <w:sz w:val="24"/>
          <w:szCs w:val="24"/>
        </w:rPr>
        <w:t>:</w:t>
      </w:r>
      <w:r w:rsidRPr="00AE6419">
        <w:rPr>
          <w:rFonts w:ascii="Times New Roman" w:hAnsi="Times New Roman" w:cs="Times New Roman"/>
          <w:b/>
          <w:sz w:val="24"/>
          <w:szCs w:val="24"/>
        </w:rPr>
        <w:tab/>
      </w:r>
      <w:r>
        <w:rPr>
          <w:rFonts w:ascii="Times New Roman" w:hAnsi="Times New Roman" w:cs="Times New Roman"/>
          <w:b/>
          <w:sz w:val="24"/>
          <w:szCs w:val="24"/>
        </w:rPr>
        <w:t xml:space="preserve">Who are eligible employees for purposes of a SIMPLE IRA? </w:t>
      </w:r>
    </w:p>
    <w:p w:rsidR="00656B2E" w:rsidRDefault="00656B2E" w:rsidP="00554888">
      <w:pPr>
        <w:spacing w:after="0" w:line="240" w:lineRule="auto"/>
        <w:ind w:left="720"/>
        <w:rPr>
          <w:rFonts w:ascii="Times New Roman" w:hAnsi="Times New Roman" w:cs="Times New Roman"/>
          <w:sz w:val="24"/>
          <w:szCs w:val="24"/>
        </w:rPr>
      </w:pPr>
    </w:p>
    <w:p w:rsidR="00554888" w:rsidRDefault="00554888" w:rsidP="00554888">
      <w:pPr>
        <w:spacing w:after="0" w:line="240" w:lineRule="auto"/>
        <w:ind w:left="720"/>
        <w:rPr>
          <w:rFonts w:ascii="Times New Roman" w:hAnsi="Times New Roman" w:cs="Times New Roman"/>
          <w:sz w:val="24"/>
          <w:szCs w:val="24"/>
        </w:rPr>
      </w:pPr>
      <w:r w:rsidRPr="00554888">
        <w:rPr>
          <w:rFonts w:ascii="Times New Roman" w:hAnsi="Times New Roman" w:cs="Times New Roman"/>
          <w:sz w:val="24"/>
          <w:szCs w:val="24"/>
        </w:rPr>
        <w:t>Employees of an eligible employer are eligible to make elective deferrals in a SIMPLE IRA if they:</w:t>
      </w:r>
      <w:r w:rsidR="00684A16">
        <w:rPr>
          <w:rStyle w:val="FootnoteReference"/>
          <w:rFonts w:ascii="Times New Roman" w:hAnsi="Times New Roman" w:cs="Times New Roman"/>
          <w:sz w:val="24"/>
          <w:szCs w:val="24"/>
        </w:rPr>
        <w:footnoteReference w:id="6"/>
      </w:r>
    </w:p>
    <w:p w:rsidR="00656B2E" w:rsidRPr="00554888" w:rsidRDefault="00656B2E" w:rsidP="00554888">
      <w:pPr>
        <w:spacing w:after="0" w:line="240" w:lineRule="auto"/>
        <w:ind w:left="720"/>
        <w:rPr>
          <w:rFonts w:ascii="Times New Roman" w:hAnsi="Times New Roman" w:cs="Times New Roman"/>
          <w:sz w:val="24"/>
          <w:szCs w:val="24"/>
        </w:rPr>
      </w:pPr>
    </w:p>
    <w:p w:rsidR="00554888" w:rsidRPr="00656B2E" w:rsidRDefault="00684A16" w:rsidP="000101E8">
      <w:pPr>
        <w:pStyle w:val="ListParagraph"/>
        <w:numPr>
          <w:ilvl w:val="0"/>
          <w:numId w:val="5"/>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r</w:t>
      </w:r>
      <w:r w:rsidRPr="00656B2E">
        <w:rPr>
          <w:rFonts w:ascii="Times New Roman" w:hAnsi="Times New Roman" w:cs="Times New Roman"/>
          <w:sz w:val="24"/>
          <w:szCs w:val="24"/>
        </w:rPr>
        <w:t xml:space="preserve">eceived </w:t>
      </w:r>
      <w:r w:rsidR="00554888" w:rsidRPr="00656B2E">
        <w:rPr>
          <w:rFonts w:ascii="Times New Roman" w:hAnsi="Times New Roman" w:cs="Times New Roman"/>
          <w:sz w:val="24"/>
          <w:szCs w:val="24"/>
        </w:rPr>
        <w:t>at least $5,000 in compensation from the employer during any two preceding years</w:t>
      </w:r>
      <w:r w:rsidR="00087818">
        <w:rPr>
          <w:rFonts w:ascii="Times New Roman" w:hAnsi="Times New Roman" w:cs="Times New Roman"/>
          <w:sz w:val="24"/>
          <w:szCs w:val="24"/>
        </w:rPr>
        <w:t>,</w:t>
      </w:r>
      <w:r w:rsidR="00087818" w:rsidRPr="00656B2E">
        <w:rPr>
          <w:rFonts w:ascii="Times New Roman" w:hAnsi="Times New Roman" w:cs="Times New Roman"/>
          <w:sz w:val="24"/>
          <w:szCs w:val="24"/>
        </w:rPr>
        <w:t xml:space="preserve"> </w:t>
      </w:r>
      <w:r w:rsidR="00554888" w:rsidRPr="00656B2E">
        <w:rPr>
          <w:rFonts w:ascii="Times New Roman" w:hAnsi="Times New Roman" w:cs="Times New Roman"/>
          <w:sz w:val="24"/>
          <w:szCs w:val="24"/>
        </w:rPr>
        <w:t>and</w:t>
      </w:r>
    </w:p>
    <w:p w:rsidR="00656B2E" w:rsidRPr="00656B2E" w:rsidRDefault="00656B2E" w:rsidP="00656B2E">
      <w:pPr>
        <w:pStyle w:val="ListParagraph"/>
        <w:spacing w:after="0" w:line="240" w:lineRule="auto"/>
        <w:ind w:left="2160"/>
        <w:rPr>
          <w:rFonts w:ascii="Times New Roman" w:hAnsi="Times New Roman" w:cs="Times New Roman"/>
          <w:sz w:val="24"/>
          <w:szCs w:val="24"/>
        </w:rPr>
      </w:pPr>
    </w:p>
    <w:p w:rsidR="00554888" w:rsidRPr="00656B2E" w:rsidRDefault="00684A16" w:rsidP="000101E8">
      <w:pPr>
        <w:pStyle w:val="ListParagraph"/>
        <w:numPr>
          <w:ilvl w:val="0"/>
          <w:numId w:val="5"/>
        </w:numPr>
        <w:spacing w:after="0" w:line="240" w:lineRule="auto"/>
        <w:ind w:left="2160"/>
        <w:rPr>
          <w:rFonts w:ascii="Times New Roman" w:hAnsi="Times New Roman" w:cs="Times New Roman"/>
          <w:sz w:val="24"/>
          <w:szCs w:val="24"/>
        </w:rPr>
      </w:pPr>
      <w:proofErr w:type="gramStart"/>
      <w:r>
        <w:rPr>
          <w:rFonts w:ascii="Times New Roman" w:hAnsi="Times New Roman" w:cs="Times New Roman"/>
          <w:sz w:val="24"/>
          <w:szCs w:val="24"/>
        </w:rPr>
        <w:t>a</w:t>
      </w:r>
      <w:r w:rsidRPr="00656B2E">
        <w:rPr>
          <w:rFonts w:ascii="Times New Roman" w:hAnsi="Times New Roman" w:cs="Times New Roman"/>
          <w:sz w:val="24"/>
          <w:szCs w:val="24"/>
        </w:rPr>
        <w:t>re</w:t>
      </w:r>
      <w:proofErr w:type="gramEnd"/>
      <w:r w:rsidRPr="00656B2E">
        <w:rPr>
          <w:rFonts w:ascii="Times New Roman" w:hAnsi="Times New Roman" w:cs="Times New Roman"/>
          <w:sz w:val="24"/>
          <w:szCs w:val="24"/>
        </w:rPr>
        <w:t xml:space="preserve"> </w:t>
      </w:r>
      <w:r w:rsidR="00554888" w:rsidRPr="00656B2E">
        <w:rPr>
          <w:rFonts w:ascii="Times New Roman" w:hAnsi="Times New Roman" w:cs="Times New Roman"/>
          <w:sz w:val="24"/>
          <w:szCs w:val="24"/>
        </w:rPr>
        <w:t>reasonably expected to receive at least $5,000 in compensation during the current year.</w:t>
      </w:r>
    </w:p>
    <w:p w:rsidR="00656B2E" w:rsidRDefault="00656B2E" w:rsidP="00554888">
      <w:pPr>
        <w:spacing w:after="0" w:line="240" w:lineRule="auto"/>
        <w:ind w:left="720"/>
        <w:rPr>
          <w:rFonts w:ascii="Times New Roman" w:hAnsi="Times New Roman" w:cs="Times New Roman"/>
          <w:sz w:val="24"/>
          <w:szCs w:val="24"/>
        </w:rPr>
      </w:pPr>
    </w:p>
    <w:p w:rsidR="00554888" w:rsidRPr="004B76E0" w:rsidRDefault="00554888" w:rsidP="00656B2E">
      <w:pPr>
        <w:spacing w:after="0" w:line="240" w:lineRule="auto"/>
        <w:ind w:left="1440"/>
        <w:rPr>
          <w:rFonts w:ascii="Times New Roman" w:hAnsi="Times New Roman" w:cs="Times New Roman"/>
          <w:i/>
          <w:sz w:val="24"/>
          <w:szCs w:val="24"/>
        </w:rPr>
      </w:pPr>
      <w:r w:rsidRPr="00656B2E">
        <w:rPr>
          <w:rFonts w:ascii="Times New Roman" w:hAnsi="Times New Roman" w:cs="Times New Roman"/>
          <w:b/>
          <w:sz w:val="24"/>
          <w:szCs w:val="24"/>
        </w:rPr>
        <w:t xml:space="preserve">Practice </w:t>
      </w:r>
      <w:r w:rsidR="003A31D9">
        <w:rPr>
          <w:rFonts w:ascii="Times New Roman" w:hAnsi="Times New Roman" w:cs="Times New Roman"/>
          <w:b/>
          <w:sz w:val="24"/>
          <w:szCs w:val="24"/>
        </w:rPr>
        <w:t>Point:</w:t>
      </w:r>
      <w:r w:rsidRPr="00554888">
        <w:rPr>
          <w:rFonts w:ascii="Times New Roman" w:hAnsi="Times New Roman" w:cs="Times New Roman"/>
          <w:sz w:val="24"/>
          <w:szCs w:val="24"/>
        </w:rPr>
        <w:t> </w:t>
      </w:r>
      <w:r w:rsidRPr="00BD0AFA">
        <w:rPr>
          <w:rFonts w:ascii="Times New Roman" w:hAnsi="Times New Roman" w:cs="Times New Roman"/>
          <w:sz w:val="24"/>
          <w:szCs w:val="24"/>
        </w:rPr>
        <w:t xml:space="preserve">It is important to note that employee eligibility for a SIMPLE IRA does not allow for </w:t>
      </w:r>
      <w:r w:rsidR="00656B2E" w:rsidRPr="00BD0AFA">
        <w:rPr>
          <w:rFonts w:ascii="Times New Roman" w:hAnsi="Times New Roman" w:cs="Times New Roman"/>
          <w:sz w:val="24"/>
          <w:szCs w:val="24"/>
        </w:rPr>
        <w:t xml:space="preserve">a </w:t>
      </w:r>
      <w:r w:rsidRPr="00BD0AFA">
        <w:rPr>
          <w:rFonts w:ascii="Times New Roman" w:hAnsi="Times New Roman" w:cs="Times New Roman"/>
          <w:sz w:val="24"/>
          <w:szCs w:val="24"/>
        </w:rPr>
        <w:t>minimum service requirement</w:t>
      </w:r>
      <w:r w:rsidR="00656B2E" w:rsidRPr="00BD0AFA">
        <w:rPr>
          <w:rFonts w:ascii="Times New Roman" w:hAnsi="Times New Roman" w:cs="Times New Roman"/>
          <w:sz w:val="24"/>
          <w:szCs w:val="24"/>
        </w:rPr>
        <w:t xml:space="preserve"> </w:t>
      </w:r>
      <w:r w:rsidRPr="00BD0AFA">
        <w:rPr>
          <w:rFonts w:ascii="Times New Roman" w:hAnsi="Times New Roman" w:cs="Times New Roman"/>
          <w:sz w:val="24"/>
          <w:szCs w:val="24"/>
        </w:rPr>
        <w:t xml:space="preserve">or </w:t>
      </w:r>
      <w:r w:rsidR="00656B2E" w:rsidRPr="00BD0AFA">
        <w:rPr>
          <w:rFonts w:ascii="Times New Roman" w:hAnsi="Times New Roman" w:cs="Times New Roman"/>
          <w:sz w:val="24"/>
          <w:szCs w:val="24"/>
        </w:rPr>
        <w:t xml:space="preserve">a </w:t>
      </w:r>
      <w:r w:rsidRPr="00BD0AFA">
        <w:rPr>
          <w:rFonts w:ascii="Times New Roman" w:hAnsi="Times New Roman" w:cs="Times New Roman"/>
          <w:sz w:val="24"/>
          <w:szCs w:val="24"/>
        </w:rPr>
        <w:t>minimum age</w:t>
      </w:r>
      <w:r w:rsidR="00656B2E" w:rsidRPr="00BD0AFA">
        <w:rPr>
          <w:rFonts w:ascii="Times New Roman" w:hAnsi="Times New Roman" w:cs="Times New Roman"/>
          <w:sz w:val="24"/>
          <w:szCs w:val="24"/>
        </w:rPr>
        <w:t>, e.g., 1</w:t>
      </w:r>
      <w:r w:rsidR="00684A16" w:rsidRPr="00BD0AFA">
        <w:rPr>
          <w:rFonts w:ascii="Times New Roman" w:hAnsi="Times New Roman" w:cs="Times New Roman"/>
          <w:sz w:val="24"/>
          <w:szCs w:val="24"/>
        </w:rPr>
        <w:t>,</w:t>
      </w:r>
      <w:r w:rsidR="00656B2E" w:rsidRPr="00BD0AFA">
        <w:rPr>
          <w:rFonts w:ascii="Times New Roman" w:hAnsi="Times New Roman" w:cs="Times New Roman"/>
          <w:sz w:val="24"/>
          <w:szCs w:val="24"/>
        </w:rPr>
        <w:t xml:space="preserve">000 hours of service and age </w:t>
      </w:r>
      <w:r w:rsidR="00087818" w:rsidRPr="00BD0AFA">
        <w:rPr>
          <w:rFonts w:ascii="Times New Roman" w:hAnsi="Times New Roman" w:cs="Times New Roman"/>
          <w:sz w:val="24"/>
          <w:szCs w:val="24"/>
        </w:rPr>
        <w:t>twenty-one</w:t>
      </w:r>
      <w:r w:rsidR="00656B2E" w:rsidRPr="004B76E0">
        <w:rPr>
          <w:rFonts w:ascii="Times New Roman" w:hAnsi="Times New Roman" w:cs="Times New Roman"/>
          <w:i/>
          <w:sz w:val="24"/>
          <w:szCs w:val="24"/>
        </w:rPr>
        <w:t>.</w:t>
      </w:r>
    </w:p>
    <w:p w:rsidR="00656B2E" w:rsidRPr="00554888" w:rsidRDefault="00656B2E" w:rsidP="00656B2E">
      <w:pPr>
        <w:spacing w:after="0" w:line="240" w:lineRule="auto"/>
        <w:ind w:left="1440"/>
        <w:rPr>
          <w:rFonts w:ascii="Times New Roman" w:hAnsi="Times New Roman" w:cs="Times New Roman"/>
          <w:sz w:val="24"/>
          <w:szCs w:val="24"/>
        </w:rPr>
      </w:pPr>
    </w:p>
    <w:p w:rsidR="00554888" w:rsidRDefault="00554888" w:rsidP="00554888">
      <w:pPr>
        <w:spacing w:after="0" w:line="240" w:lineRule="auto"/>
        <w:ind w:left="720"/>
        <w:rPr>
          <w:rFonts w:ascii="Times New Roman" w:hAnsi="Times New Roman" w:cs="Times New Roman"/>
          <w:sz w:val="24"/>
          <w:szCs w:val="24"/>
        </w:rPr>
      </w:pPr>
      <w:r w:rsidRPr="00554888">
        <w:rPr>
          <w:rFonts w:ascii="Times New Roman" w:hAnsi="Times New Roman" w:cs="Times New Roman"/>
          <w:sz w:val="24"/>
          <w:szCs w:val="24"/>
        </w:rPr>
        <w:t>An employer may impose less restrictive eligibility requirements by eliminating or reducing the prior-year compensation requirements, current-year compensation requirements, or both. For example, an employer can allow participation for employees who received $3,500 in compensation during any preceding calendar year or for all employ</w:t>
      </w:r>
      <w:r w:rsidR="00656B2E">
        <w:rPr>
          <w:rFonts w:ascii="Times New Roman" w:hAnsi="Times New Roman" w:cs="Times New Roman"/>
          <w:sz w:val="24"/>
          <w:szCs w:val="24"/>
        </w:rPr>
        <w:t>ees regardless of compensation.</w:t>
      </w:r>
    </w:p>
    <w:p w:rsidR="00656B2E" w:rsidRPr="00554888" w:rsidRDefault="00656B2E" w:rsidP="00554888">
      <w:pPr>
        <w:spacing w:after="0" w:line="240" w:lineRule="auto"/>
        <w:ind w:left="720"/>
        <w:rPr>
          <w:rFonts w:ascii="Times New Roman" w:hAnsi="Times New Roman" w:cs="Times New Roman"/>
          <w:sz w:val="24"/>
          <w:szCs w:val="24"/>
        </w:rPr>
      </w:pPr>
    </w:p>
    <w:p w:rsidR="00656B2E" w:rsidRDefault="00656B2E" w:rsidP="00656B2E">
      <w:pPr>
        <w:pStyle w:val="NoSpacing"/>
        <w:ind w:left="720"/>
        <w:rPr>
          <w:rFonts w:ascii="Times New Roman" w:hAnsi="Times New Roman" w:cs="Times New Roman"/>
          <w:b/>
          <w:sz w:val="24"/>
          <w:szCs w:val="24"/>
        </w:rPr>
      </w:pPr>
      <w:r w:rsidRPr="00AE6419">
        <w:rPr>
          <w:rFonts w:ascii="Times New Roman" w:hAnsi="Times New Roman" w:cs="Times New Roman"/>
          <w:b/>
          <w:sz w:val="24"/>
          <w:szCs w:val="24"/>
        </w:rPr>
        <w:t xml:space="preserve">Q. </w:t>
      </w:r>
      <w:r>
        <w:rPr>
          <w:rFonts w:ascii="Times New Roman" w:hAnsi="Times New Roman" w:cs="Times New Roman"/>
          <w:b/>
          <w:sz w:val="24"/>
          <w:szCs w:val="24"/>
        </w:rPr>
        <w:t>9</w:t>
      </w:r>
      <w:r w:rsidRPr="00AE6419">
        <w:rPr>
          <w:rFonts w:ascii="Times New Roman" w:hAnsi="Times New Roman" w:cs="Times New Roman"/>
          <w:b/>
          <w:sz w:val="24"/>
          <w:szCs w:val="24"/>
        </w:rPr>
        <w:t>.0</w:t>
      </w:r>
      <w:r>
        <w:rPr>
          <w:rFonts w:ascii="Times New Roman" w:hAnsi="Times New Roman" w:cs="Times New Roman"/>
          <w:b/>
          <w:sz w:val="24"/>
          <w:szCs w:val="24"/>
        </w:rPr>
        <w:t>3</w:t>
      </w:r>
      <w:r w:rsidRPr="00AE6419">
        <w:rPr>
          <w:rFonts w:ascii="Times New Roman" w:hAnsi="Times New Roman" w:cs="Times New Roman"/>
          <w:b/>
          <w:sz w:val="24"/>
          <w:szCs w:val="24"/>
        </w:rPr>
        <w:t>:</w:t>
      </w:r>
      <w:r w:rsidRPr="00AE6419">
        <w:rPr>
          <w:rFonts w:ascii="Times New Roman" w:hAnsi="Times New Roman" w:cs="Times New Roman"/>
          <w:b/>
          <w:sz w:val="24"/>
          <w:szCs w:val="24"/>
        </w:rPr>
        <w:tab/>
      </w:r>
      <w:r>
        <w:rPr>
          <w:rFonts w:ascii="Times New Roman" w:hAnsi="Times New Roman" w:cs="Times New Roman"/>
          <w:b/>
          <w:sz w:val="24"/>
          <w:szCs w:val="24"/>
        </w:rPr>
        <w:t>What notice requirements apply to a SIMPLE IRA?</w:t>
      </w:r>
    </w:p>
    <w:p w:rsidR="00656B2E" w:rsidRPr="00AE6419" w:rsidRDefault="00656B2E" w:rsidP="00656B2E">
      <w:pPr>
        <w:pStyle w:val="NoSpacing"/>
        <w:ind w:left="720"/>
        <w:rPr>
          <w:rFonts w:ascii="Times New Roman" w:hAnsi="Times New Roman" w:cs="Times New Roman"/>
          <w:b/>
          <w:sz w:val="24"/>
          <w:szCs w:val="24"/>
        </w:rPr>
      </w:pPr>
    </w:p>
    <w:p w:rsidR="00554888" w:rsidRDefault="00554888" w:rsidP="00656B2E">
      <w:pPr>
        <w:spacing w:after="0" w:line="240" w:lineRule="auto"/>
        <w:ind w:left="720"/>
        <w:rPr>
          <w:rFonts w:ascii="Times New Roman" w:hAnsi="Times New Roman" w:cs="Times New Roman"/>
          <w:sz w:val="24"/>
          <w:szCs w:val="24"/>
        </w:rPr>
      </w:pPr>
      <w:r w:rsidRPr="00554888">
        <w:rPr>
          <w:rFonts w:ascii="Times New Roman" w:hAnsi="Times New Roman" w:cs="Times New Roman"/>
          <w:sz w:val="24"/>
          <w:szCs w:val="24"/>
        </w:rPr>
        <w:t xml:space="preserve">The employer must notify each eligible employee of his or her option to make a deferral election or to modify an existing election. Notification must occur </w:t>
      </w:r>
      <w:r w:rsidR="0087303E">
        <w:rPr>
          <w:rFonts w:ascii="Times New Roman" w:hAnsi="Times New Roman" w:cs="Times New Roman"/>
          <w:sz w:val="24"/>
          <w:szCs w:val="24"/>
        </w:rPr>
        <w:t>sixty</w:t>
      </w:r>
      <w:r w:rsidR="0087303E" w:rsidRPr="00554888">
        <w:rPr>
          <w:rFonts w:ascii="Times New Roman" w:hAnsi="Times New Roman" w:cs="Times New Roman"/>
          <w:sz w:val="24"/>
          <w:szCs w:val="24"/>
        </w:rPr>
        <w:t xml:space="preserve"> </w:t>
      </w:r>
      <w:r w:rsidRPr="00554888">
        <w:rPr>
          <w:rFonts w:ascii="Times New Roman" w:hAnsi="Times New Roman" w:cs="Times New Roman"/>
          <w:sz w:val="24"/>
          <w:szCs w:val="24"/>
        </w:rPr>
        <w:t xml:space="preserve">days before the beginning of the plan year, or </w:t>
      </w:r>
      <w:r w:rsidR="0087303E">
        <w:rPr>
          <w:rFonts w:ascii="Times New Roman" w:hAnsi="Times New Roman" w:cs="Times New Roman"/>
          <w:sz w:val="24"/>
          <w:szCs w:val="24"/>
        </w:rPr>
        <w:t>sixty</w:t>
      </w:r>
      <w:r w:rsidR="0087303E" w:rsidRPr="00554888">
        <w:rPr>
          <w:rFonts w:ascii="Times New Roman" w:hAnsi="Times New Roman" w:cs="Times New Roman"/>
          <w:sz w:val="24"/>
          <w:szCs w:val="24"/>
        </w:rPr>
        <w:t xml:space="preserve"> </w:t>
      </w:r>
      <w:r w:rsidRPr="00554888">
        <w:rPr>
          <w:rFonts w:ascii="Times New Roman" w:hAnsi="Times New Roman" w:cs="Times New Roman"/>
          <w:sz w:val="24"/>
          <w:szCs w:val="24"/>
        </w:rPr>
        <w:t xml:space="preserve">days before the first day the employee is eligible if the effective date of the plan is not the first day of the plan year (plan adopted during the year). During the </w:t>
      </w:r>
      <w:r w:rsidR="0087303E">
        <w:rPr>
          <w:rFonts w:ascii="Times New Roman" w:hAnsi="Times New Roman" w:cs="Times New Roman"/>
          <w:sz w:val="24"/>
          <w:szCs w:val="24"/>
        </w:rPr>
        <w:t>sixty</w:t>
      </w:r>
      <w:r w:rsidRPr="00554888">
        <w:rPr>
          <w:rFonts w:ascii="Times New Roman" w:hAnsi="Times New Roman" w:cs="Times New Roman"/>
          <w:sz w:val="24"/>
          <w:szCs w:val="24"/>
        </w:rPr>
        <w:t xml:space="preserve">-day election period, employees have the right to modify their salary reduction agreements without restrictions. This notice must include the summary description provided by the trustee of the employee’s SIMPLE IRA account (see </w:t>
      </w:r>
      <w:r w:rsidR="0087303E">
        <w:rPr>
          <w:rFonts w:ascii="Times New Roman" w:hAnsi="Times New Roman" w:cs="Times New Roman"/>
          <w:sz w:val="24"/>
          <w:szCs w:val="24"/>
        </w:rPr>
        <w:t>Q 9.05</w:t>
      </w:r>
      <w:r w:rsidRPr="00554888">
        <w:rPr>
          <w:rFonts w:ascii="Times New Roman" w:hAnsi="Times New Roman" w:cs="Times New Roman"/>
          <w:sz w:val="24"/>
          <w:szCs w:val="24"/>
        </w:rPr>
        <w:t>).</w:t>
      </w:r>
      <w:r w:rsidR="00F01FDA">
        <w:rPr>
          <w:rStyle w:val="FootnoteReference"/>
          <w:rFonts w:ascii="Times New Roman" w:hAnsi="Times New Roman" w:cs="Times New Roman"/>
          <w:sz w:val="24"/>
          <w:szCs w:val="24"/>
        </w:rPr>
        <w:footnoteReference w:id="7"/>
      </w:r>
    </w:p>
    <w:p w:rsidR="00656B2E" w:rsidRPr="00554888" w:rsidRDefault="00656B2E" w:rsidP="00656B2E">
      <w:pPr>
        <w:spacing w:after="0" w:line="240" w:lineRule="auto"/>
        <w:ind w:left="720"/>
        <w:rPr>
          <w:rFonts w:ascii="Times New Roman" w:hAnsi="Times New Roman" w:cs="Times New Roman"/>
          <w:sz w:val="24"/>
          <w:szCs w:val="24"/>
        </w:rPr>
      </w:pPr>
    </w:p>
    <w:p w:rsidR="00554888" w:rsidRDefault="00554888" w:rsidP="00656B2E">
      <w:pPr>
        <w:spacing w:after="0" w:line="240" w:lineRule="auto"/>
        <w:ind w:left="720"/>
        <w:rPr>
          <w:rFonts w:ascii="Times New Roman" w:hAnsi="Times New Roman" w:cs="Times New Roman"/>
          <w:sz w:val="24"/>
          <w:szCs w:val="24"/>
        </w:rPr>
      </w:pPr>
      <w:r w:rsidRPr="00554888">
        <w:rPr>
          <w:rFonts w:ascii="Times New Roman" w:hAnsi="Times New Roman" w:cs="Times New Roman"/>
          <w:sz w:val="24"/>
          <w:szCs w:val="24"/>
        </w:rPr>
        <w:t>As in the case of qualified plans, union employees and nonresident aliens may be excluded from participation in the SIMPLE IRA; however, it appears that union employees must be counted as employees of the employer for purposes of the 100-</w:t>
      </w:r>
      <w:r w:rsidRPr="00554888">
        <w:rPr>
          <w:rFonts w:ascii="Times New Roman" w:hAnsi="Times New Roman" w:cs="Times New Roman"/>
          <w:sz w:val="24"/>
          <w:szCs w:val="24"/>
        </w:rPr>
        <w:lastRenderedPageBreak/>
        <w:t>employee requirement.</w:t>
      </w:r>
      <w:r w:rsidR="00473059">
        <w:rPr>
          <w:rStyle w:val="FootnoteReference"/>
          <w:rFonts w:ascii="Times New Roman" w:hAnsi="Times New Roman" w:cs="Times New Roman"/>
          <w:sz w:val="24"/>
          <w:szCs w:val="24"/>
        </w:rPr>
        <w:footnoteReference w:id="8"/>
      </w:r>
      <w:r w:rsidRPr="00554888">
        <w:rPr>
          <w:rFonts w:ascii="Times New Roman" w:hAnsi="Times New Roman" w:cs="Times New Roman"/>
          <w:sz w:val="24"/>
          <w:szCs w:val="24"/>
        </w:rPr>
        <w:t xml:space="preserve"> This has the effect of preventing an employer from adopting a SIMPLE IRA for its nonunion employees if the total of union and nonunion employees is more than 100, even though there are fewer than 100 nonunion employees.</w:t>
      </w:r>
    </w:p>
    <w:p w:rsidR="00656B2E" w:rsidRPr="00554888" w:rsidRDefault="00656B2E" w:rsidP="00656B2E">
      <w:pPr>
        <w:spacing w:after="0" w:line="240" w:lineRule="auto"/>
        <w:ind w:left="720"/>
        <w:rPr>
          <w:rFonts w:ascii="Times New Roman" w:hAnsi="Times New Roman" w:cs="Times New Roman"/>
          <w:sz w:val="24"/>
          <w:szCs w:val="24"/>
        </w:rPr>
      </w:pPr>
    </w:p>
    <w:p w:rsidR="00554888" w:rsidRDefault="00554888" w:rsidP="002D5274">
      <w:pPr>
        <w:spacing w:after="0" w:line="240" w:lineRule="auto"/>
        <w:ind w:left="720"/>
        <w:rPr>
          <w:rFonts w:ascii="Times New Roman" w:hAnsi="Times New Roman" w:cs="Times New Roman"/>
          <w:sz w:val="24"/>
          <w:szCs w:val="24"/>
        </w:rPr>
      </w:pPr>
      <w:r w:rsidRPr="00554888">
        <w:rPr>
          <w:rFonts w:ascii="Times New Roman" w:hAnsi="Times New Roman" w:cs="Times New Roman"/>
          <w:sz w:val="24"/>
          <w:szCs w:val="24"/>
        </w:rPr>
        <w:t xml:space="preserve">SIMPLE plans eliminate the need to satisfy the nondiscrimination tests common to 401(k) </w:t>
      </w:r>
      <w:proofErr w:type="gramStart"/>
      <w:r w:rsidRPr="00554888">
        <w:rPr>
          <w:rFonts w:ascii="Times New Roman" w:hAnsi="Times New Roman" w:cs="Times New Roman"/>
          <w:sz w:val="24"/>
          <w:szCs w:val="24"/>
        </w:rPr>
        <w:t>plans,</w:t>
      </w:r>
      <w:proofErr w:type="gramEnd"/>
      <w:r w:rsidRPr="00554888">
        <w:rPr>
          <w:rFonts w:ascii="Times New Roman" w:hAnsi="Times New Roman" w:cs="Times New Roman"/>
          <w:sz w:val="24"/>
          <w:szCs w:val="24"/>
        </w:rPr>
        <w:t xml:space="preserve"> the ADP and ACP tests (see Chapter </w:t>
      </w:r>
      <w:r w:rsidR="00656B2E">
        <w:rPr>
          <w:rFonts w:ascii="Times New Roman" w:hAnsi="Times New Roman" w:cs="Times New Roman"/>
          <w:sz w:val="24"/>
          <w:szCs w:val="24"/>
        </w:rPr>
        <w:t>6)</w:t>
      </w:r>
      <w:r w:rsidRPr="00554888">
        <w:rPr>
          <w:rFonts w:ascii="Times New Roman" w:hAnsi="Times New Roman" w:cs="Times New Roman"/>
          <w:sz w:val="24"/>
          <w:szCs w:val="24"/>
        </w:rPr>
        <w:t xml:space="preserve">. SIMPLE plans also do not have to satisfy minimum contributions if the plan is top-heavy (see Chapter </w:t>
      </w:r>
      <w:r w:rsidR="00656B2E">
        <w:rPr>
          <w:rFonts w:ascii="Times New Roman" w:hAnsi="Times New Roman" w:cs="Times New Roman"/>
          <w:sz w:val="24"/>
          <w:szCs w:val="24"/>
        </w:rPr>
        <w:t>5).</w:t>
      </w:r>
      <w:r w:rsidR="001B7851">
        <w:rPr>
          <w:rStyle w:val="FootnoteReference"/>
          <w:rFonts w:ascii="Times New Roman" w:hAnsi="Times New Roman" w:cs="Times New Roman"/>
          <w:sz w:val="24"/>
          <w:szCs w:val="24"/>
        </w:rPr>
        <w:footnoteReference w:id="9"/>
      </w:r>
      <w:r w:rsidRPr="00554888">
        <w:rPr>
          <w:rFonts w:ascii="Times New Roman" w:hAnsi="Times New Roman" w:cs="Times New Roman"/>
          <w:sz w:val="24"/>
          <w:szCs w:val="24"/>
        </w:rPr>
        <w:t xml:space="preserve"> In exchange for the reduced testing and elimination of top-heavy rules, the amount that can be deferred pre-tax by each employee is limited to $</w:t>
      </w:r>
      <w:r w:rsidR="00656B2E">
        <w:rPr>
          <w:rFonts w:ascii="Times New Roman" w:hAnsi="Times New Roman" w:cs="Times New Roman"/>
          <w:sz w:val="24"/>
          <w:szCs w:val="24"/>
        </w:rPr>
        <w:t>12,000</w:t>
      </w:r>
      <w:r w:rsidRPr="00554888">
        <w:rPr>
          <w:rFonts w:ascii="Times New Roman" w:hAnsi="Times New Roman" w:cs="Times New Roman"/>
          <w:sz w:val="24"/>
          <w:szCs w:val="24"/>
        </w:rPr>
        <w:t xml:space="preserve"> for 201</w:t>
      </w:r>
      <w:r w:rsidR="002D5274">
        <w:rPr>
          <w:rFonts w:ascii="Times New Roman" w:hAnsi="Times New Roman" w:cs="Times New Roman"/>
          <w:sz w:val="24"/>
          <w:szCs w:val="24"/>
        </w:rPr>
        <w:t>4</w:t>
      </w:r>
      <w:r w:rsidR="001B7851">
        <w:rPr>
          <w:rStyle w:val="FootnoteReference"/>
          <w:rFonts w:ascii="Times New Roman" w:hAnsi="Times New Roman" w:cs="Times New Roman"/>
          <w:sz w:val="24"/>
          <w:szCs w:val="24"/>
        </w:rPr>
        <w:footnoteReference w:id="10"/>
      </w:r>
      <w:r w:rsidRPr="00554888">
        <w:rPr>
          <w:rFonts w:ascii="Times New Roman" w:hAnsi="Times New Roman" w:cs="Times New Roman"/>
          <w:sz w:val="24"/>
          <w:szCs w:val="24"/>
        </w:rPr>
        <w:t xml:space="preserve"> and thereafter adjusted in $500 increments for </w:t>
      </w:r>
      <w:r w:rsidR="001B7851">
        <w:rPr>
          <w:rFonts w:ascii="Times New Roman" w:hAnsi="Times New Roman" w:cs="Times New Roman"/>
          <w:sz w:val="24"/>
          <w:szCs w:val="24"/>
        </w:rPr>
        <w:t xml:space="preserve">the </w:t>
      </w:r>
      <w:r w:rsidRPr="00554888">
        <w:rPr>
          <w:rFonts w:ascii="Times New Roman" w:hAnsi="Times New Roman" w:cs="Times New Roman"/>
          <w:sz w:val="24"/>
          <w:szCs w:val="24"/>
        </w:rPr>
        <w:t>cost of living, compared to the $1</w:t>
      </w:r>
      <w:r w:rsidR="002D5274">
        <w:rPr>
          <w:rFonts w:ascii="Times New Roman" w:hAnsi="Times New Roman" w:cs="Times New Roman"/>
          <w:sz w:val="24"/>
          <w:szCs w:val="24"/>
        </w:rPr>
        <w:t>7</w:t>
      </w:r>
      <w:r w:rsidRPr="00554888">
        <w:rPr>
          <w:rFonts w:ascii="Times New Roman" w:hAnsi="Times New Roman" w:cs="Times New Roman"/>
          <w:sz w:val="24"/>
          <w:szCs w:val="24"/>
        </w:rPr>
        <w:t>,500 (for 201</w:t>
      </w:r>
      <w:r w:rsidR="002D5274">
        <w:rPr>
          <w:rFonts w:ascii="Times New Roman" w:hAnsi="Times New Roman" w:cs="Times New Roman"/>
          <w:sz w:val="24"/>
          <w:szCs w:val="24"/>
        </w:rPr>
        <w:t>4</w:t>
      </w:r>
      <w:r w:rsidRPr="00554888">
        <w:rPr>
          <w:rFonts w:ascii="Times New Roman" w:hAnsi="Times New Roman" w:cs="Times New Roman"/>
          <w:sz w:val="24"/>
          <w:szCs w:val="24"/>
        </w:rPr>
        <w:t>) that can be deferred to a traditional or safe harbor 401(k).</w:t>
      </w:r>
    </w:p>
    <w:p w:rsidR="002D5274" w:rsidRPr="00554888" w:rsidRDefault="002D5274" w:rsidP="002D5274">
      <w:pPr>
        <w:spacing w:after="0" w:line="240" w:lineRule="auto"/>
        <w:ind w:left="720"/>
        <w:rPr>
          <w:rFonts w:ascii="Times New Roman" w:hAnsi="Times New Roman" w:cs="Times New Roman"/>
          <w:sz w:val="24"/>
          <w:szCs w:val="24"/>
        </w:rPr>
      </w:pPr>
    </w:p>
    <w:p w:rsidR="00554888" w:rsidRPr="0066141B" w:rsidRDefault="00554888" w:rsidP="00554888">
      <w:pPr>
        <w:spacing w:after="0" w:line="240" w:lineRule="auto"/>
        <w:ind w:left="720"/>
        <w:rPr>
          <w:rFonts w:ascii="Times New Roman" w:hAnsi="Times New Roman" w:cs="Times New Roman"/>
          <w:i/>
          <w:sz w:val="24"/>
          <w:szCs w:val="24"/>
        </w:rPr>
      </w:pPr>
      <w:r w:rsidRPr="002D5274">
        <w:rPr>
          <w:rFonts w:ascii="Times New Roman" w:hAnsi="Times New Roman" w:cs="Times New Roman"/>
          <w:b/>
          <w:sz w:val="24"/>
          <w:szCs w:val="24"/>
        </w:rPr>
        <w:t xml:space="preserve">Practice </w:t>
      </w:r>
      <w:r w:rsidR="003A31D9">
        <w:rPr>
          <w:rFonts w:ascii="Times New Roman" w:hAnsi="Times New Roman" w:cs="Times New Roman"/>
          <w:b/>
          <w:sz w:val="24"/>
          <w:szCs w:val="24"/>
        </w:rPr>
        <w:t>Point:</w:t>
      </w:r>
      <w:r w:rsidRPr="00554888">
        <w:rPr>
          <w:rFonts w:ascii="Times New Roman" w:hAnsi="Times New Roman" w:cs="Times New Roman"/>
          <w:sz w:val="24"/>
          <w:szCs w:val="24"/>
        </w:rPr>
        <w:t> </w:t>
      </w:r>
      <w:r w:rsidRPr="00BD0AFA">
        <w:rPr>
          <w:rFonts w:ascii="Times New Roman" w:hAnsi="Times New Roman" w:cs="Times New Roman"/>
          <w:sz w:val="24"/>
          <w:szCs w:val="24"/>
        </w:rPr>
        <w:t>An employee who participates in a SIMPLE IRA is considered an active participant subject to the limitations on deductions to IRA accounts.</w:t>
      </w:r>
      <w:r w:rsidR="001B7851" w:rsidRPr="003A31D9">
        <w:rPr>
          <w:rStyle w:val="FootnoteReference"/>
          <w:rFonts w:ascii="Times New Roman" w:hAnsi="Times New Roman" w:cs="Times New Roman"/>
          <w:sz w:val="24"/>
          <w:szCs w:val="24"/>
        </w:rPr>
        <w:footnoteReference w:id="11"/>
      </w:r>
    </w:p>
    <w:p w:rsidR="002D5274" w:rsidRPr="0066141B" w:rsidRDefault="002D5274" w:rsidP="00554888">
      <w:pPr>
        <w:spacing w:after="0" w:line="240" w:lineRule="auto"/>
        <w:ind w:left="720"/>
        <w:rPr>
          <w:rFonts w:ascii="Times New Roman" w:hAnsi="Times New Roman" w:cs="Times New Roman"/>
          <w:i/>
          <w:sz w:val="24"/>
          <w:szCs w:val="24"/>
        </w:rPr>
      </w:pPr>
    </w:p>
    <w:p w:rsidR="002D5274" w:rsidRDefault="002D5274" w:rsidP="002D5274">
      <w:pPr>
        <w:pStyle w:val="NoSpacing"/>
        <w:ind w:left="720"/>
        <w:rPr>
          <w:rFonts w:ascii="Times New Roman" w:hAnsi="Times New Roman" w:cs="Times New Roman"/>
          <w:b/>
          <w:sz w:val="24"/>
          <w:szCs w:val="24"/>
        </w:rPr>
      </w:pPr>
      <w:r w:rsidRPr="00AE6419">
        <w:rPr>
          <w:rFonts w:ascii="Times New Roman" w:hAnsi="Times New Roman" w:cs="Times New Roman"/>
          <w:b/>
          <w:sz w:val="24"/>
          <w:szCs w:val="24"/>
        </w:rPr>
        <w:t xml:space="preserve">Q. </w:t>
      </w:r>
      <w:r>
        <w:rPr>
          <w:rFonts w:ascii="Times New Roman" w:hAnsi="Times New Roman" w:cs="Times New Roman"/>
          <w:b/>
          <w:sz w:val="24"/>
          <w:szCs w:val="24"/>
        </w:rPr>
        <w:t>9</w:t>
      </w:r>
      <w:r w:rsidRPr="00AE6419">
        <w:rPr>
          <w:rFonts w:ascii="Times New Roman" w:hAnsi="Times New Roman" w:cs="Times New Roman"/>
          <w:b/>
          <w:sz w:val="24"/>
          <w:szCs w:val="24"/>
        </w:rPr>
        <w:t>.0</w:t>
      </w:r>
      <w:r>
        <w:rPr>
          <w:rFonts w:ascii="Times New Roman" w:hAnsi="Times New Roman" w:cs="Times New Roman"/>
          <w:b/>
          <w:sz w:val="24"/>
          <w:szCs w:val="24"/>
        </w:rPr>
        <w:t>4</w:t>
      </w:r>
      <w:r w:rsidRPr="00AE6419">
        <w:rPr>
          <w:rFonts w:ascii="Times New Roman" w:hAnsi="Times New Roman" w:cs="Times New Roman"/>
          <w:b/>
          <w:sz w:val="24"/>
          <w:szCs w:val="24"/>
        </w:rPr>
        <w:t>:</w:t>
      </w:r>
      <w:r w:rsidRPr="00AE6419">
        <w:rPr>
          <w:rFonts w:ascii="Times New Roman" w:hAnsi="Times New Roman" w:cs="Times New Roman"/>
          <w:b/>
          <w:sz w:val="24"/>
          <w:szCs w:val="24"/>
        </w:rPr>
        <w:tab/>
      </w:r>
      <w:r>
        <w:rPr>
          <w:rFonts w:ascii="Times New Roman" w:hAnsi="Times New Roman" w:cs="Times New Roman"/>
          <w:b/>
          <w:sz w:val="24"/>
          <w:szCs w:val="24"/>
        </w:rPr>
        <w:t>What employer contributions may be made to a SIMPLE IRA?</w:t>
      </w:r>
    </w:p>
    <w:p w:rsidR="002D5274" w:rsidRDefault="002D5274" w:rsidP="00554888">
      <w:pPr>
        <w:spacing w:after="0" w:line="240" w:lineRule="auto"/>
        <w:ind w:left="720"/>
        <w:rPr>
          <w:rFonts w:ascii="Times New Roman" w:hAnsi="Times New Roman" w:cs="Times New Roman"/>
          <w:sz w:val="24"/>
          <w:szCs w:val="24"/>
        </w:rPr>
      </w:pPr>
    </w:p>
    <w:p w:rsidR="00554888" w:rsidRDefault="00554888" w:rsidP="00554888">
      <w:pPr>
        <w:spacing w:after="0" w:line="240" w:lineRule="auto"/>
        <w:ind w:left="720"/>
        <w:rPr>
          <w:rFonts w:ascii="Times New Roman" w:hAnsi="Times New Roman" w:cs="Times New Roman"/>
          <w:sz w:val="24"/>
          <w:szCs w:val="24"/>
        </w:rPr>
      </w:pPr>
      <w:r w:rsidRPr="00554888">
        <w:rPr>
          <w:rFonts w:ascii="Times New Roman" w:hAnsi="Times New Roman" w:cs="Times New Roman"/>
          <w:sz w:val="24"/>
          <w:szCs w:val="24"/>
        </w:rPr>
        <w:t xml:space="preserve">The employer may not make any contributions to the plan other than those that are specifically allowed. </w:t>
      </w:r>
      <w:r w:rsidR="008D34A9">
        <w:rPr>
          <w:rFonts w:ascii="Times New Roman" w:hAnsi="Times New Roman" w:cs="Times New Roman"/>
          <w:sz w:val="24"/>
          <w:szCs w:val="24"/>
        </w:rPr>
        <w:t xml:space="preserve">The </w:t>
      </w:r>
      <w:r w:rsidR="00880B78">
        <w:rPr>
          <w:rFonts w:ascii="Times New Roman" w:hAnsi="Times New Roman" w:cs="Times New Roman"/>
          <w:sz w:val="24"/>
          <w:szCs w:val="24"/>
        </w:rPr>
        <w:t>Small Business Job Protection Act (</w:t>
      </w:r>
      <w:r w:rsidRPr="00554888">
        <w:rPr>
          <w:rFonts w:ascii="Times New Roman" w:hAnsi="Times New Roman" w:cs="Times New Roman"/>
          <w:sz w:val="24"/>
          <w:szCs w:val="24"/>
        </w:rPr>
        <w:t>SBJPA</w:t>
      </w:r>
      <w:r w:rsidR="00880B78">
        <w:rPr>
          <w:rFonts w:ascii="Times New Roman" w:hAnsi="Times New Roman" w:cs="Times New Roman"/>
          <w:sz w:val="24"/>
          <w:szCs w:val="24"/>
        </w:rPr>
        <w:t>)</w:t>
      </w:r>
      <w:r w:rsidRPr="00554888">
        <w:rPr>
          <w:rFonts w:ascii="Times New Roman" w:hAnsi="Times New Roman" w:cs="Times New Roman"/>
          <w:sz w:val="24"/>
          <w:szCs w:val="24"/>
        </w:rPr>
        <w:t xml:space="preserve"> provides for two types of employer contributions</w:t>
      </w:r>
      <w:r w:rsidR="008D34A9">
        <w:rPr>
          <w:rFonts w:ascii="Times New Roman" w:hAnsi="Times New Roman" w:cs="Times New Roman"/>
          <w:sz w:val="24"/>
          <w:szCs w:val="24"/>
        </w:rPr>
        <w:t>—</w:t>
      </w:r>
      <w:r w:rsidRPr="00554888">
        <w:rPr>
          <w:rFonts w:ascii="Times New Roman" w:hAnsi="Times New Roman" w:cs="Times New Roman"/>
          <w:sz w:val="24"/>
          <w:szCs w:val="24"/>
        </w:rPr>
        <w:t xml:space="preserve">a matching contribution and a </w:t>
      </w:r>
      <w:proofErr w:type="spellStart"/>
      <w:r w:rsidRPr="00554888">
        <w:rPr>
          <w:rFonts w:ascii="Times New Roman" w:hAnsi="Times New Roman" w:cs="Times New Roman"/>
          <w:sz w:val="24"/>
          <w:szCs w:val="24"/>
        </w:rPr>
        <w:t>nonelective</w:t>
      </w:r>
      <w:proofErr w:type="spellEnd"/>
      <w:r w:rsidRPr="00554888">
        <w:rPr>
          <w:rFonts w:ascii="Times New Roman" w:hAnsi="Times New Roman" w:cs="Times New Roman"/>
          <w:sz w:val="24"/>
          <w:szCs w:val="24"/>
        </w:rPr>
        <w:t xml:space="preserve"> contribution</w:t>
      </w:r>
      <w:r w:rsidR="008D34A9">
        <w:rPr>
          <w:rFonts w:ascii="Times New Roman" w:hAnsi="Times New Roman" w:cs="Times New Roman"/>
          <w:sz w:val="24"/>
          <w:szCs w:val="24"/>
        </w:rPr>
        <w:t>—</w:t>
      </w:r>
      <w:r w:rsidRPr="00554888">
        <w:rPr>
          <w:rFonts w:ascii="Times New Roman" w:hAnsi="Times New Roman" w:cs="Times New Roman"/>
          <w:sz w:val="24"/>
          <w:szCs w:val="24"/>
        </w:rPr>
        <w:t>both of which must be immediately vested.</w:t>
      </w:r>
    </w:p>
    <w:p w:rsidR="00E005AC" w:rsidRPr="00554888" w:rsidRDefault="00E005AC" w:rsidP="00554888">
      <w:pPr>
        <w:spacing w:after="0" w:line="240" w:lineRule="auto"/>
        <w:ind w:left="720"/>
        <w:rPr>
          <w:rFonts w:ascii="Times New Roman" w:hAnsi="Times New Roman" w:cs="Times New Roman"/>
          <w:sz w:val="24"/>
          <w:szCs w:val="24"/>
        </w:rPr>
      </w:pPr>
    </w:p>
    <w:p w:rsidR="00554888" w:rsidRDefault="00554888" w:rsidP="00E005AC">
      <w:pPr>
        <w:spacing w:after="0" w:line="240" w:lineRule="auto"/>
        <w:ind w:left="720"/>
        <w:rPr>
          <w:rFonts w:ascii="Times New Roman" w:hAnsi="Times New Roman" w:cs="Times New Roman"/>
          <w:sz w:val="24"/>
          <w:szCs w:val="24"/>
        </w:rPr>
      </w:pPr>
      <w:r w:rsidRPr="00554888">
        <w:rPr>
          <w:rFonts w:ascii="Times New Roman" w:hAnsi="Times New Roman" w:cs="Times New Roman"/>
          <w:sz w:val="24"/>
          <w:szCs w:val="24"/>
        </w:rPr>
        <w:t>The matching contribution is equal to 100 percent of the employee’s deferral up to 3 percent of compensation</w:t>
      </w:r>
      <w:r w:rsidR="00E005AC">
        <w:rPr>
          <w:rFonts w:ascii="Times New Roman" w:hAnsi="Times New Roman" w:cs="Times New Roman"/>
          <w:sz w:val="24"/>
          <w:szCs w:val="24"/>
        </w:rPr>
        <w:t>.</w:t>
      </w:r>
      <w:r w:rsidR="008D34A9">
        <w:rPr>
          <w:rStyle w:val="FootnoteReference"/>
          <w:rFonts w:ascii="Times New Roman" w:hAnsi="Times New Roman" w:cs="Times New Roman"/>
          <w:sz w:val="24"/>
          <w:szCs w:val="24"/>
        </w:rPr>
        <w:footnoteReference w:id="12"/>
      </w:r>
      <w:r w:rsidRPr="00554888">
        <w:rPr>
          <w:rFonts w:ascii="Times New Roman" w:hAnsi="Times New Roman" w:cs="Times New Roman"/>
          <w:sz w:val="24"/>
          <w:szCs w:val="24"/>
        </w:rPr>
        <w:t xml:space="preserve"> One of the advantages of the SIMPLE IRA compared to the SIMPLE 401(k) is the ability to reduce the matching contribution in any two of the five years ending in the current year. The reduced match cannot be any lower than 100 percent of the employee’s deferral, up to 1 percent of compensation</w:t>
      </w:r>
      <w:r w:rsidR="00E005AC">
        <w:rPr>
          <w:rFonts w:ascii="Times New Roman" w:hAnsi="Times New Roman" w:cs="Times New Roman"/>
          <w:sz w:val="24"/>
          <w:szCs w:val="24"/>
        </w:rPr>
        <w:t>.</w:t>
      </w:r>
      <w:r w:rsidR="00CE348E">
        <w:rPr>
          <w:rStyle w:val="FootnoteReference"/>
          <w:rFonts w:ascii="Times New Roman" w:hAnsi="Times New Roman" w:cs="Times New Roman"/>
          <w:sz w:val="24"/>
          <w:szCs w:val="24"/>
        </w:rPr>
        <w:footnoteReference w:id="13"/>
      </w:r>
    </w:p>
    <w:p w:rsidR="00E005AC" w:rsidRPr="00554888" w:rsidRDefault="00E005AC" w:rsidP="00E005AC">
      <w:pPr>
        <w:spacing w:after="0" w:line="240" w:lineRule="auto"/>
        <w:ind w:left="720"/>
        <w:rPr>
          <w:rFonts w:ascii="Times New Roman" w:hAnsi="Times New Roman" w:cs="Times New Roman"/>
          <w:sz w:val="24"/>
          <w:szCs w:val="24"/>
        </w:rPr>
      </w:pPr>
    </w:p>
    <w:p w:rsidR="00554888" w:rsidRDefault="00554888" w:rsidP="00E005AC">
      <w:pPr>
        <w:spacing w:after="0" w:line="240" w:lineRule="auto"/>
        <w:ind w:left="1440"/>
        <w:rPr>
          <w:rFonts w:ascii="Times New Roman" w:hAnsi="Times New Roman" w:cs="Times New Roman"/>
          <w:sz w:val="24"/>
          <w:szCs w:val="24"/>
        </w:rPr>
      </w:pPr>
      <w:r w:rsidRPr="00E005AC">
        <w:rPr>
          <w:rFonts w:ascii="Times New Roman" w:hAnsi="Times New Roman" w:cs="Times New Roman"/>
          <w:b/>
          <w:sz w:val="24"/>
          <w:szCs w:val="24"/>
        </w:rPr>
        <w:t xml:space="preserve">Practice </w:t>
      </w:r>
      <w:r w:rsidR="003A31D9">
        <w:rPr>
          <w:rFonts w:ascii="Times New Roman" w:hAnsi="Times New Roman" w:cs="Times New Roman"/>
          <w:b/>
          <w:sz w:val="24"/>
          <w:szCs w:val="24"/>
        </w:rPr>
        <w:t>Point:</w:t>
      </w:r>
      <w:r w:rsidRPr="00554888">
        <w:rPr>
          <w:rFonts w:ascii="Times New Roman" w:hAnsi="Times New Roman" w:cs="Times New Roman"/>
          <w:sz w:val="24"/>
          <w:szCs w:val="24"/>
        </w:rPr>
        <w:t> </w:t>
      </w:r>
      <w:r w:rsidR="00110BB7">
        <w:rPr>
          <w:rFonts w:ascii="Times New Roman" w:hAnsi="Times New Roman" w:cs="Times New Roman"/>
          <w:sz w:val="24"/>
          <w:szCs w:val="24"/>
        </w:rPr>
        <w:t>T</w:t>
      </w:r>
      <w:r w:rsidR="00110BB7" w:rsidRPr="00554888">
        <w:rPr>
          <w:rFonts w:ascii="Times New Roman" w:hAnsi="Times New Roman" w:cs="Times New Roman"/>
          <w:sz w:val="24"/>
          <w:szCs w:val="24"/>
        </w:rPr>
        <w:t xml:space="preserve">he </w:t>
      </w:r>
      <w:r w:rsidRPr="00554888">
        <w:rPr>
          <w:rFonts w:ascii="Times New Roman" w:hAnsi="Times New Roman" w:cs="Times New Roman"/>
          <w:sz w:val="24"/>
          <w:szCs w:val="24"/>
        </w:rPr>
        <w:t>employer, for the first two plan years, can reduce the match to 1 percent. For a new plan that has not been in effect for five years, it is assumed that prior years’ match was 3 percent</w:t>
      </w:r>
      <w:r w:rsidR="00110BB7">
        <w:rPr>
          <w:rFonts w:ascii="Times New Roman" w:hAnsi="Times New Roman" w:cs="Times New Roman"/>
          <w:sz w:val="24"/>
          <w:szCs w:val="24"/>
        </w:rPr>
        <w:t>.</w:t>
      </w:r>
    </w:p>
    <w:p w:rsidR="00E005AC" w:rsidRPr="00554888" w:rsidRDefault="00E005AC" w:rsidP="00554888">
      <w:pPr>
        <w:spacing w:after="0" w:line="240" w:lineRule="auto"/>
        <w:ind w:left="720"/>
        <w:rPr>
          <w:rFonts w:ascii="Times New Roman" w:hAnsi="Times New Roman" w:cs="Times New Roman"/>
          <w:sz w:val="24"/>
          <w:szCs w:val="24"/>
        </w:rPr>
      </w:pPr>
    </w:p>
    <w:p w:rsidR="00554888" w:rsidRDefault="00554888" w:rsidP="00E005AC">
      <w:pPr>
        <w:spacing w:after="0" w:line="240" w:lineRule="auto"/>
        <w:ind w:left="720"/>
        <w:rPr>
          <w:rFonts w:ascii="Times New Roman" w:hAnsi="Times New Roman" w:cs="Times New Roman"/>
          <w:sz w:val="24"/>
          <w:szCs w:val="24"/>
        </w:rPr>
      </w:pPr>
      <w:r w:rsidRPr="00554888">
        <w:rPr>
          <w:rFonts w:ascii="Times New Roman" w:hAnsi="Times New Roman" w:cs="Times New Roman"/>
          <w:sz w:val="24"/>
          <w:szCs w:val="24"/>
        </w:rPr>
        <w:t xml:space="preserve">As an alternative, the employer may make a </w:t>
      </w:r>
      <w:proofErr w:type="spellStart"/>
      <w:r w:rsidRPr="00554888">
        <w:rPr>
          <w:rFonts w:ascii="Times New Roman" w:hAnsi="Times New Roman" w:cs="Times New Roman"/>
          <w:sz w:val="24"/>
          <w:szCs w:val="24"/>
        </w:rPr>
        <w:t>nonelective</w:t>
      </w:r>
      <w:proofErr w:type="spellEnd"/>
      <w:r w:rsidRPr="00554888">
        <w:rPr>
          <w:rFonts w:ascii="Times New Roman" w:hAnsi="Times New Roman" w:cs="Times New Roman"/>
          <w:sz w:val="24"/>
          <w:szCs w:val="24"/>
        </w:rPr>
        <w:t xml:space="preserve"> contribution of 2 percent of compensation to all employees who are eligible to participate and have compensation of at least $5,000 for the year</w:t>
      </w:r>
      <w:r w:rsidR="00E005AC">
        <w:rPr>
          <w:rFonts w:ascii="Times New Roman" w:hAnsi="Times New Roman" w:cs="Times New Roman"/>
          <w:sz w:val="24"/>
          <w:szCs w:val="24"/>
        </w:rPr>
        <w:t>.</w:t>
      </w:r>
      <w:r w:rsidR="00110BB7">
        <w:rPr>
          <w:rStyle w:val="FootnoteReference"/>
          <w:rFonts w:ascii="Times New Roman" w:hAnsi="Times New Roman" w:cs="Times New Roman"/>
          <w:sz w:val="24"/>
          <w:szCs w:val="24"/>
        </w:rPr>
        <w:footnoteReference w:id="14"/>
      </w:r>
      <w:r w:rsidRPr="00554888">
        <w:rPr>
          <w:rFonts w:ascii="Times New Roman" w:hAnsi="Times New Roman" w:cs="Times New Roman"/>
          <w:sz w:val="24"/>
          <w:szCs w:val="24"/>
        </w:rPr>
        <w:t xml:space="preserve"> Whichever employer contribution is chosen, the employer must notify the employee within a reasonable period before the </w:t>
      </w:r>
      <w:r w:rsidR="00110BB7">
        <w:rPr>
          <w:rFonts w:ascii="Times New Roman" w:hAnsi="Times New Roman" w:cs="Times New Roman"/>
          <w:sz w:val="24"/>
          <w:szCs w:val="24"/>
        </w:rPr>
        <w:t>sixty</w:t>
      </w:r>
      <w:r w:rsidRPr="00554888">
        <w:rPr>
          <w:rFonts w:ascii="Times New Roman" w:hAnsi="Times New Roman" w:cs="Times New Roman"/>
          <w:sz w:val="24"/>
          <w:szCs w:val="24"/>
        </w:rPr>
        <w:t>-day election period. This notice is also required if the employer elects to mak</w:t>
      </w:r>
      <w:r w:rsidR="00E005AC">
        <w:rPr>
          <w:rFonts w:ascii="Times New Roman" w:hAnsi="Times New Roman" w:cs="Times New Roman"/>
          <w:sz w:val="24"/>
          <w:szCs w:val="24"/>
        </w:rPr>
        <w:t>e a reduced match for any year.</w:t>
      </w:r>
    </w:p>
    <w:p w:rsidR="00E005AC" w:rsidRPr="00554888" w:rsidRDefault="00E005AC" w:rsidP="00E005AC">
      <w:pPr>
        <w:spacing w:after="0" w:line="240" w:lineRule="auto"/>
        <w:ind w:left="720"/>
        <w:rPr>
          <w:rFonts w:ascii="Times New Roman" w:hAnsi="Times New Roman" w:cs="Times New Roman"/>
          <w:sz w:val="24"/>
          <w:szCs w:val="24"/>
        </w:rPr>
      </w:pPr>
    </w:p>
    <w:p w:rsidR="00554888" w:rsidRDefault="00554888" w:rsidP="00E005AC">
      <w:pPr>
        <w:spacing w:after="0" w:line="240" w:lineRule="auto"/>
        <w:ind w:left="720"/>
        <w:rPr>
          <w:rFonts w:ascii="Times New Roman" w:hAnsi="Times New Roman" w:cs="Times New Roman"/>
          <w:sz w:val="24"/>
          <w:szCs w:val="24"/>
        </w:rPr>
      </w:pPr>
      <w:r w:rsidRPr="00554888">
        <w:rPr>
          <w:rFonts w:ascii="Times New Roman" w:hAnsi="Times New Roman" w:cs="Times New Roman"/>
          <w:sz w:val="24"/>
          <w:szCs w:val="24"/>
        </w:rPr>
        <w:lastRenderedPageBreak/>
        <w:t xml:space="preserve">In a case </w:t>
      </w:r>
      <w:r w:rsidR="00110BB7">
        <w:rPr>
          <w:rFonts w:ascii="Times New Roman" w:hAnsi="Times New Roman" w:cs="Times New Roman"/>
          <w:sz w:val="24"/>
          <w:szCs w:val="24"/>
        </w:rPr>
        <w:t>in which</w:t>
      </w:r>
      <w:r w:rsidR="00110BB7" w:rsidRPr="00554888">
        <w:rPr>
          <w:rFonts w:ascii="Times New Roman" w:hAnsi="Times New Roman" w:cs="Times New Roman"/>
          <w:sz w:val="24"/>
          <w:szCs w:val="24"/>
        </w:rPr>
        <w:t xml:space="preserve"> </w:t>
      </w:r>
      <w:r w:rsidRPr="00554888">
        <w:rPr>
          <w:rFonts w:ascii="Times New Roman" w:hAnsi="Times New Roman" w:cs="Times New Roman"/>
          <w:sz w:val="24"/>
          <w:szCs w:val="24"/>
        </w:rPr>
        <w:t xml:space="preserve">an employee does not make an elective deferral and the employer is making a </w:t>
      </w:r>
      <w:proofErr w:type="spellStart"/>
      <w:r w:rsidRPr="00554888">
        <w:rPr>
          <w:rFonts w:ascii="Times New Roman" w:hAnsi="Times New Roman" w:cs="Times New Roman"/>
          <w:sz w:val="24"/>
          <w:szCs w:val="24"/>
        </w:rPr>
        <w:t>nonelective</w:t>
      </w:r>
      <w:proofErr w:type="spellEnd"/>
      <w:r w:rsidRPr="00554888">
        <w:rPr>
          <w:rFonts w:ascii="Times New Roman" w:hAnsi="Times New Roman" w:cs="Times New Roman"/>
          <w:sz w:val="24"/>
          <w:szCs w:val="24"/>
        </w:rPr>
        <w:t xml:space="preserve"> contribution rather than a matching contribution, it is possible that the employee </w:t>
      </w:r>
      <w:r w:rsidR="00110BB7">
        <w:rPr>
          <w:rFonts w:ascii="Times New Roman" w:hAnsi="Times New Roman" w:cs="Times New Roman"/>
          <w:sz w:val="24"/>
          <w:szCs w:val="24"/>
        </w:rPr>
        <w:t>will</w:t>
      </w:r>
      <w:r w:rsidR="00110BB7" w:rsidRPr="00554888">
        <w:rPr>
          <w:rFonts w:ascii="Times New Roman" w:hAnsi="Times New Roman" w:cs="Times New Roman"/>
          <w:sz w:val="24"/>
          <w:szCs w:val="24"/>
        </w:rPr>
        <w:t xml:space="preserve"> </w:t>
      </w:r>
      <w:r w:rsidRPr="00554888">
        <w:rPr>
          <w:rFonts w:ascii="Times New Roman" w:hAnsi="Times New Roman" w:cs="Times New Roman"/>
          <w:sz w:val="24"/>
          <w:szCs w:val="24"/>
        </w:rPr>
        <w:t>not choose a financial institution in which to open his or her account in a timely manner. For that eligible employee, the employer may execute the necessary documents to establish a SIMPLE IRA on the employee’s behalf with a financial institution selected by the employer</w:t>
      </w:r>
      <w:r w:rsidR="00E005AC">
        <w:rPr>
          <w:rFonts w:ascii="Times New Roman" w:hAnsi="Times New Roman" w:cs="Times New Roman"/>
          <w:sz w:val="24"/>
          <w:szCs w:val="24"/>
        </w:rPr>
        <w:t>.</w:t>
      </w:r>
      <w:r w:rsidR="00110BB7">
        <w:rPr>
          <w:rStyle w:val="FootnoteReference"/>
          <w:rFonts w:ascii="Times New Roman" w:hAnsi="Times New Roman" w:cs="Times New Roman"/>
          <w:sz w:val="24"/>
          <w:szCs w:val="24"/>
        </w:rPr>
        <w:footnoteReference w:id="15"/>
      </w:r>
    </w:p>
    <w:p w:rsidR="00E005AC" w:rsidRPr="00554888" w:rsidRDefault="00E005AC" w:rsidP="00E005AC">
      <w:pPr>
        <w:spacing w:after="0" w:line="240" w:lineRule="auto"/>
        <w:ind w:left="720"/>
        <w:rPr>
          <w:rFonts w:ascii="Times New Roman" w:hAnsi="Times New Roman" w:cs="Times New Roman"/>
          <w:sz w:val="24"/>
          <w:szCs w:val="24"/>
        </w:rPr>
      </w:pPr>
    </w:p>
    <w:p w:rsidR="00554888" w:rsidRDefault="00554888" w:rsidP="00E005AC">
      <w:pPr>
        <w:spacing w:after="0" w:line="240" w:lineRule="auto"/>
        <w:ind w:left="720"/>
        <w:rPr>
          <w:rFonts w:ascii="Times New Roman" w:hAnsi="Times New Roman" w:cs="Times New Roman"/>
          <w:sz w:val="24"/>
          <w:szCs w:val="24"/>
        </w:rPr>
      </w:pPr>
      <w:r w:rsidRPr="00554888">
        <w:rPr>
          <w:rFonts w:ascii="Times New Roman" w:hAnsi="Times New Roman" w:cs="Times New Roman"/>
          <w:sz w:val="24"/>
          <w:szCs w:val="24"/>
        </w:rPr>
        <w:t xml:space="preserve">An interesting variation in the application of these two types of employer contributions allows the matching contribution to be based on total compensation while the elective employer contribution of 2 percent is applied to compensation as limited by </w:t>
      </w:r>
      <w:r w:rsidR="006E0667">
        <w:rPr>
          <w:rFonts w:ascii="Times New Roman" w:hAnsi="Times New Roman" w:cs="Times New Roman"/>
          <w:sz w:val="24"/>
          <w:szCs w:val="24"/>
        </w:rPr>
        <w:t>Code</w:t>
      </w:r>
      <w:r w:rsidR="006E0667" w:rsidRPr="00554888">
        <w:rPr>
          <w:rFonts w:ascii="Times New Roman" w:hAnsi="Times New Roman" w:cs="Times New Roman"/>
          <w:sz w:val="24"/>
          <w:szCs w:val="24"/>
        </w:rPr>
        <w:t xml:space="preserve"> </w:t>
      </w:r>
      <w:r w:rsidRPr="00554888">
        <w:rPr>
          <w:rFonts w:ascii="Times New Roman" w:hAnsi="Times New Roman" w:cs="Times New Roman"/>
          <w:sz w:val="24"/>
          <w:szCs w:val="24"/>
        </w:rPr>
        <w:t>Section 401(a)(17) (i.e., $2</w:t>
      </w:r>
      <w:r w:rsidR="00E005AC">
        <w:rPr>
          <w:rFonts w:ascii="Times New Roman" w:hAnsi="Times New Roman" w:cs="Times New Roman"/>
          <w:sz w:val="24"/>
          <w:szCs w:val="24"/>
        </w:rPr>
        <w:t>60</w:t>
      </w:r>
      <w:r w:rsidRPr="00554888">
        <w:rPr>
          <w:rFonts w:ascii="Times New Roman" w:hAnsi="Times New Roman" w:cs="Times New Roman"/>
          <w:sz w:val="24"/>
          <w:szCs w:val="24"/>
        </w:rPr>
        <w:t>,000 for the year 201</w:t>
      </w:r>
      <w:r w:rsidR="00E005AC">
        <w:rPr>
          <w:rFonts w:ascii="Times New Roman" w:hAnsi="Times New Roman" w:cs="Times New Roman"/>
          <w:sz w:val="24"/>
          <w:szCs w:val="24"/>
        </w:rPr>
        <w:t>4</w:t>
      </w:r>
      <w:r w:rsidRPr="00554888">
        <w:rPr>
          <w:rFonts w:ascii="Times New Roman" w:hAnsi="Times New Roman" w:cs="Times New Roman"/>
          <w:sz w:val="24"/>
          <w:szCs w:val="24"/>
        </w:rPr>
        <w:t>)</w:t>
      </w:r>
      <w:r w:rsidR="00E005AC">
        <w:rPr>
          <w:rFonts w:ascii="Times New Roman" w:hAnsi="Times New Roman" w:cs="Times New Roman"/>
          <w:sz w:val="24"/>
          <w:szCs w:val="24"/>
        </w:rPr>
        <w:t>.</w:t>
      </w:r>
      <w:r w:rsidR="006E0667">
        <w:rPr>
          <w:rStyle w:val="FootnoteReference"/>
          <w:rFonts w:ascii="Times New Roman" w:hAnsi="Times New Roman" w:cs="Times New Roman"/>
          <w:sz w:val="24"/>
          <w:szCs w:val="24"/>
        </w:rPr>
        <w:footnoteReference w:id="16"/>
      </w:r>
      <w:r w:rsidRPr="00554888">
        <w:rPr>
          <w:rFonts w:ascii="Times New Roman" w:hAnsi="Times New Roman" w:cs="Times New Roman"/>
          <w:sz w:val="24"/>
          <w:szCs w:val="24"/>
        </w:rPr>
        <w:t xml:space="preserve"> </w:t>
      </w:r>
      <w:r w:rsidR="000A14AE">
        <w:rPr>
          <w:rFonts w:ascii="Times New Roman" w:hAnsi="Times New Roman" w:cs="Times New Roman"/>
          <w:sz w:val="24"/>
          <w:szCs w:val="24"/>
        </w:rPr>
        <w:t xml:space="preserve">Table </w:t>
      </w:r>
      <w:r w:rsidR="00E005AC">
        <w:rPr>
          <w:rFonts w:ascii="Times New Roman" w:hAnsi="Times New Roman" w:cs="Times New Roman"/>
          <w:sz w:val="24"/>
          <w:szCs w:val="24"/>
        </w:rPr>
        <w:t xml:space="preserve">9-1 </w:t>
      </w:r>
      <w:r w:rsidRPr="00554888">
        <w:rPr>
          <w:rFonts w:ascii="Times New Roman" w:hAnsi="Times New Roman" w:cs="Times New Roman"/>
          <w:sz w:val="24"/>
          <w:szCs w:val="24"/>
        </w:rPr>
        <w:t>illustrates the result of this quirk in a small business. In all cases</w:t>
      </w:r>
      <w:r w:rsidR="00E005AC">
        <w:rPr>
          <w:rFonts w:ascii="Times New Roman" w:hAnsi="Times New Roman" w:cs="Times New Roman"/>
          <w:sz w:val="24"/>
          <w:szCs w:val="24"/>
        </w:rPr>
        <w:t>,</w:t>
      </w:r>
      <w:r w:rsidRPr="00554888">
        <w:rPr>
          <w:rFonts w:ascii="Times New Roman" w:hAnsi="Times New Roman" w:cs="Times New Roman"/>
          <w:sz w:val="24"/>
          <w:szCs w:val="24"/>
        </w:rPr>
        <w:t xml:space="preserve"> the matching contribution is 100 percent of the employee’s deferrals, up to 3 percent of compensation.</w:t>
      </w:r>
    </w:p>
    <w:p w:rsidR="00E005AC" w:rsidRDefault="00E005AC" w:rsidP="00E005AC">
      <w:pPr>
        <w:spacing w:after="0" w:line="240" w:lineRule="auto"/>
        <w:ind w:left="720"/>
        <w:rPr>
          <w:rFonts w:ascii="Times New Roman" w:hAnsi="Times New Roman" w:cs="Times New Roman"/>
          <w:sz w:val="24"/>
          <w:szCs w:val="24"/>
        </w:rPr>
      </w:pPr>
    </w:p>
    <w:p w:rsidR="00E005AC" w:rsidRPr="00E005AC" w:rsidRDefault="000A14AE" w:rsidP="00E005AC">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Table</w:t>
      </w:r>
      <w:r w:rsidRPr="00E005AC">
        <w:rPr>
          <w:rFonts w:ascii="Times New Roman" w:hAnsi="Times New Roman" w:cs="Times New Roman"/>
          <w:b/>
          <w:sz w:val="24"/>
          <w:szCs w:val="24"/>
        </w:rPr>
        <w:t xml:space="preserve"> </w:t>
      </w:r>
      <w:r w:rsidR="00E005AC" w:rsidRPr="00E005AC">
        <w:rPr>
          <w:rFonts w:ascii="Times New Roman" w:hAnsi="Times New Roman" w:cs="Times New Roman"/>
          <w:b/>
          <w:sz w:val="24"/>
          <w:szCs w:val="24"/>
        </w:rPr>
        <w:t>9-1</w:t>
      </w:r>
    </w:p>
    <w:p w:rsidR="00E005AC" w:rsidRPr="00554888" w:rsidRDefault="00E005AC" w:rsidP="00E005AC">
      <w:pPr>
        <w:spacing w:after="0" w:line="240" w:lineRule="auto"/>
        <w:ind w:left="720"/>
        <w:rPr>
          <w:rFonts w:ascii="Times New Roman" w:hAnsi="Times New Roman" w:cs="Times New Roman"/>
          <w:sz w:val="24"/>
          <w:szCs w:val="24"/>
        </w:rPr>
      </w:pPr>
    </w:p>
    <w:tbl>
      <w:tblPr>
        <w:tblW w:w="0" w:type="auto"/>
        <w:tblInd w:w="720" w:type="dxa"/>
        <w:tblCellMar>
          <w:left w:w="0" w:type="dxa"/>
          <w:right w:w="0" w:type="dxa"/>
        </w:tblCellMar>
        <w:tblLook w:val="0000" w:firstRow="0" w:lastRow="0" w:firstColumn="0" w:lastColumn="0" w:noHBand="0" w:noVBand="0"/>
      </w:tblPr>
      <w:tblGrid>
        <w:gridCol w:w="3139"/>
        <w:gridCol w:w="1051"/>
        <w:gridCol w:w="939"/>
        <w:gridCol w:w="1239"/>
        <w:gridCol w:w="961"/>
        <w:gridCol w:w="961"/>
      </w:tblGrid>
      <w:tr w:rsidR="00E005AC" w:rsidRPr="00027E46" w:rsidTr="00E005AC">
        <w:trPr>
          <w:trHeight w:val="5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05AC" w:rsidRPr="000A5FAF" w:rsidRDefault="00E005AC" w:rsidP="00D35B08">
            <w:pPr>
              <w:pStyle w:val="NoParagraphStyle"/>
              <w:spacing w:line="240" w:lineRule="auto"/>
              <w:textAlignment w:val="auto"/>
              <w:rPr>
                <w:rFonts w:ascii="Helvetica LT Std Condensed" w:hAnsi="Helvetica LT Std Condensed"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05AC" w:rsidRPr="000A5FAF" w:rsidRDefault="00E005AC" w:rsidP="00D35B08">
            <w:pPr>
              <w:pStyle w:val="Table6colhead"/>
              <w:spacing w:before="200"/>
              <w:jc w:val="center"/>
              <w:rPr>
                <w:color w:val="auto"/>
              </w:rPr>
            </w:pPr>
            <w:r w:rsidRPr="000A5FAF">
              <w:rPr>
                <w:rFonts w:ascii="Helvetica LT Std Bold Condensed" w:hAnsi="Helvetica LT Std Bold Condensed" w:cs="Helvetica LT Std Bold Condensed"/>
                <w:b/>
                <w:bCs/>
                <w:color w:val="auto"/>
              </w:rPr>
              <w:br/>
              <w:t>Salary</w:t>
            </w:r>
          </w:p>
        </w:tc>
        <w:tc>
          <w:tcPr>
            <w:tcW w:w="0" w:type="auto"/>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E005AC" w:rsidRPr="000A5FAF" w:rsidRDefault="00E005AC" w:rsidP="00D35B08">
            <w:pPr>
              <w:pStyle w:val="Table6colhead"/>
              <w:spacing w:before="200"/>
              <w:jc w:val="center"/>
              <w:rPr>
                <w:color w:val="auto"/>
              </w:rPr>
            </w:pPr>
            <w:r w:rsidRPr="000A5FAF">
              <w:rPr>
                <w:rFonts w:ascii="Helvetica LT Std Bold Condensed" w:hAnsi="Helvetica LT Std Bold Condensed" w:cs="Helvetica LT Std Bold Condensed"/>
                <w:b/>
                <w:bCs/>
                <w:color w:val="auto"/>
              </w:rPr>
              <w:t xml:space="preserve"> </w:t>
            </w:r>
            <w:r w:rsidRPr="000A5FAF">
              <w:rPr>
                <w:rFonts w:ascii="Helvetica LT Std Bold Condensed" w:hAnsi="Helvetica LT Std Bold Condensed" w:cs="Helvetica LT Std Bold Condensed"/>
                <w:b/>
                <w:bCs/>
                <w:color w:val="auto"/>
              </w:rPr>
              <w:br/>
              <w:t>Deferral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05AC" w:rsidRPr="000A5FAF" w:rsidRDefault="00E005AC" w:rsidP="00D35B08">
            <w:pPr>
              <w:pStyle w:val="Table6colhead"/>
              <w:spacing w:before="200"/>
              <w:jc w:val="center"/>
              <w:rPr>
                <w:color w:val="auto"/>
              </w:rPr>
            </w:pPr>
            <w:r w:rsidRPr="000A5FAF">
              <w:rPr>
                <w:rFonts w:ascii="Helvetica LT Std Bold Condensed" w:hAnsi="Helvetica LT Std Bold Condensed" w:cs="Helvetica LT Std Bold Condensed"/>
                <w:b/>
                <w:bCs/>
                <w:color w:val="auto"/>
              </w:rPr>
              <w:t>Traditional</w:t>
            </w:r>
            <w:r w:rsidRPr="000A5FAF">
              <w:rPr>
                <w:rFonts w:ascii="Helvetica LT Std Bold Condensed" w:hAnsi="Helvetica LT Std Bold Condensed" w:cs="Helvetica LT Std Bold Condensed"/>
                <w:b/>
                <w:bCs/>
                <w:color w:val="auto"/>
              </w:rPr>
              <w:br/>
              <w:t>401(k)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05AC" w:rsidRPr="000A5FAF" w:rsidRDefault="00E005AC" w:rsidP="00D35B08">
            <w:pPr>
              <w:pStyle w:val="Table6colhead"/>
              <w:spacing w:before="200"/>
              <w:jc w:val="center"/>
              <w:rPr>
                <w:color w:val="auto"/>
              </w:rPr>
            </w:pPr>
            <w:r w:rsidRPr="000A5FAF">
              <w:rPr>
                <w:rFonts w:ascii="Helvetica LT Std Bold Condensed" w:hAnsi="Helvetica LT Std Bold Condensed" w:cs="Helvetica LT Std Bold Condensed"/>
                <w:b/>
                <w:bCs/>
                <w:color w:val="auto"/>
              </w:rPr>
              <w:t>SIMPLE</w:t>
            </w:r>
            <w:r w:rsidRPr="000A5FAF">
              <w:rPr>
                <w:rFonts w:ascii="Helvetica LT Std Bold Condensed" w:hAnsi="Helvetica LT Std Bold Condensed" w:cs="Helvetica LT Std Bold Condensed"/>
                <w:b/>
                <w:bCs/>
                <w:color w:val="auto"/>
              </w:rPr>
              <w:br/>
              <w:t>IRA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05AC" w:rsidRPr="000A5FAF" w:rsidRDefault="00E005AC" w:rsidP="00D35B08">
            <w:pPr>
              <w:pStyle w:val="Table6colhead"/>
              <w:spacing w:before="200"/>
              <w:jc w:val="center"/>
              <w:rPr>
                <w:color w:val="auto"/>
              </w:rPr>
            </w:pPr>
            <w:r w:rsidRPr="000A5FAF">
              <w:rPr>
                <w:rFonts w:ascii="Helvetica LT Std Bold Condensed" w:hAnsi="Helvetica LT Std Bold Condensed" w:cs="Helvetica LT Std Bold Condensed"/>
                <w:b/>
                <w:bCs/>
                <w:color w:val="auto"/>
              </w:rPr>
              <w:t>SIMPLE</w:t>
            </w:r>
            <w:r w:rsidRPr="000A5FAF">
              <w:rPr>
                <w:rFonts w:ascii="Helvetica LT Std Bold Condensed" w:hAnsi="Helvetica LT Std Bold Condensed" w:cs="Helvetica LT Std Bold Condensed"/>
                <w:b/>
                <w:bCs/>
                <w:color w:val="auto"/>
              </w:rPr>
              <w:br/>
              <w:t>401(k)</w:t>
            </w:r>
          </w:p>
        </w:tc>
      </w:tr>
      <w:tr w:rsidR="00E005AC" w:rsidRPr="00027E46" w:rsidTr="00E005AC">
        <w:trPr>
          <w:trHeight w:val="3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05AC" w:rsidRPr="000A5FAF" w:rsidRDefault="00E005AC" w:rsidP="00D35B08">
            <w:pPr>
              <w:pStyle w:val="table6coltext"/>
              <w:rPr>
                <w:color w:val="auto"/>
              </w:rPr>
            </w:pPr>
            <w:r w:rsidRPr="000A5FAF">
              <w:rPr>
                <w:rFonts w:ascii="Helvetica LT Std Bold Condensed" w:hAnsi="Helvetica LT Std Bold Condensed" w:cs="Helvetica LT Std Bold Condensed"/>
                <w:b/>
                <w:bCs/>
                <w:color w:val="auto"/>
              </w:rPr>
              <w:t>Matching contribution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05AC" w:rsidRPr="000A5FAF" w:rsidRDefault="00E005AC" w:rsidP="00583297">
            <w:pPr>
              <w:pStyle w:val="table6coltext"/>
              <w:rPr>
                <w:color w:val="auto"/>
              </w:rPr>
            </w:pPr>
            <w:r w:rsidRPr="000A5FAF">
              <w:rPr>
                <w:rFonts w:ascii="Helvetica LT Std Condensed" w:hAnsi="Helvetica LT Std Condensed" w:cs="Helvetica LT Std Condensed"/>
                <w:color w:val="auto"/>
              </w:rPr>
              <w:t>$2</w:t>
            </w:r>
            <w:r w:rsidR="00583297">
              <w:rPr>
                <w:rFonts w:ascii="Helvetica LT Std Condensed" w:hAnsi="Helvetica LT Std Condensed" w:cs="Helvetica LT Std Condensed"/>
                <w:color w:val="auto"/>
              </w:rPr>
              <w:t>75</w:t>
            </w:r>
            <w:r w:rsidRPr="000A5FAF">
              <w:rPr>
                <w:rFonts w:ascii="Helvetica LT Std Condensed" w:hAnsi="Helvetica LT Std Condensed" w:cs="Helvetica LT Std Condensed"/>
                <w:color w:val="auto"/>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05AC" w:rsidRPr="000A5FAF" w:rsidRDefault="00E005AC" w:rsidP="00583297">
            <w:pPr>
              <w:pStyle w:val="table6coltext"/>
              <w:rPr>
                <w:color w:val="auto"/>
              </w:rPr>
            </w:pPr>
            <w:r w:rsidRPr="000A5FAF">
              <w:rPr>
                <w:rFonts w:ascii="Helvetica LT Std Condensed" w:hAnsi="Helvetica LT Std Condensed" w:cs="Helvetica LT Std Condensed"/>
                <w:color w:val="auto"/>
              </w:rPr>
              <w:t>$</w:t>
            </w:r>
            <w:r w:rsidR="00583297">
              <w:rPr>
                <w:rFonts w:ascii="Helvetica LT Std Condensed" w:hAnsi="Helvetica LT Std Condensed" w:cs="Helvetica LT Std Condensed"/>
                <w:color w:val="auto"/>
              </w:rPr>
              <w:t>12,000</w:t>
            </w:r>
          </w:p>
        </w:tc>
        <w:tc>
          <w:tcPr>
            <w:tcW w:w="0" w:type="auto"/>
            <w:tcBorders>
              <w:top w:val="single" w:sz="4" w:space="0" w:color="000000"/>
              <w:left w:val="single" w:sz="4" w:space="0" w:color="000000"/>
              <w:bottom w:val="single" w:sz="4" w:space="0" w:color="000000"/>
              <w:right w:val="single" w:sz="4" w:space="0" w:color="000000"/>
            </w:tcBorders>
            <w:tcMar>
              <w:top w:w="0" w:type="dxa"/>
              <w:left w:w="270" w:type="dxa"/>
              <w:bottom w:w="0" w:type="dxa"/>
              <w:right w:w="108" w:type="dxa"/>
            </w:tcMar>
            <w:vAlign w:val="center"/>
          </w:tcPr>
          <w:p w:rsidR="00E005AC" w:rsidRPr="000A5FAF" w:rsidRDefault="00E005AC" w:rsidP="00583297">
            <w:pPr>
              <w:pStyle w:val="table6coltext"/>
              <w:rPr>
                <w:color w:val="auto"/>
              </w:rPr>
            </w:pPr>
            <w:r w:rsidRPr="000A5FAF">
              <w:rPr>
                <w:rFonts w:ascii="Helvetica LT Std Condensed" w:hAnsi="Helvetica LT Std Condensed" w:cs="Helvetica LT Std Condensed"/>
                <w:color w:val="auto"/>
              </w:rPr>
              <w:t>$ 7,</w:t>
            </w:r>
            <w:r w:rsidR="00583297">
              <w:rPr>
                <w:rFonts w:ascii="Helvetica LT Std Condensed" w:hAnsi="Helvetica LT Std Condensed" w:cs="Helvetica LT Std Condensed"/>
                <w:color w:val="auto"/>
              </w:rPr>
              <w:t>800</w:t>
            </w:r>
            <w:r w:rsidRPr="000A5FAF">
              <w:rPr>
                <w:rFonts w:ascii="Helvetica LT Std Condensed" w:hAnsi="Helvetica LT Std Condensed" w:cs="Helvetica LT Std Condensed"/>
                <w:color w:val="auto"/>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80" w:type="dxa"/>
              <w:bottom w:w="0" w:type="dxa"/>
              <w:right w:w="108" w:type="dxa"/>
            </w:tcMar>
            <w:vAlign w:val="center"/>
          </w:tcPr>
          <w:p w:rsidR="00E005AC" w:rsidRPr="000A5FAF" w:rsidRDefault="00E005AC" w:rsidP="00583297">
            <w:pPr>
              <w:pStyle w:val="table6coltext"/>
              <w:rPr>
                <w:color w:val="auto"/>
              </w:rPr>
            </w:pPr>
            <w:r w:rsidRPr="000A5FAF">
              <w:rPr>
                <w:rFonts w:ascii="Helvetica LT Std Condensed" w:hAnsi="Helvetica LT Std Condensed" w:cs="Helvetica LT Std Condensed"/>
                <w:color w:val="auto"/>
              </w:rPr>
              <w:t xml:space="preserve">$ </w:t>
            </w:r>
            <w:r w:rsidR="00583297">
              <w:rPr>
                <w:rFonts w:ascii="Helvetica LT Std Condensed" w:hAnsi="Helvetica LT Std Condensed" w:cs="Helvetica LT Std Condensed"/>
                <w:color w:val="auto"/>
              </w:rPr>
              <w:t>8,250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05AC" w:rsidRPr="000A5FAF" w:rsidRDefault="00E005AC" w:rsidP="00583297">
            <w:pPr>
              <w:pStyle w:val="table6coltext"/>
              <w:rPr>
                <w:color w:val="auto"/>
              </w:rPr>
            </w:pPr>
            <w:r w:rsidRPr="000A5FAF">
              <w:rPr>
                <w:rFonts w:ascii="Helvetica LT Std Condensed" w:hAnsi="Helvetica LT Std Condensed" w:cs="Helvetica LT Std Condensed"/>
                <w:color w:val="auto"/>
              </w:rPr>
              <w:t>$ 7,</w:t>
            </w:r>
            <w:r w:rsidR="00583297">
              <w:rPr>
                <w:rFonts w:ascii="Helvetica LT Std Condensed" w:hAnsi="Helvetica LT Std Condensed" w:cs="Helvetica LT Std Condensed"/>
                <w:color w:val="auto"/>
              </w:rPr>
              <w:t>80</w:t>
            </w:r>
            <w:r w:rsidRPr="000A5FAF">
              <w:rPr>
                <w:rFonts w:ascii="Helvetica LT Std Condensed" w:hAnsi="Helvetica LT Std Condensed" w:cs="Helvetica LT Std Condensed"/>
                <w:color w:val="auto"/>
              </w:rPr>
              <w:t xml:space="preserve">0 </w:t>
            </w:r>
          </w:p>
        </w:tc>
      </w:tr>
      <w:tr w:rsidR="00E005AC" w:rsidRPr="00027E46" w:rsidTr="00E005AC">
        <w:trPr>
          <w:trHeight w:val="3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05AC" w:rsidRPr="000A5FAF" w:rsidRDefault="00E005AC" w:rsidP="00D35B08">
            <w:pPr>
              <w:pStyle w:val="table6coltextfinal"/>
              <w:spacing w:before="60" w:after="0"/>
              <w:rPr>
                <w:color w:val="auto"/>
              </w:rPr>
            </w:pPr>
            <w:r w:rsidRPr="000A5FAF">
              <w:rPr>
                <w:rFonts w:ascii="Helvetica LT Std Bold Condensed" w:hAnsi="Helvetica LT Std Bold Condensed" w:cs="Helvetica LT Std Bold Condensed"/>
                <w:b/>
                <w:bCs/>
                <w:color w:val="auto"/>
              </w:rPr>
              <w:t>Employer elective contribution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05AC" w:rsidRPr="000A5FAF" w:rsidRDefault="00E005AC" w:rsidP="00583297">
            <w:pPr>
              <w:pStyle w:val="table6coltextfinal"/>
              <w:spacing w:before="60" w:after="0"/>
              <w:rPr>
                <w:color w:val="auto"/>
              </w:rPr>
            </w:pPr>
            <w:r w:rsidRPr="000A5FAF">
              <w:rPr>
                <w:rFonts w:ascii="Helvetica LT Std Condensed" w:hAnsi="Helvetica LT Std Condensed" w:cs="Helvetica LT Std Condensed"/>
                <w:color w:val="auto"/>
              </w:rPr>
              <w:t>$2</w:t>
            </w:r>
            <w:r w:rsidR="00583297">
              <w:rPr>
                <w:rFonts w:ascii="Helvetica LT Std Condensed" w:hAnsi="Helvetica LT Std Condensed" w:cs="Helvetica LT Std Condensed"/>
                <w:color w:val="auto"/>
              </w:rPr>
              <w:t>75</w:t>
            </w:r>
            <w:r w:rsidRPr="000A5FAF">
              <w:rPr>
                <w:rFonts w:ascii="Helvetica LT Std Condensed" w:hAnsi="Helvetica LT Std Condensed" w:cs="Helvetica LT Std Condensed"/>
                <w:color w:val="auto"/>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05AC" w:rsidRPr="000A5FAF" w:rsidRDefault="00E005AC" w:rsidP="00583297">
            <w:pPr>
              <w:pStyle w:val="table6coltextfinal"/>
              <w:spacing w:before="60" w:after="0"/>
              <w:rPr>
                <w:color w:val="auto"/>
              </w:rPr>
            </w:pPr>
            <w:r w:rsidRPr="000A5FAF">
              <w:rPr>
                <w:rFonts w:ascii="Helvetica LT Std Condensed" w:hAnsi="Helvetica LT Std Condensed" w:cs="Helvetica LT Std Condensed"/>
                <w:color w:val="auto"/>
              </w:rPr>
              <w:t>$</w:t>
            </w:r>
            <w:r w:rsidR="00583297">
              <w:rPr>
                <w:rFonts w:ascii="Helvetica LT Std Condensed" w:hAnsi="Helvetica LT Std Condensed" w:cs="Helvetica LT Std Condensed"/>
                <w:color w:val="auto"/>
              </w:rPr>
              <w:t>12,000</w:t>
            </w:r>
          </w:p>
        </w:tc>
        <w:tc>
          <w:tcPr>
            <w:tcW w:w="0" w:type="auto"/>
            <w:tcBorders>
              <w:top w:val="single" w:sz="4" w:space="0" w:color="000000"/>
              <w:left w:val="single" w:sz="4" w:space="0" w:color="000000"/>
              <w:bottom w:val="single" w:sz="4" w:space="0" w:color="000000"/>
              <w:right w:val="single" w:sz="4" w:space="0" w:color="000000"/>
            </w:tcBorders>
            <w:tcMar>
              <w:top w:w="0" w:type="dxa"/>
              <w:left w:w="270" w:type="dxa"/>
              <w:bottom w:w="0" w:type="dxa"/>
              <w:right w:w="108" w:type="dxa"/>
            </w:tcMar>
            <w:vAlign w:val="center"/>
          </w:tcPr>
          <w:p w:rsidR="00E005AC" w:rsidRPr="000A5FAF" w:rsidRDefault="00E005AC" w:rsidP="00583297">
            <w:pPr>
              <w:pStyle w:val="table6coltextfinal"/>
              <w:spacing w:before="60" w:after="0"/>
              <w:rPr>
                <w:color w:val="auto"/>
              </w:rPr>
            </w:pPr>
            <w:r w:rsidRPr="000A5FAF">
              <w:rPr>
                <w:rFonts w:ascii="Helvetica LT Std Condensed" w:hAnsi="Helvetica LT Std Condensed" w:cs="Helvetica LT Std Condensed"/>
                <w:color w:val="auto"/>
              </w:rPr>
              <w:t xml:space="preserve">$ </w:t>
            </w:r>
            <w:r w:rsidR="00583297">
              <w:rPr>
                <w:rFonts w:ascii="Helvetica LT Std Condensed" w:hAnsi="Helvetica LT Std Condensed" w:cs="Helvetica LT Std Condensed"/>
                <w:color w:val="auto"/>
              </w:rPr>
              <w:t>5,200</w:t>
            </w:r>
          </w:p>
        </w:tc>
        <w:tc>
          <w:tcPr>
            <w:tcW w:w="0" w:type="auto"/>
            <w:tcBorders>
              <w:top w:val="single" w:sz="4" w:space="0" w:color="000000"/>
              <w:left w:val="single" w:sz="4" w:space="0" w:color="000000"/>
              <w:bottom w:val="single" w:sz="4" w:space="0" w:color="000000"/>
              <w:right w:val="single" w:sz="4" w:space="0" w:color="000000"/>
            </w:tcBorders>
            <w:tcMar>
              <w:top w:w="0" w:type="dxa"/>
              <w:left w:w="180" w:type="dxa"/>
              <w:bottom w:w="0" w:type="dxa"/>
              <w:right w:w="108" w:type="dxa"/>
            </w:tcMar>
            <w:vAlign w:val="center"/>
          </w:tcPr>
          <w:p w:rsidR="00E005AC" w:rsidRPr="000A5FAF" w:rsidRDefault="00E005AC" w:rsidP="00D35B08">
            <w:pPr>
              <w:pStyle w:val="table6coltextfinal"/>
              <w:spacing w:before="60" w:after="0"/>
              <w:rPr>
                <w:color w:val="auto"/>
              </w:rPr>
            </w:pPr>
            <w:r w:rsidRPr="000A5FAF">
              <w:rPr>
                <w:rFonts w:ascii="Helvetica LT Std Condensed" w:hAnsi="Helvetica LT Std Condensed" w:cs="Helvetica LT Std Condensed"/>
                <w:color w:val="auto"/>
              </w:rPr>
              <w:t xml:space="preserve">$ </w:t>
            </w:r>
            <w:r w:rsidR="00583297">
              <w:rPr>
                <w:rFonts w:ascii="Helvetica LT Std Condensed" w:hAnsi="Helvetica LT Std Condensed" w:cs="Helvetica LT Std Condensed"/>
                <w:color w:val="auto"/>
              </w:rPr>
              <w:t>5,200</w:t>
            </w:r>
          </w:p>
        </w:tc>
        <w:tc>
          <w:tcPr>
            <w:tcW w:w="0" w:type="auto"/>
            <w:tcBorders>
              <w:top w:val="single" w:sz="4" w:space="0" w:color="000000"/>
              <w:left w:val="single" w:sz="4" w:space="0" w:color="000000"/>
              <w:bottom w:val="single" w:sz="4" w:space="0" w:color="000000"/>
              <w:right w:val="single" w:sz="4" w:space="0" w:color="000000"/>
            </w:tcBorders>
            <w:tcMar>
              <w:top w:w="0" w:type="dxa"/>
              <w:left w:w="61" w:type="dxa"/>
              <w:bottom w:w="0" w:type="dxa"/>
              <w:right w:w="0" w:type="dxa"/>
            </w:tcMar>
            <w:vAlign w:val="center"/>
          </w:tcPr>
          <w:p w:rsidR="00E005AC" w:rsidRPr="000A5FAF" w:rsidRDefault="00E005AC" w:rsidP="00583297">
            <w:pPr>
              <w:pStyle w:val="table6coltextfinal"/>
              <w:spacing w:before="60" w:after="0"/>
              <w:rPr>
                <w:color w:val="auto"/>
              </w:rPr>
            </w:pPr>
            <w:r w:rsidRPr="000A5FAF">
              <w:rPr>
                <w:rFonts w:ascii="Helvetica LT Std Condensed" w:hAnsi="Helvetica LT Std Condensed" w:cs="Helvetica LT Std Condensed"/>
                <w:color w:val="auto"/>
              </w:rPr>
              <w:t xml:space="preserve"> $ </w:t>
            </w:r>
            <w:r w:rsidR="00583297">
              <w:rPr>
                <w:rFonts w:ascii="Helvetica LT Std Condensed" w:hAnsi="Helvetica LT Std Condensed" w:cs="Helvetica LT Std Condensed"/>
                <w:color w:val="auto"/>
              </w:rPr>
              <w:t>5,200</w:t>
            </w:r>
          </w:p>
        </w:tc>
      </w:tr>
    </w:tbl>
    <w:p w:rsidR="00554888" w:rsidRPr="00554888" w:rsidRDefault="00554888" w:rsidP="00E005AC">
      <w:pPr>
        <w:spacing w:after="0" w:line="240" w:lineRule="auto"/>
        <w:ind w:left="1440"/>
        <w:rPr>
          <w:rFonts w:ascii="Times New Roman" w:hAnsi="Times New Roman" w:cs="Times New Roman"/>
          <w:sz w:val="24"/>
          <w:szCs w:val="24"/>
        </w:rPr>
      </w:pPr>
    </w:p>
    <w:p w:rsidR="00C237C0" w:rsidRDefault="00554888" w:rsidP="00583297">
      <w:pPr>
        <w:spacing w:after="0" w:line="240" w:lineRule="auto"/>
        <w:ind w:left="720"/>
        <w:rPr>
          <w:rFonts w:ascii="Times New Roman" w:hAnsi="Times New Roman" w:cs="Times New Roman"/>
          <w:sz w:val="24"/>
          <w:szCs w:val="24"/>
        </w:rPr>
      </w:pPr>
      <w:r w:rsidRPr="00554888">
        <w:rPr>
          <w:rFonts w:ascii="Times New Roman" w:hAnsi="Times New Roman" w:cs="Times New Roman"/>
          <w:sz w:val="24"/>
          <w:szCs w:val="24"/>
        </w:rPr>
        <w:t>Because there is no limit on compensation, the match in the SIMPLE IRA is higher. Remember the match is made “. . . in an amount equal to so much of the amount the employee elects under clause (</w:t>
      </w:r>
      <w:proofErr w:type="spellStart"/>
      <w:r w:rsidRPr="00554888">
        <w:rPr>
          <w:rFonts w:ascii="Times New Roman" w:hAnsi="Times New Roman" w:cs="Times New Roman"/>
          <w:sz w:val="24"/>
          <w:szCs w:val="24"/>
        </w:rPr>
        <w:t>i</w:t>
      </w:r>
      <w:proofErr w:type="spellEnd"/>
      <w:r w:rsidRPr="00554888">
        <w:rPr>
          <w:rFonts w:ascii="Times New Roman" w:hAnsi="Times New Roman" w:cs="Times New Roman"/>
          <w:sz w:val="24"/>
          <w:szCs w:val="24"/>
        </w:rPr>
        <w:t>)(I) [the amount of the elective deferral] as does not exceed the applicable percentage [3 percent] of compensation for the year”</w:t>
      </w:r>
      <w:r w:rsidR="00583297">
        <w:rPr>
          <w:rFonts w:ascii="Times New Roman" w:hAnsi="Times New Roman" w:cs="Times New Roman"/>
          <w:sz w:val="24"/>
          <w:szCs w:val="24"/>
        </w:rPr>
        <w:t>.</w:t>
      </w:r>
      <w:r w:rsidR="000A14AE">
        <w:rPr>
          <w:rStyle w:val="FootnoteReference"/>
          <w:rFonts w:ascii="Times New Roman" w:hAnsi="Times New Roman" w:cs="Times New Roman"/>
          <w:sz w:val="24"/>
          <w:szCs w:val="24"/>
        </w:rPr>
        <w:footnoteReference w:id="17"/>
      </w:r>
      <w:r w:rsidRPr="00554888">
        <w:rPr>
          <w:rFonts w:ascii="Times New Roman" w:hAnsi="Times New Roman" w:cs="Times New Roman"/>
          <w:sz w:val="24"/>
          <w:szCs w:val="24"/>
        </w:rPr>
        <w:t xml:space="preserve"> </w:t>
      </w:r>
    </w:p>
    <w:p w:rsidR="00C237C0" w:rsidRDefault="00C237C0" w:rsidP="00583297">
      <w:pPr>
        <w:spacing w:after="0" w:line="240" w:lineRule="auto"/>
        <w:ind w:left="720"/>
        <w:rPr>
          <w:rFonts w:ascii="Times New Roman" w:hAnsi="Times New Roman" w:cs="Times New Roman"/>
          <w:sz w:val="24"/>
          <w:szCs w:val="24"/>
        </w:rPr>
      </w:pPr>
    </w:p>
    <w:p w:rsidR="00554888" w:rsidRDefault="00554888" w:rsidP="00583297">
      <w:pPr>
        <w:spacing w:after="0" w:line="240" w:lineRule="auto"/>
        <w:ind w:left="720"/>
        <w:rPr>
          <w:rFonts w:ascii="Times New Roman" w:hAnsi="Times New Roman" w:cs="Times New Roman"/>
          <w:sz w:val="24"/>
          <w:szCs w:val="24"/>
        </w:rPr>
      </w:pPr>
      <w:r w:rsidRPr="00554888">
        <w:rPr>
          <w:rFonts w:ascii="Times New Roman" w:hAnsi="Times New Roman" w:cs="Times New Roman"/>
          <w:sz w:val="24"/>
          <w:szCs w:val="24"/>
        </w:rPr>
        <w:t>In the SIMPLE IRA</w:t>
      </w:r>
      <w:r w:rsidR="00583297">
        <w:rPr>
          <w:rFonts w:ascii="Times New Roman" w:hAnsi="Times New Roman" w:cs="Times New Roman"/>
          <w:sz w:val="24"/>
          <w:szCs w:val="24"/>
        </w:rPr>
        <w:t>,</w:t>
      </w:r>
      <w:r w:rsidRPr="00554888">
        <w:rPr>
          <w:rFonts w:ascii="Times New Roman" w:hAnsi="Times New Roman" w:cs="Times New Roman"/>
          <w:sz w:val="24"/>
          <w:szCs w:val="24"/>
        </w:rPr>
        <w:t xml:space="preserve"> the deferral is $</w:t>
      </w:r>
      <w:r w:rsidR="00583297">
        <w:rPr>
          <w:rFonts w:ascii="Times New Roman" w:hAnsi="Times New Roman" w:cs="Times New Roman"/>
          <w:sz w:val="24"/>
          <w:szCs w:val="24"/>
        </w:rPr>
        <w:t>12,000</w:t>
      </w:r>
      <w:r w:rsidRPr="00554888">
        <w:rPr>
          <w:rFonts w:ascii="Times New Roman" w:hAnsi="Times New Roman" w:cs="Times New Roman"/>
          <w:sz w:val="24"/>
          <w:szCs w:val="24"/>
        </w:rPr>
        <w:t>, so the match is $</w:t>
      </w:r>
      <w:r w:rsidR="00583297">
        <w:rPr>
          <w:rFonts w:ascii="Times New Roman" w:hAnsi="Times New Roman" w:cs="Times New Roman"/>
          <w:sz w:val="24"/>
          <w:szCs w:val="24"/>
        </w:rPr>
        <w:t>8,250</w:t>
      </w:r>
      <w:r w:rsidRPr="00554888">
        <w:rPr>
          <w:rFonts w:ascii="Times New Roman" w:hAnsi="Times New Roman" w:cs="Times New Roman"/>
          <w:sz w:val="24"/>
          <w:szCs w:val="24"/>
        </w:rPr>
        <w:t xml:space="preserve"> because it is no more than 3 percent of the employee’s compensation of $2</w:t>
      </w:r>
      <w:r w:rsidR="00583297">
        <w:rPr>
          <w:rFonts w:ascii="Times New Roman" w:hAnsi="Times New Roman" w:cs="Times New Roman"/>
          <w:sz w:val="24"/>
          <w:szCs w:val="24"/>
        </w:rPr>
        <w:t>75</w:t>
      </w:r>
      <w:r w:rsidRPr="00554888">
        <w:rPr>
          <w:rFonts w:ascii="Times New Roman" w:hAnsi="Times New Roman" w:cs="Times New Roman"/>
          <w:sz w:val="24"/>
          <w:szCs w:val="24"/>
        </w:rPr>
        <w:t>,000 and no more than 100 percent of the employee’s deferral. In the other types of 401(k) plans, compensation that may be taken into account is limited to $</w:t>
      </w:r>
      <w:r w:rsidR="00583297">
        <w:rPr>
          <w:rFonts w:ascii="Times New Roman" w:hAnsi="Times New Roman" w:cs="Times New Roman"/>
          <w:sz w:val="24"/>
          <w:szCs w:val="24"/>
        </w:rPr>
        <w:t>260</w:t>
      </w:r>
      <w:r w:rsidRPr="00554888">
        <w:rPr>
          <w:rFonts w:ascii="Times New Roman" w:hAnsi="Times New Roman" w:cs="Times New Roman"/>
          <w:sz w:val="24"/>
          <w:szCs w:val="24"/>
        </w:rPr>
        <w:t>,000; the 3 percent, the applicable percentage, is applied to the compensation as limited. The elective employer contribution must, however, be based on compensation up to $2</w:t>
      </w:r>
      <w:r w:rsidR="00583297">
        <w:rPr>
          <w:rFonts w:ascii="Times New Roman" w:hAnsi="Times New Roman" w:cs="Times New Roman"/>
          <w:sz w:val="24"/>
          <w:szCs w:val="24"/>
        </w:rPr>
        <w:t>60</w:t>
      </w:r>
      <w:r w:rsidRPr="00554888">
        <w:rPr>
          <w:rFonts w:ascii="Times New Roman" w:hAnsi="Times New Roman" w:cs="Times New Roman"/>
          <w:sz w:val="24"/>
          <w:szCs w:val="24"/>
        </w:rPr>
        <w:t>,000 (for the year 201</w:t>
      </w:r>
      <w:r w:rsidR="00583297">
        <w:rPr>
          <w:rFonts w:ascii="Times New Roman" w:hAnsi="Times New Roman" w:cs="Times New Roman"/>
          <w:sz w:val="24"/>
          <w:szCs w:val="24"/>
        </w:rPr>
        <w:t>4</w:t>
      </w:r>
      <w:r w:rsidRPr="00554888">
        <w:rPr>
          <w:rFonts w:ascii="Times New Roman" w:hAnsi="Times New Roman" w:cs="Times New Roman"/>
          <w:sz w:val="24"/>
          <w:szCs w:val="24"/>
        </w:rPr>
        <w:t xml:space="preserve">). </w:t>
      </w:r>
    </w:p>
    <w:p w:rsidR="00583297" w:rsidRPr="00554888" w:rsidRDefault="00583297" w:rsidP="00583297">
      <w:pPr>
        <w:spacing w:after="0" w:line="240" w:lineRule="auto"/>
        <w:ind w:left="720"/>
        <w:rPr>
          <w:rFonts w:ascii="Times New Roman" w:hAnsi="Times New Roman" w:cs="Times New Roman"/>
          <w:sz w:val="24"/>
          <w:szCs w:val="24"/>
        </w:rPr>
      </w:pPr>
    </w:p>
    <w:p w:rsidR="00554888" w:rsidRDefault="00554888" w:rsidP="00554888">
      <w:pPr>
        <w:spacing w:after="0" w:line="240" w:lineRule="auto"/>
        <w:ind w:left="720"/>
        <w:rPr>
          <w:rFonts w:ascii="Times New Roman" w:hAnsi="Times New Roman" w:cs="Times New Roman"/>
          <w:sz w:val="24"/>
          <w:szCs w:val="24"/>
        </w:rPr>
      </w:pPr>
      <w:r w:rsidRPr="00554888">
        <w:rPr>
          <w:rFonts w:ascii="Times New Roman" w:hAnsi="Times New Roman" w:cs="Times New Roman"/>
          <w:sz w:val="24"/>
          <w:szCs w:val="24"/>
        </w:rPr>
        <w:t>Suppose the SIMPLE IRA contribution is compared to the maximum deferral in a traditional 401(k):</w:t>
      </w:r>
    </w:p>
    <w:p w:rsidR="00583297" w:rsidRDefault="00583297" w:rsidP="00554888">
      <w:pPr>
        <w:spacing w:after="0" w:line="240" w:lineRule="auto"/>
        <w:ind w:left="720"/>
        <w:rPr>
          <w:rFonts w:ascii="Times New Roman" w:hAnsi="Times New Roman" w:cs="Times New Roman"/>
          <w:sz w:val="24"/>
          <w:szCs w:val="24"/>
        </w:rPr>
      </w:pPr>
    </w:p>
    <w:p w:rsidR="00B41615" w:rsidRPr="00554888" w:rsidRDefault="00B41615" w:rsidP="00554888">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Table</w:t>
      </w:r>
      <w:r w:rsidRPr="00E005AC">
        <w:rPr>
          <w:rFonts w:ascii="Times New Roman" w:hAnsi="Times New Roman" w:cs="Times New Roman"/>
          <w:b/>
          <w:sz w:val="24"/>
          <w:szCs w:val="24"/>
        </w:rPr>
        <w:t xml:space="preserve"> 9-</w:t>
      </w:r>
      <w:r>
        <w:rPr>
          <w:rFonts w:ascii="Times New Roman" w:hAnsi="Times New Roman" w:cs="Times New Roman"/>
          <w:b/>
          <w:sz w:val="24"/>
          <w:szCs w:val="24"/>
        </w:rPr>
        <w:t>2</w:t>
      </w:r>
    </w:p>
    <w:tbl>
      <w:tblPr>
        <w:tblW w:w="9468" w:type="dxa"/>
        <w:tblInd w:w="720" w:type="dxa"/>
        <w:tblCellMar>
          <w:left w:w="0" w:type="dxa"/>
          <w:right w:w="0" w:type="dxa"/>
        </w:tblCellMar>
        <w:tblLook w:val="0000" w:firstRow="0" w:lastRow="0" w:firstColumn="0" w:lastColumn="0" w:noHBand="0" w:noVBand="0"/>
      </w:tblPr>
      <w:tblGrid>
        <w:gridCol w:w="2248"/>
        <w:gridCol w:w="1535"/>
        <w:gridCol w:w="1462"/>
        <w:gridCol w:w="1313"/>
        <w:gridCol w:w="1435"/>
        <w:gridCol w:w="1475"/>
      </w:tblGrid>
      <w:tr w:rsidR="00583297" w:rsidRPr="00027E46" w:rsidTr="00583297">
        <w:trPr>
          <w:trHeight w:val="472"/>
        </w:trPr>
        <w:tc>
          <w:tcPr>
            <w:tcW w:w="0" w:type="auto"/>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tcPr>
          <w:p w:rsidR="00583297" w:rsidRPr="000A5FAF" w:rsidRDefault="00583297" w:rsidP="00D35B08">
            <w:pPr>
              <w:pStyle w:val="NoParagraphStyle"/>
              <w:spacing w:line="240" w:lineRule="auto"/>
              <w:textAlignment w:val="auto"/>
              <w:rPr>
                <w:rFonts w:ascii="Helvetica LT Std Condensed" w:hAnsi="Helvetica LT Std Condensed" w:cs="Times New Roman"/>
                <w:color w:val="auto"/>
              </w:rPr>
            </w:pPr>
          </w:p>
        </w:tc>
        <w:tc>
          <w:tcPr>
            <w:tcW w:w="0" w:type="auto"/>
            <w:tcBorders>
              <w:top w:val="single" w:sz="4" w:space="0" w:color="000000"/>
              <w:left w:val="single" w:sz="4" w:space="0" w:color="000000"/>
              <w:bottom w:val="single" w:sz="6" w:space="0" w:color="000000"/>
              <w:right w:val="single" w:sz="4" w:space="0" w:color="000000"/>
            </w:tcBorders>
            <w:tcMar>
              <w:top w:w="80" w:type="dxa"/>
              <w:left w:w="0" w:type="dxa"/>
              <w:bottom w:w="80" w:type="dxa"/>
              <w:right w:w="0" w:type="dxa"/>
            </w:tcMar>
            <w:vAlign w:val="center"/>
          </w:tcPr>
          <w:p w:rsidR="00583297" w:rsidRPr="000A5FAF" w:rsidRDefault="00583297" w:rsidP="00D35B08">
            <w:pPr>
              <w:pStyle w:val="NoParagraphStyle"/>
              <w:spacing w:line="240" w:lineRule="auto"/>
              <w:textAlignment w:val="auto"/>
              <w:rPr>
                <w:rFonts w:ascii="Helvetica LT Std Condensed" w:hAnsi="Helvetica LT Std Condensed" w:cs="Times New Roman"/>
                <w:color w:val="auto"/>
              </w:rPr>
            </w:pPr>
          </w:p>
        </w:tc>
        <w:tc>
          <w:tcPr>
            <w:tcW w:w="0" w:type="auto"/>
            <w:gridSpan w:val="2"/>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583297" w:rsidRPr="000A5FAF" w:rsidRDefault="00583297" w:rsidP="00D35B08">
            <w:pPr>
              <w:pStyle w:val="Table6colhead"/>
              <w:spacing w:before="180" w:after="80"/>
              <w:ind w:left="90"/>
              <w:jc w:val="center"/>
              <w:rPr>
                <w:color w:val="auto"/>
              </w:rPr>
            </w:pPr>
            <w:r w:rsidRPr="000A5FAF">
              <w:rPr>
                <w:rFonts w:ascii="Helvetica LT Std Bold Condensed" w:hAnsi="Helvetica LT Std Bold Condensed" w:cs="Helvetica LT Std Bold Condensed"/>
                <w:b/>
                <w:bCs/>
                <w:color w:val="auto"/>
              </w:rPr>
              <w:t xml:space="preserve"> SIMPLE IRA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83297" w:rsidRPr="000A5FAF" w:rsidRDefault="00583297" w:rsidP="00D35B08">
            <w:pPr>
              <w:pStyle w:val="Table6colhead"/>
              <w:spacing w:before="180" w:after="80"/>
              <w:jc w:val="center"/>
              <w:rPr>
                <w:color w:val="auto"/>
              </w:rPr>
            </w:pPr>
            <w:r w:rsidRPr="000A5FAF">
              <w:rPr>
                <w:rFonts w:ascii="Helvetica LT Std Bold Condensed" w:hAnsi="Helvetica LT Std Bold Condensed" w:cs="Helvetica LT Std Bold Condensed"/>
                <w:b/>
                <w:bCs/>
                <w:color w:val="auto"/>
              </w:rPr>
              <w:t>Traditional 401(k)</w:t>
            </w:r>
          </w:p>
        </w:tc>
      </w:tr>
      <w:tr w:rsidR="001C787B" w:rsidRPr="00027E46" w:rsidTr="00583297">
        <w:trPr>
          <w:trHeight w:val="316"/>
        </w:trPr>
        <w:tc>
          <w:tcPr>
            <w:tcW w:w="0" w:type="auto"/>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83297" w:rsidRPr="000A5FAF" w:rsidRDefault="00583297" w:rsidP="00D35B08">
            <w:pPr>
              <w:pStyle w:val="NoParagraphStyle"/>
              <w:spacing w:line="240" w:lineRule="auto"/>
              <w:textAlignment w:val="auto"/>
              <w:rPr>
                <w:rFonts w:ascii="Helvetica LT Std Condensed" w:hAnsi="Helvetica LT Std Condensed" w:cs="Times New Roman"/>
                <w:color w:val="auto"/>
              </w:rPr>
            </w:pPr>
          </w:p>
        </w:tc>
        <w:tc>
          <w:tcPr>
            <w:tcW w:w="0" w:type="auto"/>
            <w:tcBorders>
              <w:top w:val="single" w:sz="6"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583297" w:rsidRPr="000A5FAF" w:rsidRDefault="00583297" w:rsidP="00D35B08">
            <w:pPr>
              <w:pStyle w:val="Table6colhead"/>
              <w:spacing w:before="120" w:after="40"/>
              <w:ind w:right="270"/>
              <w:jc w:val="right"/>
              <w:rPr>
                <w:color w:val="auto"/>
              </w:rPr>
            </w:pPr>
            <w:r w:rsidRPr="000A5FAF">
              <w:rPr>
                <w:rFonts w:ascii="Helvetica LT Std Bold Condensed" w:hAnsi="Helvetica LT Std Bold Condensed" w:cs="Helvetica LT Std Bold Condensed"/>
                <w:b/>
                <w:bCs/>
                <w:color w:val="auto"/>
              </w:rPr>
              <w:t>Salary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83297" w:rsidRPr="000A5FAF" w:rsidRDefault="00583297" w:rsidP="00D35B08">
            <w:pPr>
              <w:pStyle w:val="Table6colhead"/>
              <w:spacing w:before="120" w:after="40"/>
              <w:jc w:val="center"/>
              <w:rPr>
                <w:color w:val="auto"/>
              </w:rPr>
            </w:pPr>
            <w:r w:rsidRPr="000A5FAF">
              <w:rPr>
                <w:rFonts w:ascii="Helvetica LT Std Bold Condensed" w:hAnsi="Helvetica LT Std Bold Condensed" w:cs="Helvetica LT Std Bold Condensed"/>
                <w:b/>
                <w:bCs/>
                <w:color w:val="auto"/>
              </w:rPr>
              <w:t>Deferral*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83297" w:rsidRPr="000A5FAF" w:rsidRDefault="00583297" w:rsidP="00D35B08">
            <w:pPr>
              <w:pStyle w:val="Table6colhead"/>
              <w:spacing w:before="120" w:after="40"/>
              <w:jc w:val="center"/>
              <w:rPr>
                <w:color w:val="auto"/>
              </w:rPr>
            </w:pPr>
            <w:r w:rsidRPr="000A5FAF">
              <w:rPr>
                <w:rFonts w:ascii="Helvetica LT Std Bold Condensed" w:hAnsi="Helvetica LT Std Bold Condensed" w:cs="Helvetica LT Std Bold Condensed"/>
                <w:b/>
                <w:bCs/>
                <w:color w:val="auto"/>
              </w:rPr>
              <w:t>Match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83297" w:rsidRPr="000A5FAF" w:rsidRDefault="00583297" w:rsidP="00D35B08">
            <w:pPr>
              <w:pStyle w:val="Table6colhead"/>
              <w:spacing w:before="120" w:after="40"/>
              <w:jc w:val="center"/>
              <w:rPr>
                <w:color w:val="auto"/>
              </w:rPr>
            </w:pPr>
            <w:r w:rsidRPr="000A5FAF">
              <w:rPr>
                <w:rFonts w:ascii="Helvetica LT Std Bold Condensed" w:hAnsi="Helvetica LT Std Bold Condensed" w:cs="Helvetica LT Std Bold Condensed"/>
                <w:b/>
                <w:bCs/>
                <w:color w:val="auto"/>
              </w:rPr>
              <w:t>Deferral*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83297" w:rsidRPr="000A5FAF" w:rsidRDefault="00583297" w:rsidP="00D35B08">
            <w:pPr>
              <w:pStyle w:val="Table6colhead"/>
              <w:spacing w:before="120" w:after="40"/>
              <w:jc w:val="center"/>
              <w:rPr>
                <w:color w:val="auto"/>
              </w:rPr>
            </w:pPr>
            <w:r w:rsidRPr="000A5FAF">
              <w:rPr>
                <w:rFonts w:ascii="Helvetica LT Std Bold Condensed" w:hAnsi="Helvetica LT Std Bold Condensed" w:cs="Helvetica LT Std Bold Condensed"/>
                <w:b/>
                <w:bCs/>
                <w:color w:val="auto"/>
              </w:rPr>
              <w:t>Match</w:t>
            </w:r>
          </w:p>
        </w:tc>
      </w:tr>
      <w:tr w:rsidR="001C787B" w:rsidRPr="00027E46" w:rsidTr="00583297">
        <w:trPr>
          <w:trHeight w:val="3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83297" w:rsidRPr="000A5FAF" w:rsidRDefault="00583297" w:rsidP="00D35B08">
            <w:pPr>
              <w:pStyle w:val="table6coltext"/>
              <w:rPr>
                <w:color w:val="auto"/>
              </w:rPr>
            </w:pPr>
            <w:r w:rsidRPr="000A5FAF">
              <w:rPr>
                <w:rFonts w:ascii="Helvetica LT Std Bold Condensed" w:hAnsi="Helvetica LT Std Bold Condensed" w:cs="Helvetica LT Std Bold Condensed"/>
                <w:b/>
                <w:bCs/>
                <w:color w:val="auto"/>
              </w:rPr>
              <w:t>Owner</w:t>
            </w:r>
          </w:p>
        </w:tc>
        <w:tc>
          <w:tcPr>
            <w:tcW w:w="0" w:type="auto"/>
            <w:tcBorders>
              <w:top w:val="single" w:sz="4" w:space="0" w:color="000000"/>
              <w:left w:val="single" w:sz="4" w:space="0" w:color="000000"/>
              <w:bottom w:val="single" w:sz="4" w:space="0" w:color="000000"/>
              <w:right w:val="single" w:sz="4" w:space="0" w:color="000000"/>
            </w:tcBorders>
            <w:tcMar>
              <w:top w:w="0" w:type="dxa"/>
              <w:left w:w="180" w:type="dxa"/>
              <w:bottom w:w="0" w:type="dxa"/>
              <w:right w:w="108" w:type="dxa"/>
            </w:tcMar>
            <w:vAlign w:val="center"/>
          </w:tcPr>
          <w:p w:rsidR="00583297" w:rsidRPr="000A5FAF" w:rsidRDefault="00583297" w:rsidP="00583297">
            <w:pPr>
              <w:pStyle w:val="table6coltext"/>
              <w:rPr>
                <w:color w:val="auto"/>
              </w:rPr>
            </w:pPr>
            <w:r w:rsidRPr="000A5FAF">
              <w:rPr>
                <w:rFonts w:ascii="Helvetica LT Std Condensed" w:hAnsi="Helvetica LT Std Condensed" w:cs="Helvetica LT Std Condensed"/>
                <w:color w:val="auto"/>
              </w:rPr>
              <w:t>$2</w:t>
            </w:r>
            <w:r>
              <w:rPr>
                <w:rFonts w:ascii="Helvetica LT Std Condensed" w:hAnsi="Helvetica LT Std Condensed" w:cs="Helvetica LT Std Condensed"/>
                <w:color w:val="auto"/>
              </w:rPr>
              <w:t>75</w:t>
            </w:r>
            <w:r w:rsidRPr="000A5FAF">
              <w:rPr>
                <w:rFonts w:ascii="Helvetica LT Std Condensed" w:hAnsi="Helvetica LT Std Condensed" w:cs="Helvetica LT Std Condensed"/>
                <w:color w:val="auto"/>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216" w:type="dxa"/>
            </w:tcMar>
            <w:vAlign w:val="center"/>
          </w:tcPr>
          <w:p w:rsidR="00583297" w:rsidRPr="000A5FAF" w:rsidRDefault="00583297" w:rsidP="00583297">
            <w:pPr>
              <w:pStyle w:val="table6coltext"/>
              <w:jc w:val="center"/>
              <w:rPr>
                <w:color w:val="auto"/>
              </w:rPr>
            </w:pPr>
            <w:r w:rsidRPr="000A5FAF">
              <w:rPr>
                <w:rFonts w:ascii="Helvetica LT Std Condensed" w:hAnsi="Helvetica LT Std Condensed" w:cs="Helvetica LT Std Condensed"/>
                <w:color w:val="auto"/>
              </w:rPr>
              <w:t xml:space="preserve">$ </w:t>
            </w:r>
            <w:r>
              <w:rPr>
                <w:rFonts w:ascii="Helvetica LT Std Condensed" w:hAnsi="Helvetica LT Std Condensed" w:cs="Helvetica LT Std Condensed"/>
                <w:color w:val="auto"/>
              </w:rPr>
              <w:t>12,000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30" w:type="dxa"/>
            </w:tcMar>
            <w:vAlign w:val="center"/>
          </w:tcPr>
          <w:p w:rsidR="00583297" w:rsidRPr="000A5FAF" w:rsidRDefault="00583297" w:rsidP="00583297">
            <w:pPr>
              <w:pStyle w:val="table6coltext"/>
              <w:jc w:val="center"/>
              <w:rPr>
                <w:color w:val="auto"/>
              </w:rPr>
            </w:pPr>
            <w:r w:rsidRPr="000A5FAF">
              <w:rPr>
                <w:rFonts w:ascii="Helvetica LT Std Condensed" w:hAnsi="Helvetica LT Std Condensed" w:cs="Helvetica LT Std Condensed"/>
                <w:color w:val="auto"/>
              </w:rPr>
              <w:t xml:space="preserve">$  </w:t>
            </w:r>
            <w:r>
              <w:rPr>
                <w:rFonts w:ascii="Helvetica LT Std Condensed" w:hAnsi="Helvetica LT Std Condensed" w:cs="Helvetica LT Std Condensed"/>
                <w:color w:val="auto"/>
              </w:rPr>
              <w:t>8,250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83297" w:rsidRPr="000A5FAF" w:rsidRDefault="00583297" w:rsidP="00583297">
            <w:pPr>
              <w:pStyle w:val="table6coltext"/>
              <w:jc w:val="center"/>
              <w:rPr>
                <w:color w:val="auto"/>
              </w:rPr>
            </w:pPr>
            <w:r w:rsidRPr="000A5FAF">
              <w:rPr>
                <w:rFonts w:ascii="Helvetica LT Std Condensed" w:hAnsi="Helvetica LT Std Condensed" w:cs="Helvetica LT Std Condensed"/>
                <w:color w:val="auto"/>
              </w:rPr>
              <w:t>$1</w:t>
            </w:r>
            <w:r>
              <w:rPr>
                <w:rFonts w:ascii="Helvetica LT Std Condensed" w:hAnsi="Helvetica LT Std Condensed" w:cs="Helvetica LT Std Condensed"/>
                <w:color w:val="auto"/>
              </w:rPr>
              <w:t>7</w:t>
            </w:r>
            <w:r w:rsidRPr="000A5FAF">
              <w:rPr>
                <w:rFonts w:ascii="Helvetica LT Std Condensed" w:hAnsi="Helvetica LT Std Condensed" w:cs="Helvetica LT Std Condensed"/>
                <w:color w:val="auto"/>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58" w:type="dxa"/>
              <w:bottom w:w="0" w:type="dxa"/>
              <w:right w:w="108" w:type="dxa"/>
            </w:tcMar>
            <w:vAlign w:val="center"/>
          </w:tcPr>
          <w:p w:rsidR="00583297" w:rsidRPr="000A5FAF" w:rsidRDefault="00583297" w:rsidP="00583297">
            <w:pPr>
              <w:pStyle w:val="table6coltext"/>
              <w:ind w:right="90"/>
              <w:rPr>
                <w:color w:val="auto"/>
              </w:rPr>
            </w:pPr>
            <w:r w:rsidRPr="000A5FAF">
              <w:rPr>
                <w:rFonts w:ascii="Helvetica LT Std Condensed" w:hAnsi="Helvetica LT Std Condensed" w:cs="Helvetica LT Std Condensed"/>
                <w:color w:val="auto"/>
              </w:rPr>
              <w:t>$ 7,</w:t>
            </w:r>
            <w:r>
              <w:rPr>
                <w:rFonts w:ascii="Helvetica LT Std Condensed" w:hAnsi="Helvetica LT Std Condensed" w:cs="Helvetica LT Std Condensed"/>
                <w:color w:val="auto"/>
              </w:rPr>
              <w:t>800</w:t>
            </w:r>
            <w:r w:rsidRPr="000A5FAF">
              <w:rPr>
                <w:rFonts w:ascii="Helvetica LT Std Condensed" w:hAnsi="Helvetica LT Std Condensed" w:cs="Helvetica LT Std Condensed"/>
                <w:color w:val="auto"/>
              </w:rPr>
              <w:t xml:space="preserve"> </w:t>
            </w:r>
          </w:p>
        </w:tc>
      </w:tr>
      <w:tr w:rsidR="001C787B" w:rsidRPr="00027E46" w:rsidTr="00583297">
        <w:trPr>
          <w:trHeight w:val="3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83297" w:rsidRPr="000A5FAF" w:rsidRDefault="00583297" w:rsidP="00D35B08">
            <w:pPr>
              <w:pStyle w:val="table6coltext"/>
              <w:rPr>
                <w:color w:val="auto"/>
              </w:rPr>
            </w:pPr>
            <w:r w:rsidRPr="000A5FAF">
              <w:rPr>
                <w:rFonts w:ascii="Helvetica LT Std Bold Condensed" w:hAnsi="Helvetica LT Std Bold Condensed" w:cs="Helvetica LT Std Bold Condensed"/>
                <w:b/>
                <w:bCs/>
                <w:color w:val="auto"/>
              </w:rPr>
              <w:t>Spouse</w:t>
            </w:r>
          </w:p>
        </w:tc>
        <w:tc>
          <w:tcPr>
            <w:tcW w:w="0" w:type="auto"/>
            <w:tcBorders>
              <w:top w:val="single" w:sz="4" w:space="0" w:color="000000"/>
              <w:left w:val="single" w:sz="4" w:space="0" w:color="000000"/>
              <w:bottom w:val="single" w:sz="4" w:space="0" w:color="000000"/>
              <w:right w:val="single" w:sz="4" w:space="0" w:color="000000"/>
            </w:tcBorders>
            <w:tcMar>
              <w:top w:w="0" w:type="dxa"/>
              <w:left w:w="180" w:type="dxa"/>
              <w:bottom w:w="0" w:type="dxa"/>
              <w:right w:w="108" w:type="dxa"/>
            </w:tcMar>
            <w:vAlign w:val="center"/>
          </w:tcPr>
          <w:p w:rsidR="00583297" w:rsidRPr="000A5FAF" w:rsidRDefault="00583297" w:rsidP="00D35B08">
            <w:pPr>
              <w:pStyle w:val="table6coltext"/>
              <w:rPr>
                <w:color w:val="auto"/>
              </w:rPr>
            </w:pPr>
            <w:r w:rsidRPr="000A5FAF">
              <w:rPr>
                <w:rFonts w:ascii="Helvetica LT Std Condensed" w:hAnsi="Helvetica LT Std Condensed" w:cs="Helvetica LT Std Condensed"/>
                <w:color w:val="auto"/>
              </w:rPr>
              <w:t>$    8,000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216" w:type="dxa"/>
            </w:tcMar>
            <w:vAlign w:val="center"/>
          </w:tcPr>
          <w:p w:rsidR="00583297" w:rsidRPr="000A5FAF" w:rsidRDefault="00583297" w:rsidP="00D35B08">
            <w:pPr>
              <w:pStyle w:val="table6coltext"/>
              <w:jc w:val="center"/>
              <w:rPr>
                <w:color w:val="auto"/>
              </w:rPr>
            </w:pPr>
            <w:r w:rsidRPr="000A5FAF">
              <w:rPr>
                <w:rFonts w:ascii="Helvetica LT Std Condensed" w:hAnsi="Helvetica LT Std Condensed" w:cs="Helvetica LT Std Condensed"/>
                <w:color w:val="auto"/>
              </w:rPr>
              <w:t>$   8,000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30" w:type="dxa"/>
            </w:tcMar>
            <w:vAlign w:val="center"/>
          </w:tcPr>
          <w:p w:rsidR="00583297" w:rsidRPr="000A5FAF" w:rsidRDefault="00583297" w:rsidP="00D35B08">
            <w:pPr>
              <w:pStyle w:val="table6coltext"/>
              <w:jc w:val="center"/>
              <w:rPr>
                <w:color w:val="auto"/>
              </w:rPr>
            </w:pPr>
            <w:r w:rsidRPr="000A5FAF">
              <w:rPr>
                <w:rFonts w:ascii="Helvetica LT Std Condensed" w:hAnsi="Helvetica LT Std Condensed" w:cs="Helvetica LT Std Condensed"/>
                <w:color w:val="auto"/>
                <w:u w:val="thick"/>
              </w:rPr>
              <w:t>$     240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83297" w:rsidRPr="000A5FAF" w:rsidRDefault="00583297" w:rsidP="00D35B08">
            <w:pPr>
              <w:pStyle w:val="table6coltext"/>
              <w:jc w:val="center"/>
              <w:rPr>
                <w:color w:val="auto"/>
              </w:rPr>
            </w:pPr>
            <w:r w:rsidRPr="000A5FAF">
              <w:rPr>
                <w:rFonts w:ascii="Helvetica LT Std Condensed" w:hAnsi="Helvetica LT Std Condensed" w:cs="Helvetica LT Std Condensed"/>
                <w:color w:val="auto"/>
              </w:rPr>
              <w:t>$  7,760</w:t>
            </w:r>
          </w:p>
        </w:tc>
        <w:tc>
          <w:tcPr>
            <w:tcW w:w="0" w:type="auto"/>
            <w:tcBorders>
              <w:top w:val="single" w:sz="4" w:space="0" w:color="000000"/>
              <w:left w:val="single" w:sz="4" w:space="0" w:color="000000"/>
              <w:bottom w:val="single" w:sz="4" w:space="0" w:color="000000"/>
              <w:right w:val="single" w:sz="4" w:space="0" w:color="000000"/>
            </w:tcBorders>
            <w:tcMar>
              <w:top w:w="0" w:type="dxa"/>
              <w:left w:w="158" w:type="dxa"/>
              <w:bottom w:w="0" w:type="dxa"/>
              <w:right w:w="108" w:type="dxa"/>
            </w:tcMar>
            <w:vAlign w:val="center"/>
          </w:tcPr>
          <w:p w:rsidR="00583297" w:rsidRPr="000A5FAF" w:rsidRDefault="00583297" w:rsidP="00D35B08">
            <w:pPr>
              <w:pStyle w:val="table6coltext"/>
              <w:ind w:right="90"/>
              <w:rPr>
                <w:color w:val="auto"/>
              </w:rPr>
            </w:pPr>
            <w:r w:rsidRPr="000A5FAF">
              <w:rPr>
                <w:rFonts w:ascii="Helvetica LT Std Condensed" w:hAnsi="Helvetica LT Std Condensed" w:cs="Helvetica LT Std Condensed"/>
                <w:color w:val="auto"/>
                <w:u w:val="thick"/>
              </w:rPr>
              <w:t>$   240</w:t>
            </w:r>
          </w:p>
        </w:tc>
      </w:tr>
      <w:tr w:rsidR="001C787B" w:rsidRPr="00027E46" w:rsidTr="00583297">
        <w:trPr>
          <w:trHeight w:val="3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83297" w:rsidRPr="000A5FAF" w:rsidRDefault="00583297" w:rsidP="00D35B08">
            <w:pPr>
              <w:pStyle w:val="table6coltextfinal"/>
              <w:spacing w:before="120" w:after="120"/>
              <w:rPr>
                <w:color w:val="auto"/>
              </w:rPr>
            </w:pPr>
            <w:r w:rsidRPr="000A5FAF">
              <w:rPr>
                <w:rFonts w:ascii="Helvetica LT Std Bold Condensed" w:hAnsi="Helvetica LT Std Bold Condensed" w:cs="Helvetica LT Std Bold Condensed"/>
                <w:b/>
                <w:bCs/>
                <w:color w:val="auto"/>
              </w:rPr>
              <w:t>Total contribution: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83297" w:rsidRPr="000A5FAF" w:rsidRDefault="00583297" w:rsidP="00D35B08">
            <w:pPr>
              <w:pStyle w:val="NoParagraphStyle"/>
              <w:spacing w:line="240" w:lineRule="auto"/>
              <w:textAlignment w:val="auto"/>
              <w:rPr>
                <w:rFonts w:ascii="Helvetica LT Std Condensed" w:hAnsi="Helvetica LT Std Condensed"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83297" w:rsidRPr="000A5FAF" w:rsidRDefault="00583297" w:rsidP="00D35B08">
            <w:pPr>
              <w:pStyle w:val="NoParagraphStyle"/>
              <w:spacing w:line="240" w:lineRule="auto"/>
              <w:textAlignment w:val="auto"/>
              <w:rPr>
                <w:rFonts w:ascii="Helvetica LT Std Condensed" w:hAnsi="Helvetica LT Std Condensed"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30" w:type="dxa"/>
            </w:tcMar>
            <w:vAlign w:val="center"/>
          </w:tcPr>
          <w:p w:rsidR="00583297" w:rsidRPr="000A5FAF" w:rsidRDefault="00583297" w:rsidP="001C787B">
            <w:pPr>
              <w:pStyle w:val="table6coltextfinal"/>
              <w:spacing w:before="120" w:after="120"/>
              <w:jc w:val="center"/>
              <w:rPr>
                <w:color w:val="auto"/>
              </w:rPr>
            </w:pPr>
            <w:r w:rsidRPr="000A5FAF">
              <w:rPr>
                <w:rFonts w:ascii="Helvetica LT Std Bold Condensed" w:hAnsi="Helvetica LT Std Bold Condensed" w:cs="Helvetica LT Std Bold Condensed"/>
                <w:b/>
                <w:bCs/>
                <w:color w:val="auto"/>
              </w:rPr>
              <w:t>$</w:t>
            </w:r>
            <w:r w:rsidR="001C787B">
              <w:rPr>
                <w:rFonts w:ascii="Helvetica LT Std Bold Condensed" w:hAnsi="Helvetica LT Std Bold Condensed" w:cs="Helvetica LT Std Bold Condensed"/>
                <w:b/>
                <w:bCs/>
                <w:color w:val="auto"/>
              </w:rPr>
              <w:t>28,490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83297" w:rsidRPr="000A5FAF" w:rsidRDefault="00583297" w:rsidP="00D35B08">
            <w:pPr>
              <w:pStyle w:val="NoParagraphStyle"/>
              <w:spacing w:line="240" w:lineRule="auto"/>
              <w:textAlignment w:val="auto"/>
              <w:rPr>
                <w:rFonts w:ascii="Helvetica LT Std Condensed" w:hAnsi="Helvetica LT Std Condensed"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58" w:type="dxa"/>
              <w:bottom w:w="0" w:type="dxa"/>
              <w:right w:w="108" w:type="dxa"/>
            </w:tcMar>
            <w:vAlign w:val="center"/>
          </w:tcPr>
          <w:p w:rsidR="00583297" w:rsidRPr="000A5FAF" w:rsidRDefault="00583297" w:rsidP="001C787B">
            <w:pPr>
              <w:pStyle w:val="table6coltextfinal"/>
              <w:spacing w:before="120" w:after="120"/>
              <w:ind w:right="90"/>
              <w:rPr>
                <w:color w:val="auto"/>
              </w:rPr>
            </w:pPr>
            <w:r w:rsidRPr="000A5FAF">
              <w:rPr>
                <w:rFonts w:ascii="Helvetica LT Std Bold Condensed" w:hAnsi="Helvetica LT Std Bold Condensed" w:cs="Helvetica LT Std Bold Condensed"/>
                <w:b/>
                <w:bCs/>
                <w:color w:val="auto"/>
              </w:rPr>
              <w:t>$</w:t>
            </w:r>
            <w:r w:rsidR="001C787B">
              <w:rPr>
                <w:rFonts w:ascii="Helvetica LT Std Bold Condensed" w:hAnsi="Helvetica LT Std Bold Condensed" w:cs="Helvetica LT Std Bold Condensed"/>
                <w:b/>
                <w:bCs/>
                <w:color w:val="auto"/>
              </w:rPr>
              <w:t>33,300</w:t>
            </w:r>
            <w:r w:rsidRPr="000A5FAF">
              <w:rPr>
                <w:rFonts w:ascii="Helvetica LT Std Bold Condensed" w:hAnsi="Helvetica LT Std Bold Condensed" w:cs="Helvetica LT Std Bold Condensed"/>
                <w:b/>
                <w:bCs/>
                <w:color w:val="auto"/>
              </w:rPr>
              <w:t xml:space="preserve"> </w:t>
            </w:r>
          </w:p>
        </w:tc>
      </w:tr>
      <w:tr w:rsidR="00583297" w:rsidRPr="00027E46" w:rsidTr="00583297">
        <w:trPr>
          <w:trHeight w:val="1002"/>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83297" w:rsidRPr="00027E46" w:rsidRDefault="00583297" w:rsidP="00B41615">
            <w:pPr>
              <w:suppressAutoHyphens/>
            </w:pPr>
            <w:r w:rsidRPr="00027E46">
              <w:rPr>
                <w:rFonts w:ascii="Helvetica LT Std Condensed" w:hAnsi="Helvetica LT Std Condensed" w:cs="Helvetica LT Std Condensed"/>
                <w:sz w:val="18"/>
                <w:szCs w:val="18"/>
              </w:rPr>
              <w:t>*Although the maximum deferral by statute is 100</w:t>
            </w:r>
            <w:r w:rsidR="00B41615">
              <w:rPr>
                <w:rFonts w:ascii="Helvetica LT Std Condensed" w:hAnsi="Helvetica LT Std Condensed" w:cs="Helvetica LT Std Condensed"/>
                <w:sz w:val="18"/>
                <w:szCs w:val="18"/>
              </w:rPr>
              <w:t xml:space="preserve"> percent,</w:t>
            </w:r>
            <w:r w:rsidR="00B41615" w:rsidRPr="00027E46">
              <w:rPr>
                <w:rFonts w:ascii="Helvetica LT Std Condensed" w:hAnsi="Helvetica LT Std Condensed" w:cs="Helvetica LT Std Condensed"/>
                <w:sz w:val="18"/>
                <w:szCs w:val="18"/>
              </w:rPr>
              <w:t xml:space="preserve"> </w:t>
            </w:r>
            <w:r w:rsidRPr="00027E46">
              <w:rPr>
                <w:rFonts w:ascii="Helvetica LT Std Condensed" w:hAnsi="Helvetica LT Std Condensed" w:cs="Helvetica LT Std Condensed"/>
                <w:sz w:val="18"/>
                <w:szCs w:val="18"/>
              </w:rPr>
              <w:t xml:space="preserve">as a practical matter, sufficient funds must be retained as compensation to pay applicable payroll taxes, e.g., FICA.  In addition the </w:t>
            </w:r>
            <w:r w:rsidR="00B41615">
              <w:rPr>
                <w:rFonts w:ascii="Helvetica LT Std Condensed" w:hAnsi="Helvetica LT Std Condensed" w:cs="Helvetica LT Std Condensed"/>
                <w:sz w:val="18"/>
                <w:szCs w:val="18"/>
              </w:rPr>
              <w:t xml:space="preserve">Code Section </w:t>
            </w:r>
            <w:r w:rsidRPr="00027E46">
              <w:rPr>
                <w:rFonts w:ascii="Helvetica LT Std Condensed" w:hAnsi="Helvetica LT Std Condensed" w:cs="Helvetica LT Std Condensed"/>
                <w:sz w:val="18"/>
                <w:szCs w:val="18"/>
              </w:rPr>
              <w:t xml:space="preserve">415 limit of the </w:t>
            </w:r>
            <w:proofErr w:type="gramStart"/>
            <w:r w:rsidRPr="00027E46">
              <w:rPr>
                <w:rFonts w:ascii="Helvetica LT Std Condensed" w:hAnsi="Helvetica LT Std Condensed" w:cs="Helvetica LT Std Condensed"/>
                <w:sz w:val="18"/>
                <w:szCs w:val="18"/>
              </w:rPr>
              <w:t>lesser</w:t>
            </w:r>
            <w:proofErr w:type="gramEnd"/>
            <w:r w:rsidRPr="00027E46">
              <w:rPr>
                <w:rFonts w:ascii="Helvetica LT Std Condensed" w:hAnsi="Helvetica LT Std Condensed" w:cs="Helvetica LT Std Condensed"/>
                <w:sz w:val="18"/>
                <w:szCs w:val="18"/>
              </w:rPr>
              <w:t xml:space="preserve"> of 100</w:t>
            </w:r>
            <w:r w:rsidR="00B41615">
              <w:rPr>
                <w:rFonts w:ascii="Helvetica LT Std Condensed" w:hAnsi="Helvetica LT Std Condensed" w:cs="Helvetica LT Std Condensed"/>
                <w:sz w:val="18"/>
                <w:szCs w:val="18"/>
              </w:rPr>
              <w:t xml:space="preserve"> percent</w:t>
            </w:r>
            <w:r w:rsidR="00B41615" w:rsidRPr="00027E46">
              <w:rPr>
                <w:rFonts w:ascii="Helvetica LT Std Condensed" w:hAnsi="Helvetica LT Std Condensed" w:cs="Helvetica LT Std Condensed"/>
                <w:sz w:val="18"/>
                <w:szCs w:val="18"/>
              </w:rPr>
              <w:t xml:space="preserve"> </w:t>
            </w:r>
            <w:r w:rsidRPr="00027E46">
              <w:rPr>
                <w:rFonts w:ascii="Helvetica LT Std Condensed" w:hAnsi="Helvetica LT Std Condensed" w:cs="Helvetica LT Std Condensed"/>
                <w:sz w:val="18"/>
                <w:szCs w:val="18"/>
              </w:rPr>
              <w:t>of compensation or $</w:t>
            </w:r>
            <w:r>
              <w:rPr>
                <w:rFonts w:ascii="Helvetica LT Std Condensed" w:hAnsi="Helvetica LT Std Condensed" w:cs="Helvetica LT Std Condensed"/>
                <w:sz w:val="18"/>
                <w:szCs w:val="18"/>
              </w:rPr>
              <w:t>52</w:t>
            </w:r>
            <w:r w:rsidRPr="00027E46">
              <w:rPr>
                <w:rFonts w:ascii="Helvetica LT Std Condensed" w:hAnsi="Helvetica LT Std Condensed" w:cs="Helvetica LT Std Condensed"/>
                <w:sz w:val="18"/>
                <w:szCs w:val="18"/>
              </w:rPr>
              <w:t>,000 (for 201</w:t>
            </w:r>
            <w:r>
              <w:rPr>
                <w:rFonts w:ascii="Helvetica LT Std Condensed" w:hAnsi="Helvetica LT Std Condensed" w:cs="Helvetica LT Std Condensed"/>
                <w:sz w:val="18"/>
                <w:szCs w:val="18"/>
              </w:rPr>
              <w:t>4</w:t>
            </w:r>
            <w:r w:rsidRPr="00027E46">
              <w:rPr>
                <w:rFonts w:ascii="Helvetica LT Std Condensed" w:hAnsi="Helvetica LT Std Condensed" w:cs="Helvetica LT Std Condensed"/>
                <w:sz w:val="18"/>
                <w:szCs w:val="18"/>
              </w:rPr>
              <w:t>) limits the deferral for the spouse in the traditional 401(k) plan.</w:t>
            </w:r>
          </w:p>
        </w:tc>
      </w:tr>
    </w:tbl>
    <w:p w:rsidR="00554888" w:rsidRPr="00554888" w:rsidRDefault="00554888" w:rsidP="00554888">
      <w:pPr>
        <w:spacing w:after="0" w:line="240" w:lineRule="auto"/>
        <w:ind w:left="720"/>
        <w:rPr>
          <w:rFonts w:ascii="Times New Roman" w:hAnsi="Times New Roman" w:cs="Times New Roman"/>
          <w:sz w:val="24"/>
          <w:szCs w:val="24"/>
        </w:rPr>
      </w:pPr>
    </w:p>
    <w:p w:rsidR="00554888" w:rsidRDefault="00554888" w:rsidP="001C787B">
      <w:pPr>
        <w:spacing w:after="0" w:line="240" w:lineRule="auto"/>
        <w:ind w:left="720"/>
        <w:rPr>
          <w:rFonts w:ascii="Times New Roman" w:hAnsi="Times New Roman" w:cs="Times New Roman"/>
          <w:sz w:val="24"/>
          <w:szCs w:val="24"/>
        </w:rPr>
      </w:pPr>
      <w:r w:rsidRPr="00554888">
        <w:rPr>
          <w:rFonts w:ascii="Times New Roman" w:hAnsi="Times New Roman" w:cs="Times New Roman"/>
          <w:sz w:val="24"/>
          <w:szCs w:val="24"/>
        </w:rPr>
        <w:t>The SIMPLE IRA total contribut</w:t>
      </w:r>
      <w:r w:rsidR="001C787B">
        <w:rPr>
          <w:rFonts w:ascii="Times New Roman" w:hAnsi="Times New Roman" w:cs="Times New Roman"/>
          <w:sz w:val="24"/>
          <w:szCs w:val="24"/>
        </w:rPr>
        <w:t>ion for the owner is lower</w:t>
      </w:r>
      <w:r w:rsidR="007333F8">
        <w:rPr>
          <w:rFonts w:ascii="Times New Roman" w:hAnsi="Times New Roman" w:cs="Times New Roman"/>
          <w:sz w:val="24"/>
          <w:szCs w:val="24"/>
        </w:rPr>
        <w:t xml:space="preserve"> than the traditional 401(k) contribution</w:t>
      </w:r>
      <w:r w:rsidR="001C787B">
        <w:rPr>
          <w:rFonts w:ascii="Times New Roman" w:hAnsi="Times New Roman" w:cs="Times New Roman"/>
          <w:sz w:val="24"/>
          <w:szCs w:val="24"/>
        </w:rPr>
        <w:t xml:space="preserve"> by $5</w:t>
      </w:r>
      <w:r w:rsidRPr="00554888">
        <w:rPr>
          <w:rFonts w:ascii="Times New Roman" w:hAnsi="Times New Roman" w:cs="Times New Roman"/>
          <w:sz w:val="24"/>
          <w:szCs w:val="24"/>
        </w:rPr>
        <w:t>,</w:t>
      </w:r>
      <w:r w:rsidR="001C787B">
        <w:rPr>
          <w:rFonts w:ascii="Times New Roman" w:hAnsi="Times New Roman" w:cs="Times New Roman"/>
          <w:sz w:val="24"/>
          <w:szCs w:val="24"/>
        </w:rPr>
        <w:t>0</w:t>
      </w:r>
      <w:r w:rsidRPr="00554888">
        <w:rPr>
          <w:rFonts w:ascii="Times New Roman" w:hAnsi="Times New Roman" w:cs="Times New Roman"/>
          <w:sz w:val="24"/>
          <w:szCs w:val="24"/>
        </w:rPr>
        <w:t xml:space="preserve">50. </w:t>
      </w:r>
      <w:r w:rsidR="002D2198" w:rsidRPr="00554888">
        <w:rPr>
          <w:rFonts w:ascii="Times New Roman" w:hAnsi="Times New Roman" w:cs="Times New Roman"/>
          <w:sz w:val="24"/>
          <w:szCs w:val="24"/>
        </w:rPr>
        <w:t>However,</w:t>
      </w:r>
      <w:r w:rsidRPr="00554888">
        <w:rPr>
          <w:rFonts w:ascii="Times New Roman" w:hAnsi="Times New Roman" w:cs="Times New Roman"/>
          <w:sz w:val="24"/>
          <w:szCs w:val="24"/>
        </w:rPr>
        <w:t xml:space="preserve"> the SIMPLE IRA is less costly to establish because it does not require a plan document but only the appropriate IRS forms to adopt. On the other hand, the traditional 401(k) is also a profit sharing plan that would allow for additional profit sharing contributions. In this case, a deductible profit sharing contribution could be made in the traditional 401(k) plan of up to $</w:t>
      </w:r>
      <w:r w:rsidR="001C787B">
        <w:rPr>
          <w:rFonts w:ascii="Times New Roman" w:hAnsi="Times New Roman" w:cs="Times New Roman"/>
          <w:sz w:val="24"/>
          <w:szCs w:val="24"/>
        </w:rPr>
        <w:t>26,700</w:t>
      </w:r>
      <w:r w:rsidRPr="00554888">
        <w:rPr>
          <w:rFonts w:ascii="Times New Roman" w:hAnsi="Times New Roman" w:cs="Times New Roman"/>
          <w:sz w:val="24"/>
          <w:szCs w:val="24"/>
        </w:rPr>
        <w:t xml:space="preserve"> ($</w:t>
      </w:r>
      <w:r w:rsidR="001C787B">
        <w:rPr>
          <w:rFonts w:ascii="Times New Roman" w:hAnsi="Times New Roman" w:cs="Times New Roman"/>
          <w:sz w:val="24"/>
          <w:szCs w:val="24"/>
        </w:rPr>
        <w:t xml:space="preserve">52,000 </w:t>
      </w:r>
      <w:r w:rsidR="007333F8">
        <w:rPr>
          <w:rFonts w:ascii="Times New Roman" w:hAnsi="Times New Roman" w:cs="Times New Roman"/>
          <w:sz w:val="24"/>
          <w:szCs w:val="24"/>
        </w:rPr>
        <w:t>–</w:t>
      </w:r>
      <w:r w:rsidR="001C787B">
        <w:rPr>
          <w:rFonts w:ascii="Times New Roman" w:hAnsi="Times New Roman" w:cs="Times New Roman"/>
          <w:sz w:val="24"/>
          <w:szCs w:val="24"/>
        </w:rPr>
        <w:t xml:space="preserve"> $17,500 </w:t>
      </w:r>
      <w:r w:rsidR="007333F8">
        <w:rPr>
          <w:rFonts w:ascii="Times New Roman" w:hAnsi="Times New Roman" w:cs="Times New Roman"/>
          <w:sz w:val="24"/>
          <w:szCs w:val="24"/>
        </w:rPr>
        <w:t>–</w:t>
      </w:r>
      <w:r w:rsidR="001C787B">
        <w:rPr>
          <w:rFonts w:ascii="Times New Roman" w:hAnsi="Times New Roman" w:cs="Times New Roman"/>
          <w:sz w:val="24"/>
          <w:szCs w:val="24"/>
        </w:rPr>
        <w:t xml:space="preserve"> $7,800</w:t>
      </w:r>
      <w:r w:rsidR="007333F8">
        <w:rPr>
          <w:rFonts w:ascii="Times New Roman" w:hAnsi="Times New Roman" w:cs="Times New Roman"/>
          <w:sz w:val="24"/>
          <w:szCs w:val="24"/>
        </w:rPr>
        <w:t>).</w:t>
      </w:r>
      <w:r w:rsidR="007333F8" w:rsidRPr="00554888">
        <w:rPr>
          <w:rFonts w:ascii="Times New Roman" w:hAnsi="Times New Roman" w:cs="Times New Roman"/>
          <w:sz w:val="24"/>
          <w:szCs w:val="24"/>
        </w:rPr>
        <w:t xml:space="preserve"> </w:t>
      </w:r>
      <w:r w:rsidR="007333F8">
        <w:rPr>
          <w:rFonts w:ascii="Times New Roman" w:hAnsi="Times New Roman" w:cs="Times New Roman"/>
          <w:sz w:val="24"/>
          <w:szCs w:val="24"/>
        </w:rPr>
        <w:t>A</w:t>
      </w:r>
      <w:r w:rsidR="007333F8" w:rsidRPr="00554888">
        <w:rPr>
          <w:rFonts w:ascii="Times New Roman" w:hAnsi="Times New Roman" w:cs="Times New Roman"/>
          <w:sz w:val="24"/>
          <w:szCs w:val="24"/>
        </w:rPr>
        <w:t xml:space="preserve"> </w:t>
      </w:r>
      <w:r w:rsidRPr="00554888">
        <w:rPr>
          <w:rFonts w:ascii="Times New Roman" w:hAnsi="Times New Roman" w:cs="Times New Roman"/>
          <w:sz w:val="24"/>
          <w:szCs w:val="24"/>
        </w:rPr>
        <w:t xml:space="preserve">profit sharing contribution cannot be made for the spouse </w:t>
      </w:r>
      <w:r w:rsidR="007333F8">
        <w:rPr>
          <w:rFonts w:ascii="Times New Roman" w:hAnsi="Times New Roman" w:cs="Times New Roman"/>
          <w:sz w:val="24"/>
          <w:szCs w:val="24"/>
        </w:rPr>
        <w:t>because</w:t>
      </w:r>
      <w:r w:rsidR="007333F8" w:rsidRPr="00554888">
        <w:rPr>
          <w:rFonts w:ascii="Times New Roman" w:hAnsi="Times New Roman" w:cs="Times New Roman"/>
          <w:sz w:val="24"/>
          <w:szCs w:val="24"/>
        </w:rPr>
        <w:t xml:space="preserve"> </w:t>
      </w:r>
      <w:r w:rsidRPr="00554888">
        <w:rPr>
          <w:rFonts w:ascii="Times New Roman" w:hAnsi="Times New Roman" w:cs="Times New Roman"/>
          <w:sz w:val="24"/>
          <w:szCs w:val="24"/>
        </w:rPr>
        <w:t>the annual additions limit is at the maximum, i.e.</w:t>
      </w:r>
      <w:r w:rsidR="007333F8">
        <w:rPr>
          <w:rFonts w:ascii="Times New Roman" w:hAnsi="Times New Roman" w:cs="Times New Roman"/>
          <w:sz w:val="24"/>
          <w:szCs w:val="24"/>
        </w:rPr>
        <w:t>,</w:t>
      </w:r>
      <w:r w:rsidRPr="00554888">
        <w:rPr>
          <w:rFonts w:ascii="Times New Roman" w:hAnsi="Times New Roman" w:cs="Times New Roman"/>
          <w:sz w:val="24"/>
          <w:szCs w:val="24"/>
        </w:rPr>
        <w:t xml:space="preserve"> the lesser of 100</w:t>
      </w:r>
      <w:r w:rsidR="007333F8">
        <w:rPr>
          <w:rFonts w:ascii="Times New Roman" w:hAnsi="Times New Roman" w:cs="Times New Roman"/>
          <w:sz w:val="24"/>
          <w:szCs w:val="24"/>
        </w:rPr>
        <w:t xml:space="preserve"> percent</w:t>
      </w:r>
      <w:r w:rsidR="007333F8" w:rsidRPr="00554888">
        <w:rPr>
          <w:rFonts w:ascii="Times New Roman" w:hAnsi="Times New Roman" w:cs="Times New Roman"/>
          <w:sz w:val="24"/>
          <w:szCs w:val="24"/>
        </w:rPr>
        <w:t xml:space="preserve"> </w:t>
      </w:r>
      <w:r w:rsidRPr="00554888">
        <w:rPr>
          <w:rFonts w:ascii="Times New Roman" w:hAnsi="Times New Roman" w:cs="Times New Roman"/>
          <w:sz w:val="24"/>
          <w:szCs w:val="24"/>
        </w:rPr>
        <w:t>of compensation or $</w:t>
      </w:r>
      <w:r w:rsidR="001C787B">
        <w:rPr>
          <w:rFonts w:ascii="Times New Roman" w:hAnsi="Times New Roman" w:cs="Times New Roman"/>
          <w:sz w:val="24"/>
          <w:szCs w:val="24"/>
        </w:rPr>
        <w:t>52</w:t>
      </w:r>
      <w:r w:rsidRPr="00554888">
        <w:rPr>
          <w:rFonts w:ascii="Times New Roman" w:hAnsi="Times New Roman" w:cs="Times New Roman"/>
          <w:sz w:val="24"/>
          <w:szCs w:val="24"/>
        </w:rPr>
        <w:t>,000, with the deferral and match) whereas the SIMPLE IRA is limited to the deferrals and match only</w:t>
      </w:r>
      <w:r w:rsidR="001C787B">
        <w:rPr>
          <w:rFonts w:ascii="Times New Roman" w:hAnsi="Times New Roman" w:cs="Times New Roman"/>
          <w:sz w:val="24"/>
          <w:szCs w:val="24"/>
        </w:rPr>
        <w:t>.</w:t>
      </w:r>
      <w:r w:rsidR="007333F8">
        <w:rPr>
          <w:rStyle w:val="FootnoteReference"/>
          <w:rFonts w:ascii="Times New Roman" w:hAnsi="Times New Roman" w:cs="Times New Roman"/>
          <w:sz w:val="24"/>
          <w:szCs w:val="24"/>
        </w:rPr>
        <w:footnoteReference w:id="18"/>
      </w:r>
    </w:p>
    <w:p w:rsidR="001C787B" w:rsidRPr="00554888" w:rsidRDefault="001C787B" w:rsidP="001C787B">
      <w:pPr>
        <w:spacing w:after="0" w:line="240" w:lineRule="auto"/>
        <w:ind w:left="720"/>
        <w:rPr>
          <w:rFonts w:ascii="Times New Roman" w:hAnsi="Times New Roman" w:cs="Times New Roman"/>
          <w:sz w:val="24"/>
          <w:szCs w:val="24"/>
        </w:rPr>
      </w:pPr>
    </w:p>
    <w:p w:rsidR="00554888" w:rsidRPr="00554888" w:rsidRDefault="00554888" w:rsidP="00383B6E">
      <w:pPr>
        <w:spacing w:after="0" w:line="240" w:lineRule="auto"/>
        <w:ind w:left="1440"/>
        <w:rPr>
          <w:rFonts w:ascii="Times New Roman" w:hAnsi="Times New Roman" w:cs="Times New Roman"/>
          <w:sz w:val="24"/>
          <w:szCs w:val="24"/>
        </w:rPr>
      </w:pPr>
      <w:r w:rsidRPr="00383B6E">
        <w:rPr>
          <w:rFonts w:ascii="Times New Roman" w:hAnsi="Times New Roman" w:cs="Times New Roman"/>
          <w:b/>
          <w:sz w:val="24"/>
          <w:szCs w:val="24"/>
        </w:rPr>
        <w:t xml:space="preserve">Practice </w:t>
      </w:r>
      <w:r w:rsidR="00623885">
        <w:rPr>
          <w:rFonts w:ascii="Times New Roman" w:hAnsi="Times New Roman" w:cs="Times New Roman"/>
          <w:b/>
          <w:sz w:val="24"/>
          <w:szCs w:val="24"/>
        </w:rPr>
        <w:t>Point:</w:t>
      </w:r>
      <w:r w:rsidRPr="00554888">
        <w:rPr>
          <w:rFonts w:ascii="Times New Roman" w:hAnsi="Times New Roman" w:cs="Times New Roman"/>
          <w:sz w:val="24"/>
          <w:szCs w:val="24"/>
        </w:rPr>
        <w:t xml:space="preserve"> Even though the limit on deductible contributions in a profit sharing plan is 25 percent of compensation, which in this case would be $</w:t>
      </w:r>
      <w:r w:rsidR="00383B6E">
        <w:rPr>
          <w:rFonts w:ascii="Times New Roman" w:hAnsi="Times New Roman" w:cs="Times New Roman"/>
          <w:sz w:val="24"/>
          <w:szCs w:val="24"/>
        </w:rPr>
        <w:t xml:space="preserve">67,000 [($260,000 + $8,000) x </w:t>
      </w:r>
      <w:r w:rsidR="00991067">
        <w:rPr>
          <w:rFonts w:ascii="Times New Roman" w:hAnsi="Times New Roman" w:cs="Times New Roman"/>
          <w:sz w:val="24"/>
          <w:szCs w:val="24"/>
        </w:rPr>
        <w:t>0</w:t>
      </w:r>
      <w:r w:rsidR="00383B6E">
        <w:rPr>
          <w:rFonts w:ascii="Times New Roman" w:hAnsi="Times New Roman" w:cs="Times New Roman"/>
          <w:sz w:val="24"/>
          <w:szCs w:val="24"/>
        </w:rPr>
        <w:t>.25]</w:t>
      </w:r>
      <w:r w:rsidRPr="00554888">
        <w:rPr>
          <w:rFonts w:ascii="Times New Roman" w:hAnsi="Times New Roman" w:cs="Times New Roman"/>
          <w:sz w:val="24"/>
          <w:szCs w:val="24"/>
        </w:rPr>
        <w:t xml:space="preserve"> plus deferrals, the annual additions limit for each participant is the lesser of 100 percent of compensation or $</w:t>
      </w:r>
      <w:r w:rsidR="00383B6E">
        <w:rPr>
          <w:rFonts w:ascii="Times New Roman" w:hAnsi="Times New Roman" w:cs="Times New Roman"/>
          <w:sz w:val="24"/>
          <w:szCs w:val="24"/>
        </w:rPr>
        <w:t>52</w:t>
      </w:r>
      <w:r w:rsidRPr="00554888">
        <w:rPr>
          <w:rFonts w:ascii="Times New Roman" w:hAnsi="Times New Roman" w:cs="Times New Roman"/>
          <w:sz w:val="24"/>
          <w:szCs w:val="24"/>
        </w:rPr>
        <w:t>,000</w:t>
      </w:r>
      <w:r w:rsidR="00383B6E">
        <w:rPr>
          <w:rFonts w:ascii="Times New Roman" w:hAnsi="Times New Roman" w:cs="Times New Roman"/>
          <w:sz w:val="24"/>
          <w:szCs w:val="24"/>
        </w:rPr>
        <w:t>,</w:t>
      </w:r>
      <w:r w:rsidRPr="00554888">
        <w:rPr>
          <w:rFonts w:ascii="Times New Roman" w:hAnsi="Times New Roman" w:cs="Times New Roman"/>
          <w:sz w:val="24"/>
          <w:szCs w:val="24"/>
        </w:rPr>
        <w:t xml:space="preserve"> which includes employee deferrals and all employer contributions</w:t>
      </w:r>
      <w:r w:rsidR="00383B6E">
        <w:rPr>
          <w:rFonts w:ascii="Times New Roman" w:hAnsi="Times New Roman" w:cs="Times New Roman"/>
          <w:sz w:val="24"/>
          <w:szCs w:val="24"/>
        </w:rPr>
        <w:t>,</w:t>
      </w:r>
      <w:r w:rsidRPr="00554888">
        <w:rPr>
          <w:rFonts w:ascii="Times New Roman" w:hAnsi="Times New Roman" w:cs="Times New Roman"/>
          <w:sz w:val="24"/>
          <w:szCs w:val="24"/>
        </w:rPr>
        <w:t xml:space="preserve"> resulting in a limit on the profit sharing contribution of $</w:t>
      </w:r>
      <w:r w:rsidR="00383B6E">
        <w:rPr>
          <w:rFonts w:ascii="Times New Roman" w:hAnsi="Times New Roman" w:cs="Times New Roman"/>
          <w:sz w:val="24"/>
          <w:szCs w:val="24"/>
        </w:rPr>
        <w:t>26,700</w:t>
      </w:r>
      <w:r w:rsidRPr="00554888">
        <w:rPr>
          <w:rFonts w:ascii="Times New Roman" w:hAnsi="Times New Roman" w:cs="Times New Roman"/>
          <w:sz w:val="24"/>
          <w:szCs w:val="24"/>
        </w:rPr>
        <w:t>.</w:t>
      </w:r>
    </w:p>
    <w:p w:rsidR="00383B6E" w:rsidRDefault="00383B6E" w:rsidP="00554888">
      <w:pPr>
        <w:spacing w:after="0" w:line="240" w:lineRule="auto"/>
        <w:ind w:left="720"/>
        <w:rPr>
          <w:rFonts w:ascii="Times New Roman" w:hAnsi="Times New Roman" w:cs="Times New Roman"/>
          <w:sz w:val="24"/>
          <w:szCs w:val="24"/>
        </w:rPr>
      </w:pPr>
    </w:p>
    <w:p w:rsidR="00383B6E" w:rsidRDefault="00383B6E" w:rsidP="00383B6E">
      <w:pPr>
        <w:pStyle w:val="NoSpacing"/>
        <w:ind w:left="720"/>
        <w:rPr>
          <w:rFonts w:ascii="Times New Roman" w:hAnsi="Times New Roman" w:cs="Times New Roman"/>
          <w:b/>
          <w:sz w:val="24"/>
          <w:szCs w:val="24"/>
        </w:rPr>
      </w:pPr>
      <w:r w:rsidRPr="00AE6419">
        <w:rPr>
          <w:rFonts w:ascii="Times New Roman" w:hAnsi="Times New Roman" w:cs="Times New Roman"/>
          <w:b/>
          <w:sz w:val="24"/>
          <w:szCs w:val="24"/>
        </w:rPr>
        <w:t xml:space="preserve">Q. </w:t>
      </w:r>
      <w:r>
        <w:rPr>
          <w:rFonts w:ascii="Times New Roman" w:hAnsi="Times New Roman" w:cs="Times New Roman"/>
          <w:b/>
          <w:sz w:val="24"/>
          <w:szCs w:val="24"/>
        </w:rPr>
        <w:t>9</w:t>
      </w:r>
      <w:r w:rsidRPr="00AE6419">
        <w:rPr>
          <w:rFonts w:ascii="Times New Roman" w:hAnsi="Times New Roman" w:cs="Times New Roman"/>
          <w:b/>
          <w:sz w:val="24"/>
          <w:szCs w:val="24"/>
        </w:rPr>
        <w:t>.0</w:t>
      </w:r>
      <w:r>
        <w:rPr>
          <w:rFonts w:ascii="Times New Roman" w:hAnsi="Times New Roman" w:cs="Times New Roman"/>
          <w:b/>
          <w:sz w:val="24"/>
          <w:szCs w:val="24"/>
        </w:rPr>
        <w:t>5</w:t>
      </w:r>
      <w:r w:rsidRPr="00AE6419">
        <w:rPr>
          <w:rFonts w:ascii="Times New Roman" w:hAnsi="Times New Roman" w:cs="Times New Roman"/>
          <w:b/>
          <w:sz w:val="24"/>
          <w:szCs w:val="24"/>
        </w:rPr>
        <w:t>:</w:t>
      </w:r>
      <w:r w:rsidRPr="00AE6419">
        <w:rPr>
          <w:rFonts w:ascii="Times New Roman" w:hAnsi="Times New Roman" w:cs="Times New Roman"/>
          <w:b/>
          <w:sz w:val="24"/>
          <w:szCs w:val="24"/>
        </w:rPr>
        <w:tab/>
      </w:r>
      <w:r>
        <w:rPr>
          <w:rFonts w:ascii="Times New Roman" w:hAnsi="Times New Roman" w:cs="Times New Roman"/>
          <w:b/>
          <w:sz w:val="24"/>
          <w:szCs w:val="24"/>
        </w:rPr>
        <w:t>How is a SIMPLE IRA administered?</w:t>
      </w:r>
    </w:p>
    <w:p w:rsidR="00383B6E" w:rsidRDefault="00383B6E" w:rsidP="00383B6E">
      <w:pPr>
        <w:pStyle w:val="NoSpacing"/>
        <w:ind w:left="720"/>
        <w:rPr>
          <w:rFonts w:ascii="Times New Roman" w:hAnsi="Times New Roman" w:cs="Times New Roman"/>
          <w:b/>
          <w:sz w:val="24"/>
          <w:szCs w:val="24"/>
        </w:rPr>
      </w:pPr>
    </w:p>
    <w:p w:rsidR="00554888" w:rsidRDefault="00554888" w:rsidP="00554888">
      <w:pPr>
        <w:spacing w:after="0" w:line="240" w:lineRule="auto"/>
        <w:ind w:left="720"/>
        <w:rPr>
          <w:rFonts w:ascii="Times New Roman" w:hAnsi="Times New Roman" w:cs="Times New Roman"/>
          <w:sz w:val="24"/>
          <w:szCs w:val="24"/>
        </w:rPr>
      </w:pPr>
      <w:r w:rsidRPr="00554888">
        <w:rPr>
          <w:rFonts w:ascii="Times New Roman" w:hAnsi="Times New Roman" w:cs="Times New Roman"/>
          <w:sz w:val="24"/>
          <w:szCs w:val="24"/>
        </w:rPr>
        <w:t xml:space="preserve">Because a SIMPLE IRA is not a qualified plan under </w:t>
      </w:r>
      <w:r w:rsidR="00991067">
        <w:rPr>
          <w:rFonts w:ascii="Times New Roman" w:hAnsi="Times New Roman" w:cs="Times New Roman"/>
          <w:sz w:val="24"/>
          <w:szCs w:val="24"/>
        </w:rPr>
        <w:t>Code</w:t>
      </w:r>
      <w:r w:rsidR="00991067" w:rsidRPr="00554888">
        <w:rPr>
          <w:rFonts w:ascii="Times New Roman" w:hAnsi="Times New Roman" w:cs="Times New Roman"/>
          <w:sz w:val="24"/>
          <w:szCs w:val="24"/>
        </w:rPr>
        <w:t xml:space="preserve"> </w:t>
      </w:r>
      <w:r w:rsidRPr="00554888">
        <w:rPr>
          <w:rFonts w:ascii="Times New Roman" w:hAnsi="Times New Roman" w:cs="Times New Roman"/>
          <w:sz w:val="24"/>
          <w:szCs w:val="24"/>
        </w:rPr>
        <w:t>Section 401(a), separate administrative requirements govern the operation of the plan. The first set of guidelines applies to the employer, who must:</w:t>
      </w:r>
    </w:p>
    <w:p w:rsidR="00383B6E" w:rsidRPr="00554888" w:rsidRDefault="00383B6E" w:rsidP="00554888">
      <w:pPr>
        <w:spacing w:after="0" w:line="240" w:lineRule="auto"/>
        <w:ind w:left="720"/>
        <w:rPr>
          <w:rFonts w:ascii="Times New Roman" w:hAnsi="Times New Roman" w:cs="Times New Roman"/>
          <w:sz w:val="24"/>
          <w:szCs w:val="24"/>
        </w:rPr>
      </w:pPr>
    </w:p>
    <w:p w:rsidR="00554888" w:rsidRPr="006F26B6" w:rsidRDefault="00554888" w:rsidP="000101E8">
      <w:pPr>
        <w:pStyle w:val="ListParagraph"/>
        <w:numPr>
          <w:ilvl w:val="0"/>
          <w:numId w:val="6"/>
        </w:numPr>
        <w:spacing w:after="0" w:line="240" w:lineRule="auto"/>
        <w:rPr>
          <w:rFonts w:ascii="Times New Roman" w:hAnsi="Times New Roman" w:cs="Times New Roman"/>
          <w:sz w:val="24"/>
          <w:szCs w:val="24"/>
        </w:rPr>
      </w:pPr>
      <w:r w:rsidRPr="006F26B6">
        <w:rPr>
          <w:rFonts w:ascii="Times New Roman" w:hAnsi="Times New Roman" w:cs="Times New Roman"/>
          <w:sz w:val="24"/>
          <w:szCs w:val="24"/>
        </w:rPr>
        <w:t xml:space="preserve">Make the elective salary deferral contributions not later than </w:t>
      </w:r>
      <w:r w:rsidR="00991067">
        <w:rPr>
          <w:rFonts w:ascii="Times New Roman" w:hAnsi="Times New Roman" w:cs="Times New Roman"/>
          <w:sz w:val="24"/>
          <w:szCs w:val="24"/>
        </w:rPr>
        <w:t>thirty</w:t>
      </w:r>
      <w:r w:rsidR="00991067" w:rsidRPr="006F26B6">
        <w:rPr>
          <w:rFonts w:ascii="Times New Roman" w:hAnsi="Times New Roman" w:cs="Times New Roman"/>
          <w:sz w:val="24"/>
          <w:szCs w:val="24"/>
        </w:rPr>
        <w:t xml:space="preserve"> </w:t>
      </w:r>
      <w:r w:rsidRPr="006F26B6">
        <w:rPr>
          <w:rFonts w:ascii="Times New Roman" w:hAnsi="Times New Roman" w:cs="Times New Roman"/>
          <w:sz w:val="24"/>
          <w:szCs w:val="24"/>
        </w:rPr>
        <w:t>days following the last day of the month in which the deferrals were made.</w:t>
      </w:r>
      <w:r w:rsidR="00991067">
        <w:rPr>
          <w:rStyle w:val="FootnoteReference"/>
          <w:rFonts w:ascii="Times New Roman" w:hAnsi="Times New Roman" w:cs="Times New Roman"/>
          <w:sz w:val="24"/>
          <w:szCs w:val="24"/>
        </w:rPr>
        <w:footnoteReference w:id="19"/>
      </w:r>
      <w:r w:rsidRPr="006F26B6">
        <w:rPr>
          <w:rFonts w:ascii="Times New Roman" w:hAnsi="Times New Roman" w:cs="Times New Roman"/>
          <w:sz w:val="24"/>
          <w:szCs w:val="24"/>
        </w:rPr>
        <w:t xml:space="preserve"> The </w:t>
      </w:r>
      <w:r w:rsidR="000F6D9A">
        <w:rPr>
          <w:rFonts w:ascii="Times New Roman" w:hAnsi="Times New Roman" w:cs="Times New Roman"/>
          <w:sz w:val="24"/>
          <w:szCs w:val="24"/>
        </w:rPr>
        <w:t xml:space="preserve">US </w:t>
      </w:r>
      <w:r w:rsidRPr="006F26B6">
        <w:rPr>
          <w:rFonts w:ascii="Times New Roman" w:hAnsi="Times New Roman" w:cs="Times New Roman"/>
          <w:sz w:val="24"/>
          <w:szCs w:val="24"/>
        </w:rPr>
        <w:t xml:space="preserve">Department of Labor (DOL) has indicated that, under SIMPLE IRA plans, salary reduction contributions must be made to the SIMPLE IRAs as of the earliest date on which the contributions can reasonably be segregated from the employer’s general assets, but in no event later than the </w:t>
      </w:r>
      <w:r w:rsidR="000F6D9A">
        <w:rPr>
          <w:rFonts w:ascii="Times New Roman" w:hAnsi="Times New Roman" w:cs="Times New Roman"/>
          <w:sz w:val="24"/>
          <w:szCs w:val="24"/>
        </w:rPr>
        <w:t>thirty-</w:t>
      </w:r>
      <w:r w:rsidRPr="006F26B6">
        <w:rPr>
          <w:rFonts w:ascii="Times New Roman" w:hAnsi="Times New Roman" w:cs="Times New Roman"/>
          <w:sz w:val="24"/>
          <w:szCs w:val="24"/>
        </w:rPr>
        <w:t>day deadline.</w:t>
      </w:r>
    </w:p>
    <w:p w:rsidR="006F26B6" w:rsidRDefault="006F26B6" w:rsidP="006F26B6">
      <w:pPr>
        <w:spacing w:after="0" w:line="240" w:lineRule="auto"/>
        <w:ind w:left="720"/>
        <w:rPr>
          <w:rFonts w:ascii="Times New Roman" w:hAnsi="Times New Roman" w:cs="Times New Roman"/>
          <w:sz w:val="24"/>
          <w:szCs w:val="24"/>
        </w:rPr>
      </w:pPr>
    </w:p>
    <w:p w:rsidR="00554888" w:rsidRPr="006F26B6" w:rsidRDefault="00554888" w:rsidP="000101E8">
      <w:pPr>
        <w:pStyle w:val="ListParagraph"/>
        <w:numPr>
          <w:ilvl w:val="0"/>
          <w:numId w:val="6"/>
        </w:numPr>
        <w:spacing w:after="0" w:line="240" w:lineRule="auto"/>
        <w:rPr>
          <w:rFonts w:ascii="Times New Roman" w:hAnsi="Times New Roman" w:cs="Times New Roman"/>
          <w:sz w:val="24"/>
          <w:szCs w:val="24"/>
        </w:rPr>
      </w:pPr>
      <w:r w:rsidRPr="006F26B6">
        <w:rPr>
          <w:rFonts w:ascii="Times New Roman" w:hAnsi="Times New Roman" w:cs="Times New Roman"/>
          <w:sz w:val="24"/>
          <w:szCs w:val="24"/>
        </w:rPr>
        <w:lastRenderedPageBreak/>
        <w:t xml:space="preserve">Make the matching contribution or the </w:t>
      </w:r>
      <w:proofErr w:type="spellStart"/>
      <w:r w:rsidRPr="006F26B6">
        <w:rPr>
          <w:rFonts w:ascii="Times New Roman" w:hAnsi="Times New Roman" w:cs="Times New Roman"/>
          <w:sz w:val="24"/>
          <w:szCs w:val="24"/>
        </w:rPr>
        <w:t>nonelective</w:t>
      </w:r>
      <w:proofErr w:type="spellEnd"/>
      <w:r w:rsidRPr="006F26B6">
        <w:rPr>
          <w:rFonts w:ascii="Times New Roman" w:hAnsi="Times New Roman" w:cs="Times New Roman"/>
          <w:sz w:val="24"/>
          <w:szCs w:val="24"/>
        </w:rPr>
        <w:t xml:space="preserve"> employer contribution not later than the time required to file the employer’s tax return for the year, including extensions</w:t>
      </w:r>
      <w:r w:rsidR="006F26B6" w:rsidRPr="006F26B6">
        <w:rPr>
          <w:rFonts w:ascii="Times New Roman" w:hAnsi="Times New Roman" w:cs="Times New Roman"/>
          <w:sz w:val="24"/>
          <w:szCs w:val="24"/>
        </w:rPr>
        <w:t>.</w:t>
      </w:r>
      <w:r w:rsidR="000F6D9A">
        <w:rPr>
          <w:rStyle w:val="FootnoteReference"/>
          <w:rFonts w:ascii="Times New Roman" w:hAnsi="Times New Roman" w:cs="Times New Roman"/>
          <w:sz w:val="24"/>
          <w:szCs w:val="24"/>
        </w:rPr>
        <w:footnoteReference w:id="20"/>
      </w:r>
    </w:p>
    <w:p w:rsidR="006F26B6" w:rsidRPr="00554888" w:rsidRDefault="006F26B6" w:rsidP="006F26B6">
      <w:pPr>
        <w:spacing w:after="0" w:line="240" w:lineRule="auto"/>
        <w:ind w:left="720"/>
        <w:rPr>
          <w:rFonts w:ascii="Times New Roman" w:hAnsi="Times New Roman" w:cs="Times New Roman"/>
          <w:sz w:val="24"/>
          <w:szCs w:val="24"/>
        </w:rPr>
      </w:pPr>
    </w:p>
    <w:p w:rsidR="006F26B6" w:rsidRPr="006F26B6" w:rsidRDefault="00554888" w:rsidP="000101E8">
      <w:pPr>
        <w:pStyle w:val="ListParagraph"/>
        <w:numPr>
          <w:ilvl w:val="0"/>
          <w:numId w:val="6"/>
        </w:numPr>
        <w:spacing w:after="0" w:line="240" w:lineRule="auto"/>
        <w:rPr>
          <w:rFonts w:ascii="Times New Roman" w:hAnsi="Times New Roman" w:cs="Times New Roman"/>
          <w:sz w:val="24"/>
          <w:szCs w:val="24"/>
        </w:rPr>
      </w:pPr>
      <w:r w:rsidRPr="006F26B6">
        <w:rPr>
          <w:rFonts w:ascii="Times New Roman" w:hAnsi="Times New Roman" w:cs="Times New Roman"/>
          <w:sz w:val="24"/>
          <w:szCs w:val="24"/>
        </w:rPr>
        <w:t>Allow an employee to terminate withholding of salary deferrals at any time during the year. If terminated, the employer may prohibit the employee from reactivating his or her deferrals until the beginning of the following plan year</w:t>
      </w:r>
      <w:r w:rsidR="006F26B6" w:rsidRPr="006F26B6">
        <w:rPr>
          <w:rFonts w:ascii="Times New Roman" w:hAnsi="Times New Roman" w:cs="Times New Roman"/>
          <w:sz w:val="24"/>
          <w:szCs w:val="24"/>
        </w:rPr>
        <w:t>.</w:t>
      </w:r>
      <w:r w:rsidR="000F6D9A">
        <w:rPr>
          <w:rStyle w:val="FootnoteReference"/>
          <w:rFonts w:ascii="Times New Roman" w:hAnsi="Times New Roman" w:cs="Times New Roman"/>
          <w:sz w:val="24"/>
          <w:szCs w:val="24"/>
        </w:rPr>
        <w:footnoteReference w:id="21"/>
      </w:r>
    </w:p>
    <w:p w:rsidR="006F26B6" w:rsidRDefault="006F26B6" w:rsidP="006F26B6">
      <w:pPr>
        <w:spacing w:after="0" w:line="240" w:lineRule="auto"/>
        <w:ind w:left="720"/>
        <w:rPr>
          <w:rFonts w:ascii="Times New Roman" w:hAnsi="Times New Roman" w:cs="Times New Roman"/>
          <w:sz w:val="24"/>
          <w:szCs w:val="24"/>
        </w:rPr>
      </w:pPr>
    </w:p>
    <w:p w:rsidR="00554888" w:rsidRPr="006F26B6" w:rsidRDefault="00554888" w:rsidP="000101E8">
      <w:pPr>
        <w:pStyle w:val="ListParagraph"/>
        <w:numPr>
          <w:ilvl w:val="0"/>
          <w:numId w:val="6"/>
        </w:numPr>
        <w:spacing w:after="0" w:line="240" w:lineRule="auto"/>
        <w:rPr>
          <w:rFonts w:ascii="Times New Roman" w:hAnsi="Times New Roman" w:cs="Times New Roman"/>
          <w:sz w:val="24"/>
          <w:szCs w:val="24"/>
        </w:rPr>
      </w:pPr>
      <w:r w:rsidRPr="006F26B6">
        <w:rPr>
          <w:rFonts w:ascii="Times New Roman" w:hAnsi="Times New Roman" w:cs="Times New Roman"/>
          <w:sz w:val="24"/>
          <w:szCs w:val="24"/>
        </w:rPr>
        <w:t xml:space="preserve">Allow each eligible employee to elect to participate in or modify his or her election during the </w:t>
      </w:r>
      <w:r w:rsidR="000F6D9A">
        <w:rPr>
          <w:rFonts w:ascii="Times New Roman" w:hAnsi="Times New Roman" w:cs="Times New Roman"/>
          <w:sz w:val="24"/>
          <w:szCs w:val="24"/>
        </w:rPr>
        <w:t>sixty</w:t>
      </w:r>
      <w:r w:rsidRPr="006F26B6">
        <w:rPr>
          <w:rFonts w:ascii="Times New Roman" w:hAnsi="Times New Roman" w:cs="Times New Roman"/>
          <w:sz w:val="24"/>
          <w:szCs w:val="24"/>
        </w:rPr>
        <w:t>-day period before the beginning of the plan year or before the first day the employee is eligible to participate.</w:t>
      </w:r>
      <w:r w:rsidR="000F6D9A">
        <w:rPr>
          <w:rStyle w:val="FootnoteReference"/>
          <w:rFonts w:ascii="Times New Roman" w:hAnsi="Times New Roman" w:cs="Times New Roman"/>
          <w:sz w:val="24"/>
          <w:szCs w:val="24"/>
        </w:rPr>
        <w:footnoteReference w:id="22"/>
      </w:r>
    </w:p>
    <w:p w:rsidR="006F26B6" w:rsidRPr="00554888" w:rsidRDefault="006F26B6" w:rsidP="006F26B6">
      <w:pPr>
        <w:spacing w:after="0" w:line="240" w:lineRule="auto"/>
        <w:rPr>
          <w:rFonts w:ascii="Times New Roman" w:hAnsi="Times New Roman" w:cs="Times New Roman"/>
          <w:sz w:val="24"/>
          <w:szCs w:val="24"/>
        </w:rPr>
      </w:pPr>
    </w:p>
    <w:p w:rsidR="00554888" w:rsidRPr="004B76E0" w:rsidRDefault="00554888" w:rsidP="006F26B6">
      <w:pPr>
        <w:spacing w:after="0" w:line="240" w:lineRule="auto"/>
        <w:ind w:left="1440"/>
        <w:rPr>
          <w:rFonts w:ascii="Times New Roman" w:hAnsi="Times New Roman" w:cs="Times New Roman"/>
          <w:i/>
          <w:sz w:val="24"/>
          <w:szCs w:val="24"/>
        </w:rPr>
      </w:pPr>
    </w:p>
    <w:p w:rsidR="006F26B6" w:rsidRPr="00554888" w:rsidRDefault="006F26B6" w:rsidP="00554888">
      <w:pPr>
        <w:spacing w:after="0" w:line="240" w:lineRule="auto"/>
        <w:ind w:left="720"/>
        <w:rPr>
          <w:rFonts w:ascii="Times New Roman" w:hAnsi="Times New Roman" w:cs="Times New Roman"/>
          <w:sz w:val="24"/>
          <w:szCs w:val="24"/>
        </w:rPr>
      </w:pPr>
    </w:p>
    <w:p w:rsidR="00554888" w:rsidRDefault="00554888" w:rsidP="004B4C1A">
      <w:pPr>
        <w:spacing w:after="0" w:line="240" w:lineRule="auto"/>
        <w:ind w:left="720"/>
        <w:rPr>
          <w:rFonts w:ascii="Times New Roman" w:hAnsi="Times New Roman" w:cs="Times New Roman"/>
          <w:sz w:val="24"/>
          <w:szCs w:val="24"/>
        </w:rPr>
      </w:pPr>
      <w:r w:rsidRPr="00554888">
        <w:rPr>
          <w:rFonts w:ascii="Times New Roman" w:hAnsi="Times New Roman" w:cs="Times New Roman"/>
          <w:sz w:val="24"/>
          <w:szCs w:val="24"/>
        </w:rPr>
        <w:t>A SIMPLE IRA is not required to file Form 5500</w:t>
      </w:r>
      <w:r w:rsidR="00276525">
        <w:rPr>
          <w:rFonts w:ascii="Times New Roman" w:hAnsi="Times New Roman" w:cs="Times New Roman"/>
          <w:sz w:val="24"/>
          <w:szCs w:val="24"/>
        </w:rPr>
        <w:t xml:space="preserve">, </w:t>
      </w:r>
      <w:r w:rsidR="00276525" w:rsidRPr="00276525">
        <w:rPr>
          <w:rStyle w:val="st"/>
          <w:rFonts w:ascii="Times New Roman" w:hAnsi="Times New Roman" w:cs="Times New Roman"/>
          <w:sz w:val="24"/>
          <w:szCs w:val="24"/>
        </w:rPr>
        <w:t>Annual Return/Report of Employee Benefit Plan,</w:t>
      </w:r>
      <w:r w:rsidRPr="00554888">
        <w:rPr>
          <w:rFonts w:ascii="Times New Roman" w:hAnsi="Times New Roman" w:cs="Times New Roman"/>
          <w:sz w:val="24"/>
          <w:szCs w:val="24"/>
        </w:rPr>
        <w:t xml:space="preserve"> as are plans qualified under </w:t>
      </w:r>
      <w:r w:rsidR="00276525">
        <w:rPr>
          <w:rFonts w:ascii="Times New Roman" w:hAnsi="Times New Roman" w:cs="Times New Roman"/>
          <w:sz w:val="24"/>
          <w:szCs w:val="24"/>
        </w:rPr>
        <w:t>Code</w:t>
      </w:r>
      <w:r w:rsidR="00276525" w:rsidRPr="00554888">
        <w:rPr>
          <w:rFonts w:ascii="Times New Roman" w:hAnsi="Times New Roman" w:cs="Times New Roman"/>
          <w:sz w:val="24"/>
          <w:szCs w:val="24"/>
        </w:rPr>
        <w:t xml:space="preserve"> </w:t>
      </w:r>
      <w:r w:rsidRPr="00554888">
        <w:rPr>
          <w:rFonts w:ascii="Times New Roman" w:hAnsi="Times New Roman" w:cs="Times New Roman"/>
          <w:sz w:val="24"/>
          <w:szCs w:val="24"/>
        </w:rPr>
        <w:t>Section 401(a). In addition, the employer is not subject to fiduciary liability resulting from the employee exercising control over the assets in the SIMPLE account. The employee will be treated as exercising control over the assets in his or her account at the earlier of:</w:t>
      </w:r>
    </w:p>
    <w:p w:rsidR="006F26B6" w:rsidRPr="00554888" w:rsidRDefault="006F26B6" w:rsidP="00554888">
      <w:pPr>
        <w:spacing w:after="0" w:line="240" w:lineRule="auto"/>
        <w:ind w:left="720"/>
        <w:rPr>
          <w:rFonts w:ascii="Times New Roman" w:hAnsi="Times New Roman" w:cs="Times New Roman"/>
          <w:sz w:val="24"/>
          <w:szCs w:val="24"/>
        </w:rPr>
      </w:pPr>
    </w:p>
    <w:p w:rsidR="00554888" w:rsidRPr="006F26B6" w:rsidRDefault="00276525" w:rsidP="000101E8">
      <w:pPr>
        <w:pStyle w:val="ListParagraph"/>
        <w:numPr>
          <w:ilvl w:val="0"/>
          <w:numId w:val="7"/>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a</w:t>
      </w:r>
      <w:r w:rsidRPr="006F26B6">
        <w:rPr>
          <w:rFonts w:ascii="Times New Roman" w:hAnsi="Times New Roman" w:cs="Times New Roman"/>
          <w:sz w:val="24"/>
          <w:szCs w:val="24"/>
        </w:rPr>
        <w:t xml:space="preserve">n </w:t>
      </w:r>
      <w:r w:rsidR="00554888" w:rsidRPr="006F26B6">
        <w:rPr>
          <w:rFonts w:ascii="Times New Roman" w:hAnsi="Times New Roman" w:cs="Times New Roman"/>
          <w:sz w:val="24"/>
          <w:szCs w:val="24"/>
        </w:rPr>
        <w:t>affirmative election with respect to the initial investment of any contributions</w:t>
      </w:r>
      <w:r>
        <w:rPr>
          <w:rFonts w:ascii="Times New Roman" w:hAnsi="Times New Roman" w:cs="Times New Roman"/>
          <w:sz w:val="24"/>
          <w:szCs w:val="24"/>
        </w:rPr>
        <w:t>,</w:t>
      </w:r>
    </w:p>
    <w:p w:rsidR="006F26B6" w:rsidRDefault="006F26B6" w:rsidP="004B4C1A">
      <w:pPr>
        <w:spacing w:after="0" w:line="240" w:lineRule="auto"/>
        <w:ind w:left="1440"/>
        <w:rPr>
          <w:rFonts w:ascii="Times New Roman" w:hAnsi="Times New Roman" w:cs="Times New Roman"/>
          <w:sz w:val="24"/>
          <w:szCs w:val="24"/>
        </w:rPr>
      </w:pPr>
    </w:p>
    <w:p w:rsidR="00554888" w:rsidRPr="006F26B6" w:rsidRDefault="00276525" w:rsidP="000101E8">
      <w:pPr>
        <w:pStyle w:val="ListParagraph"/>
        <w:numPr>
          <w:ilvl w:val="0"/>
          <w:numId w:val="7"/>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a</w:t>
      </w:r>
      <w:r w:rsidRPr="006F26B6">
        <w:rPr>
          <w:rFonts w:ascii="Times New Roman" w:hAnsi="Times New Roman" w:cs="Times New Roman"/>
          <w:sz w:val="24"/>
          <w:szCs w:val="24"/>
        </w:rPr>
        <w:t xml:space="preserve"> </w:t>
      </w:r>
      <w:r w:rsidR="00554888" w:rsidRPr="006F26B6">
        <w:rPr>
          <w:rFonts w:ascii="Times New Roman" w:hAnsi="Times New Roman" w:cs="Times New Roman"/>
          <w:sz w:val="24"/>
          <w:szCs w:val="24"/>
        </w:rPr>
        <w:t>rollover contribution to another SIMPLE account or IRA; or</w:t>
      </w:r>
    </w:p>
    <w:p w:rsidR="006F26B6" w:rsidRDefault="006F26B6" w:rsidP="004B4C1A">
      <w:pPr>
        <w:spacing w:after="0" w:line="240" w:lineRule="auto"/>
        <w:ind w:left="1440"/>
        <w:rPr>
          <w:rFonts w:ascii="Times New Roman" w:hAnsi="Times New Roman" w:cs="Times New Roman"/>
          <w:sz w:val="24"/>
          <w:szCs w:val="24"/>
        </w:rPr>
      </w:pPr>
    </w:p>
    <w:p w:rsidR="00554888" w:rsidRPr="006F26B6" w:rsidRDefault="00276525" w:rsidP="000101E8">
      <w:pPr>
        <w:pStyle w:val="ListParagraph"/>
        <w:numPr>
          <w:ilvl w:val="0"/>
          <w:numId w:val="7"/>
        </w:numPr>
        <w:spacing w:after="0" w:line="240" w:lineRule="auto"/>
        <w:ind w:left="2160"/>
        <w:rPr>
          <w:rFonts w:ascii="Times New Roman" w:hAnsi="Times New Roman" w:cs="Times New Roman"/>
          <w:sz w:val="24"/>
          <w:szCs w:val="24"/>
        </w:rPr>
      </w:pPr>
      <w:proofErr w:type="gramStart"/>
      <w:r>
        <w:rPr>
          <w:rFonts w:ascii="Times New Roman" w:hAnsi="Times New Roman" w:cs="Times New Roman"/>
          <w:sz w:val="24"/>
          <w:szCs w:val="24"/>
        </w:rPr>
        <w:t>o</w:t>
      </w:r>
      <w:r w:rsidRPr="006F26B6">
        <w:rPr>
          <w:rFonts w:ascii="Times New Roman" w:hAnsi="Times New Roman" w:cs="Times New Roman"/>
          <w:sz w:val="24"/>
          <w:szCs w:val="24"/>
        </w:rPr>
        <w:t>ne</w:t>
      </w:r>
      <w:proofErr w:type="gramEnd"/>
      <w:r w:rsidRPr="006F26B6">
        <w:rPr>
          <w:rFonts w:ascii="Times New Roman" w:hAnsi="Times New Roman" w:cs="Times New Roman"/>
          <w:sz w:val="24"/>
          <w:szCs w:val="24"/>
        </w:rPr>
        <w:t xml:space="preserve"> </w:t>
      </w:r>
      <w:r w:rsidR="00554888" w:rsidRPr="006F26B6">
        <w:rPr>
          <w:rFonts w:ascii="Times New Roman" w:hAnsi="Times New Roman" w:cs="Times New Roman"/>
          <w:sz w:val="24"/>
          <w:szCs w:val="24"/>
        </w:rPr>
        <w:t>year after the SIMPLE account is established</w:t>
      </w:r>
      <w:r w:rsidR="006F26B6" w:rsidRPr="006F26B6">
        <w:rPr>
          <w:rFonts w:ascii="Times New Roman" w:hAnsi="Times New Roman" w:cs="Times New Roman"/>
          <w:sz w:val="24"/>
          <w:szCs w:val="24"/>
        </w:rPr>
        <w:t>.</w:t>
      </w:r>
      <w:r>
        <w:rPr>
          <w:rStyle w:val="FootnoteReference"/>
          <w:rFonts w:ascii="Times New Roman" w:hAnsi="Times New Roman" w:cs="Times New Roman"/>
          <w:sz w:val="24"/>
          <w:szCs w:val="24"/>
        </w:rPr>
        <w:footnoteReference w:id="23"/>
      </w:r>
    </w:p>
    <w:p w:rsidR="006F26B6" w:rsidRDefault="006F26B6" w:rsidP="00554888">
      <w:pPr>
        <w:spacing w:after="0" w:line="240" w:lineRule="auto"/>
        <w:ind w:left="720"/>
        <w:rPr>
          <w:rFonts w:ascii="Times New Roman" w:hAnsi="Times New Roman" w:cs="Times New Roman"/>
          <w:sz w:val="24"/>
          <w:szCs w:val="24"/>
        </w:rPr>
      </w:pPr>
    </w:p>
    <w:p w:rsidR="00554888" w:rsidRDefault="00554888" w:rsidP="004B4C1A">
      <w:pPr>
        <w:spacing w:after="0" w:line="240" w:lineRule="auto"/>
        <w:ind w:left="720"/>
        <w:rPr>
          <w:rFonts w:ascii="Times New Roman" w:hAnsi="Times New Roman" w:cs="Times New Roman"/>
          <w:sz w:val="24"/>
          <w:szCs w:val="24"/>
        </w:rPr>
      </w:pPr>
      <w:r w:rsidRPr="00554888">
        <w:rPr>
          <w:rFonts w:ascii="Times New Roman" w:hAnsi="Times New Roman" w:cs="Times New Roman"/>
          <w:sz w:val="24"/>
          <w:szCs w:val="24"/>
        </w:rPr>
        <w:t xml:space="preserve">Regarding the SIMPLE IRA accounts, the </w:t>
      </w:r>
      <w:r w:rsidR="009E3979">
        <w:rPr>
          <w:rFonts w:ascii="Times New Roman" w:hAnsi="Times New Roman" w:cs="Times New Roman"/>
          <w:sz w:val="24"/>
          <w:szCs w:val="24"/>
        </w:rPr>
        <w:t>sixty</w:t>
      </w:r>
      <w:r w:rsidRPr="00554888">
        <w:rPr>
          <w:rFonts w:ascii="Times New Roman" w:hAnsi="Times New Roman" w:cs="Times New Roman"/>
          <w:sz w:val="24"/>
          <w:szCs w:val="24"/>
        </w:rPr>
        <w:t>-day election notice must also disclose the employee’s ability to select the financial institution that will serve as the trustee for the employee’s SIMPLE IRA account</w:t>
      </w:r>
      <w:r w:rsidR="006F26B6">
        <w:rPr>
          <w:rFonts w:ascii="Times New Roman" w:hAnsi="Times New Roman" w:cs="Times New Roman"/>
          <w:sz w:val="24"/>
          <w:szCs w:val="24"/>
        </w:rPr>
        <w:t>.</w:t>
      </w:r>
      <w:r w:rsidR="009E3979">
        <w:rPr>
          <w:rStyle w:val="FootnoteReference"/>
          <w:rFonts w:ascii="Times New Roman" w:hAnsi="Times New Roman" w:cs="Times New Roman"/>
          <w:sz w:val="24"/>
          <w:szCs w:val="24"/>
        </w:rPr>
        <w:footnoteReference w:id="24"/>
      </w:r>
      <w:r w:rsidRPr="00554888">
        <w:rPr>
          <w:rFonts w:ascii="Times New Roman" w:hAnsi="Times New Roman" w:cs="Times New Roman"/>
          <w:sz w:val="24"/>
          <w:szCs w:val="24"/>
        </w:rPr>
        <w:t xml:space="preserve"> If several employees are participating and each chooses a different trustee, a separate check must be sent to each trustee for that employee’s deferrals. This could create quite an administrative cost and burden for the employer. To avoid this problem, the employer may require that all contributions be made to a specific financial institution, a “designated financial institution</w:t>
      </w:r>
      <w:r w:rsidR="00C56CA2">
        <w:rPr>
          <w:rFonts w:ascii="Times New Roman" w:hAnsi="Times New Roman" w:cs="Times New Roman"/>
          <w:sz w:val="24"/>
          <w:szCs w:val="24"/>
        </w:rPr>
        <w:t>.</w:t>
      </w:r>
      <w:r w:rsidRPr="00554888">
        <w:rPr>
          <w:rFonts w:ascii="Times New Roman" w:hAnsi="Times New Roman" w:cs="Times New Roman"/>
          <w:sz w:val="24"/>
          <w:szCs w:val="24"/>
        </w:rPr>
        <w:t>”</w:t>
      </w:r>
      <w:r w:rsidR="00E47E77">
        <w:rPr>
          <w:rStyle w:val="FootnoteReference"/>
          <w:rFonts w:ascii="Times New Roman" w:hAnsi="Times New Roman" w:cs="Times New Roman"/>
          <w:sz w:val="24"/>
          <w:szCs w:val="24"/>
        </w:rPr>
        <w:footnoteReference w:id="25"/>
      </w:r>
      <w:r w:rsidR="006F26B6">
        <w:rPr>
          <w:rFonts w:ascii="Times New Roman" w:hAnsi="Times New Roman" w:cs="Times New Roman"/>
          <w:sz w:val="24"/>
          <w:szCs w:val="24"/>
        </w:rPr>
        <w:t xml:space="preserve"> </w:t>
      </w:r>
      <w:r w:rsidRPr="00554888">
        <w:rPr>
          <w:rFonts w:ascii="Times New Roman" w:hAnsi="Times New Roman" w:cs="Times New Roman"/>
          <w:sz w:val="24"/>
          <w:szCs w:val="24"/>
        </w:rPr>
        <w:t>To qualify, the financial institution must:</w:t>
      </w:r>
    </w:p>
    <w:p w:rsidR="006F26B6" w:rsidRPr="00554888" w:rsidRDefault="006F26B6" w:rsidP="006F26B6">
      <w:pPr>
        <w:spacing w:after="0" w:line="240" w:lineRule="auto"/>
        <w:ind w:left="1440"/>
        <w:rPr>
          <w:rFonts w:ascii="Times New Roman" w:hAnsi="Times New Roman" w:cs="Times New Roman"/>
          <w:sz w:val="24"/>
          <w:szCs w:val="24"/>
        </w:rPr>
      </w:pPr>
    </w:p>
    <w:p w:rsidR="00554888" w:rsidRPr="006F26B6" w:rsidRDefault="00554888" w:rsidP="000101E8">
      <w:pPr>
        <w:pStyle w:val="ListParagraph"/>
        <w:numPr>
          <w:ilvl w:val="0"/>
          <w:numId w:val="8"/>
        </w:numPr>
        <w:spacing w:after="0" w:line="240" w:lineRule="auto"/>
        <w:ind w:left="2160"/>
        <w:rPr>
          <w:rFonts w:ascii="Times New Roman" w:hAnsi="Times New Roman" w:cs="Times New Roman"/>
          <w:sz w:val="24"/>
          <w:szCs w:val="24"/>
        </w:rPr>
      </w:pPr>
      <w:r w:rsidRPr="006F26B6">
        <w:rPr>
          <w:rFonts w:ascii="Times New Roman" w:hAnsi="Times New Roman" w:cs="Times New Roman"/>
          <w:sz w:val="24"/>
          <w:szCs w:val="24"/>
        </w:rPr>
        <w:lastRenderedPageBreak/>
        <w:t>Agree that if a participant requests, his</w:t>
      </w:r>
      <w:bookmarkStart w:id="0" w:name="_GoBack"/>
      <w:bookmarkEnd w:id="0"/>
      <w:r w:rsidRPr="006F26B6">
        <w:rPr>
          <w:rFonts w:ascii="Times New Roman" w:hAnsi="Times New Roman" w:cs="Times New Roman"/>
          <w:sz w:val="24"/>
          <w:szCs w:val="24"/>
        </w:rPr>
        <w:t xml:space="preserve"> or her contribution must be transferred without cost or penalty to another SIMPLE IRA account at a different financial institution of his or her choice, and</w:t>
      </w:r>
    </w:p>
    <w:p w:rsidR="006F26B6" w:rsidRPr="006F26B6" w:rsidRDefault="006F26B6" w:rsidP="004B4C1A">
      <w:pPr>
        <w:pStyle w:val="ListParagraph"/>
        <w:spacing w:after="0" w:line="240" w:lineRule="auto"/>
        <w:ind w:left="2160"/>
        <w:rPr>
          <w:rFonts w:ascii="Times New Roman" w:hAnsi="Times New Roman" w:cs="Times New Roman"/>
          <w:sz w:val="24"/>
          <w:szCs w:val="24"/>
        </w:rPr>
      </w:pPr>
    </w:p>
    <w:p w:rsidR="006F26B6" w:rsidRDefault="006F26B6" w:rsidP="004B4C1A">
      <w:pPr>
        <w:spacing w:after="0" w:line="240" w:lineRule="auto"/>
        <w:ind w:left="1440"/>
        <w:rPr>
          <w:rFonts w:ascii="Times New Roman" w:hAnsi="Times New Roman" w:cs="Times New Roman"/>
          <w:sz w:val="24"/>
          <w:szCs w:val="24"/>
        </w:rPr>
      </w:pPr>
    </w:p>
    <w:p w:rsidR="00554888" w:rsidRPr="006F26B6" w:rsidRDefault="00554888" w:rsidP="000101E8">
      <w:pPr>
        <w:pStyle w:val="ListParagraph"/>
        <w:numPr>
          <w:ilvl w:val="0"/>
          <w:numId w:val="8"/>
        </w:numPr>
        <w:spacing w:after="0" w:line="240" w:lineRule="auto"/>
        <w:ind w:left="2160"/>
        <w:rPr>
          <w:rFonts w:ascii="Times New Roman" w:hAnsi="Times New Roman" w:cs="Times New Roman"/>
          <w:sz w:val="24"/>
          <w:szCs w:val="24"/>
        </w:rPr>
      </w:pPr>
      <w:r w:rsidRPr="006F26B6">
        <w:rPr>
          <w:rFonts w:ascii="Times New Roman" w:hAnsi="Times New Roman" w:cs="Times New Roman"/>
          <w:sz w:val="24"/>
          <w:szCs w:val="24"/>
        </w:rPr>
        <w:t xml:space="preserve">Provide each participant with written notification describing the </w:t>
      </w:r>
      <w:proofErr w:type="gramStart"/>
      <w:r w:rsidRPr="006F26B6">
        <w:rPr>
          <w:rFonts w:ascii="Times New Roman" w:hAnsi="Times New Roman" w:cs="Times New Roman"/>
          <w:sz w:val="24"/>
          <w:szCs w:val="24"/>
        </w:rPr>
        <w:t>procedure under which that transfer</w:t>
      </w:r>
      <w:proofErr w:type="gramEnd"/>
      <w:r w:rsidRPr="006F26B6">
        <w:rPr>
          <w:rFonts w:ascii="Times New Roman" w:hAnsi="Times New Roman" w:cs="Times New Roman"/>
          <w:sz w:val="24"/>
          <w:szCs w:val="24"/>
        </w:rPr>
        <w:t xml:space="preserve"> will be executed</w:t>
      </w:r>
      <w:r w:rsidR="006F26B6" w:rsidRPr="006F26B6">
        <w:rPr>
          <w:rFonts w:ascii="Times New Roman" w:hAnsi="Times New Roman" w:cs="Times New Roman"/>
          <w:sz w:val="24"/>
          <w:szCs w:val="24"/>
        </w:rPr>
        <w:t>.</w:t>
      </w:r>
      <w:r w:rsidR="003675FB">
        <w:rPr>
          <w:rStyle w:val="FootnoteReference"/>
          <w:rFonts w:ascii="Times New Roman" w:hAnsi="Times New Roman" w:cs="Times New Roman"/>
          <w:sz w:val="24"/>
          <w:szCs w:val="24"/>
        </w:rPr>
        <w:footnoteReference w:id="26"/>
      </w:r>
    </w:p>
    <w:p w:rsidR="006F26B6" w:rsidRDefault="006F26B6" w:rsidP="006F26B6">
      <w:pPr>
        <w:spacing w:after="0" w:line="240" w:lineRule="auto"/>
        <w:ind w:left="2160"/>
        <w:rPr>
          <w:rFonts w:ascii="Times New Roman" w:hAnsi="Times New Roman" w:cs="Times New Roman"/>
          <w:sz w:val="24"/>
          <w:szCs w:val="24"/>
        </w:rPr>
      </w:pPr>
    </w:p>
    <w:p w:rsidR="00554888" w:rsidRPr="0066141B" w:rsidRDefault="00554888" w:rsidP="004B4C1A">
      <w:pPr>
        <w:spacing w:after="0" w:line="240" w:lineRule="auto"/>
        <w:ind w:left="1440"/>
        <w:rPr>
          <w:rFonts w:ascii="Times New Roman" w:hAnsi="Times New Roman" w:cs="Times New Roman"/>
          <w:i/>
          <w:sz w:val="24"/>
          <w:szCs w:val="24"/>
        </w:rPr>
      </w:pPr>
      <w:r w:rsidRPr="006F26B6">
        <w:rPr>
          <w:rFonts w:ascii="Times New Roman" w:hAnsi="Times New Roman" w:cs="Times New Roman"/>
          <w:b/>
          <w:sz w:val="24"/>
          <w:szCs w:val="24"/>
        </w:rPr>
        <w:t xml:space="preserve">Practice </w:t>
      </w:r>
      <w:r w:rsidR="00623885" w:rsidRPr="00BD0AFA">
        <w:rPr>
          <w:rFonts w:ascii="Times New Roman" w:hAnsi="Times New Roman" w:cs="Times New Roman"/>
          <w:b/>
          <w:sz w:val="24"/>
          <w:szCs w:val="24"/>
        </w:rPr>
        <w:t>Point</w:t>
      </w:r>
      <w:r w:rsidR="00623885">
        <w:rPr>
          <w:rFonts w:ascii="Times New Roman" w:hAnsi="Times New Roman" w:cs="Times New Roman"/>
          <w:sz w:val="24"/>
          <w:szCs w:val="24"/>
        </w:rPr>
        <w:t>:</w:t>
      </w:r>
      <w:r w:rsidR="00BD0AFA">
        <w:rPr>
          <w:rFonts w:ascii="Times New Roman" w:hAnsi="Times New Roman" w:cs="Times New Roman"/>
          <w:sz w:val="24"/>
          <w:szCs w:val="24"/>
        </w:rPr>
        <w:t xml:space="preserve"> </w:t>
      </w:r>
      <w:r w:rsidRPr="00BD0AFA">
        <w:rPr>
          <w:rFonts w:ascii="Times New Roman" w:hAnsi="Times New Roman" w:cs="Times New Roman"/>
          <w:sz w:val="24"/>
          <w:szCs w:val="24"/>
        </w:rPr>
        <w:t>Certain financial institution products, such as front- or back-loaded mutual funds, variable or fixed annuities with surrender charges, and certificates of deposits with surrender penalties, may not be eligible for use as SIMPLE IRA accounts. Check with the financial institution to determine whether it has the appropriate products that satisfy this requirement.</w:t>
      </w:r>
    </w:p>
    <w:p w:rsidR="004B4C1A" w:rsidRPr="0066141B" w:rsidRDefault="004B4C1A" w:rsidP="004B4C1A">
      <w:pPr>
        <w:spacing w:after="0" w:line="240" w:lineRule="auto"/>
        <w:ind w:left="1440"/>
        <w:rPr>
          <w:rFonts w:ascii="Times New Roman" w:hAnsi="Times New Roman" w:cs="Times New Roman"/>
          <w:i/>
          <w:sz w:val="24"/>
          <w:szCs w:val="24"/>
        </w:rPr>
      </w:pPr>
    </w:p>
    <w:p w:rsidR="00554888" w:rsidRDefault="00554888" w:rsidP="004B4C1A">
      <w:pPr>
        <w:spacing w:after="0" w:line="240" w:lineRule="auto"/>
        <w:ind w:left="720"/>
        <w:rPr>
          <w:rFonts w:ascii="Times New Roman" w:hAnsi="Times New Roman" w:cs="Times New Roman"/>
          <w:sz w:val="24"/>
          <w:szCs w:val="24"/>
        </w:rPr>
      </w:pPr>
      <w:r w:rsidRPr="00554888">
        <w:rPr>
          <w:rFonts w:ascii="Times New Roman" w:hAnsi="Times New Roman" w:cs="Times New Roman"/>
          <w:sz w:val="24"/>
          <w:szCs w:val="24"/>
        </w:rPr>
        <w:t xml:space="preserve">To avoid open-ended employee transfer of accounts, the employer can limit the time available for these transfers to the </w:t>
      </w:r>
      <w:r w:rsidR="004263FF">
        <w:rPr>
          <w:rFonts w:ascii="Times New Roman" w:hAnsi="Times New Roman" w:cs="Times New Roman"/>
          <w:sz w:val="24"/>
          <w:szCs w:val="24"/>
        </w:rPr>
        <w:t>sixty</w:t>
      </w:r>
      <w:r w:rsidRPr="00554888">
        <w:rPr>
          <w:rFonts w:ascii="Times New Roman" w:hAnsi="Times New Roman" w:cs="Times New Roman"/>
          <w:sz w:val="24"/>
          <w:szCs w:val="24"/>
        </w:rPr>
        <w:t>-day election period before the plan year</w:t>
      </w:r>
      <w:r w:rsidR="004B4C1A">
        <w:rPr>
          <w:rFonts w:ascii="Times New Roman" w:hAnsi="Times New Roman" w:cs="Times New Roman"/>
          <w:sz w:val="24"/>
          <w:szCs w:val="24"/>
        </w:rPr>
        <w:t>.</w:t>
      </w:r>
      <w:r w:rsidR="004263FF">
        <w:rPr>
          <w:rStyle w:val="FootnoteReference"/>
          <w:rFonts w:ascii="Times New Roman" w:hAnsi="Times New Roman" w:cs="Times New Roman"/>
          <w:sz w:val="24"/>
          <w:szCs w:val="24"/>
        </w:rPr>
        <w:footnoteReference w:id="27"/>
      </w:r>
    </w:p>
    <w:p w:rsidR="004B4C1A" w:rsidRPr="00554888" w:rsidRDefault="004B4C1A" w:rsidP="004B4C1A">
      <w:pPr>
        <w:spacing w:after="0" w:line="240" w:lineRule="auto"/>
        <w:ind w:left="720"/>
        <w:rPr>
          <w:rFonts w:ascii="Times New Roman" w:hAnsi="Times New Roman" w:cs="Times New Roman"/>
          <w:sz w:val="24"/>
          <w:szCs w:val="24"/>
        </w:rPr>
      </w:pPr>
    </w:p>
    <w:p w:rsidR="00554888" w:rsidRPr="00554888" w:rsidRDefault="00554888" w:rsidP="004B4C1A">
      <w:pPr>
        <w:spacing w:after="0" w:line="240" w:lineRule="auto"/>
        <w:ind w:left="720"/>
        <w:rPr>
          <w:rFonts w:ascii="Times New Roman" w:hAnsi="Times New Roman" w:cs="Times New Roman"/>
          <w:sz w:val="24"/>
          <w:szCs w:val="24"/>
        </w:rPr>
      </w:pPr>
      <w:r w:rsidRPr="00554888">
        <w:rPr>
          <w:rFonts w:ascii="Times New Roman" w:hAnsi="Times New Roman" w:cs="Times New Roman"/>
          <w:sz w:val="24"/>
          <w:szCs w:val="24"/>
        </w:rPr>
        <w:t>In addition to employer reporting and compliance guidelines, the trustee of the SIMPLE IRA account (usually the financial institution holding the account) must provide the employer with a “summary description,” which includes the following:</w:t>
      </w:r>
      <w:r w:rsidR="009D39D1">
        <w:rPr>
          <w:rStyle w:val="FootnoteReference"/>
          <w:rFonts w:ascii="Times New Roman" w:hAnsi="Times New Roman" w:cs="Times New Roman"/>
          <w:sz w:val="24"/>
          <w:szCs w:val="24"/>
        </w:rPr>
        <w:footnoteReference w:id="28"/>
      </w:r>
    </w:p>
    <w:p w:rsidR="004B4C1A" w:rsidRDefault="004B4C1A" w:rsidP="004B4C1A">
      <w:pPr>
        <w:spacing w:after="0" w:line="240" w:lineRule="auto"/>
        <w:ind w:left="720"/>
        <w:rPr>
          <w:rFonts w:ascii="Times New Roman" w:hAnsi="Times New Roman" w:cs="Times New Roman"/>
          <w:sz w:val="24"/>
          <w:szCs w:val="24"/>
        </w:rPr>
      </w:pPr>
    </w:p>
    <w:p w:rsidR="00554888" w:rsidRPr="004B4C1A" w:rsidRDefault="009D39D1" w:rsidP="000101E8">
      <w:pPr>
        <w:pStyle w:val="ListParagraph"/>
        <w:numPr>
          <w:ilvl w:val="0"/>
          <w:numId w:val="9"/>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t</w:t>
      </w:r>
      <w:r w:rsidRPr="004B4C1A">
        <w:rPr>
          <w:rFonts w:ascii="Times New Roman" w:hAnsi="Times New Roman" w:cs="Times New Roman"/>
          <w:sz w:val="24"/>
          <w:szCs w:val="24"/>
        </w:rPr>
        <w:t xml:space="preserve">he </w:t>
      </w:r>
      <w:r w:rsidR="00554888" w:rsidRPr="004B4C1A">
        <w:rPr>
          <w:rFonts w:ascii="Times New Roman" w:hAnsi="Times New Roman" w:cs="Times New Roman"/>
          <w:sz w:val="24"/>
          <w:szCs w:val="24"/>
        </w:rPr>
        <w:t>name and address of the employer and trustee</w:t>
      </w:r>
      <w:r>
        <w:rPr>
          <w:rFonts w:ascii="Times New Roman" w:hAnsi="Times New Roman" w:cs="Times New Roman"/>
          <w:sz w:val="24"/>
          <w:szCs w:val="24"/>
        </w:rPr>
        <w:t>,</w:t>
      </w:r>
    </w:p>
    <w:p w:rsidR="004B4C1A" w:rsidRDefault="004B4C1A" w:rsidP="004B4C1A">
      <w:pPr>
        <w:spacing w:after="0" w:line="240" w:lineRule="auto"/>
        <w:ind w:left="1440"/>
        <w:rPr>
          <w:rFonts w:ascii="Times New Roman" w:hAnsi="Times New Roman" w:cs="Times New Roman"/>
          <w:sz w:val="24"/>
          <w:szCs w:val="24"/>
        </w:rPr>
      </w:pPr>
    </w:p>
    <w:p w:rsidR="00554888" w:rsidRPr="004B4C1A" w:rsidRDefault="009D39D1" w:rsidP="000101E8">
      <w:pPr>
        <w:pStyle w:val="ListParagraph"/>
        <w:numPr>
          <w:ilvl w:val="0"/>
          <w:numId w:val="9"/>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t</w:t>
      </w:r>
      <w:r w:rsidRPr="004B4C1A">
        <w:rPr>
          <w:rFonts w:ascii="Times New Roman" w:hAnsi="Times New Roman" w:cs="Times New Roman"/>
          <w:sz w:val="24"/>
          <w:szCs w:val="24"/>
        </w:rPr>
        <w:t xml:space="preserve">he </w:t>
      </w:r>
      <w:r w:rsidR="00554888" w:rsidRPr="004B4C1A">
        <w:rPr>
          <w:rFonts w:ascii="Times New Roman" w:hAnsi="Times New Roman" w:cs="Times New Roman"/>
          <w:sz w:val="24"/>
          <w:szCs w:val="24"/>
        </w:rPr>
        <w:t>requirements for eligibility in the SIMPLE IRA</w:t>
      </w:r>
      <w:r>
        <w:rPr>
          <w:rFonts w:ascii="Times New Roman" w:hAnsi="Times New Roman" w:cs="Times New Roman"/>
          <w:sz w:val="24"/>
          <w:szCs w:val="24"/>
        </w:rPr>
        <w:t>,</w:t>
      </w:r>
    </w:p>
    <w:p w:rsidR="004B4C1A" w:rsidRDefault="004B4C1A" w:rsidP="004B4C1A">
      <w:pPr>
        <w:spacing w:after="0" w:line="240" w:lineRule="auto"/>
        <w:ind w:left="1440"/>
        <w:rPr>
          <w:rFonts w:ascii="Times New Roman" w:hAnsi="Times New Roman" w:cs="Times New Roman"/>
          <w:sz w:val="24"/>
          <w:szCs w:val="24"/>
        </w:rPr>
      </w:pPr>
    </w:p>
    <w:p w:rsidR="00554888" w:rsidRPr="004B4C1A" w:rsidRDefault="009D39D1" w:rsidP="000101E8">
      <w:pPr>
        <w:pStyle w:val="ListParagraph"/>
        <w:numPr>
          <w:ilvl w:val="0"/>
          <w:numId w:val="9"/>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t</w:t>
      </w:r>
      <w:r w:rsidRPr="004B4C1A">
        <w:rPr>
          <w:rFonts w:ascii="Times New Roman" w:hAnsi="Times New Roman" w:cs="Times New Roman"/>
          <w:sz w:val="24"/>
          <w:szCs w:val="24"/>
        </w:rPr>
        <w:t xml:space="preserve">he </w:t>
      </w:r>
      <w:r w:rsidR="00554888" w:rsidRPr="004B4C1A">
        <w:rPr>
          <w:rFonts w:ascii="Times New Roman" w:hAnsi="Times New Roman" w:cs="Times New Roman"/>
          <w:sz w:val="24"/>
          <w:szCs w:val="24"/>
        </w:rPr>
        <w:t>benefits provided with respect to the plan</w:t>
      </w:r>
      <w:r>
        <w:rPr>
          <w:rFonts w:ascii="Times New Roman" w:hAnsi="Times New Roman" w:cs="Times New Roman"/>
          <w:sz w:val="24"/>
          <w:szCs w:val="24"/>
        </w:rPr>
        <w:t>,</w:t>
      </w:r>
    </w:p>
    <w:p w:rsidR="004B4C1A" w:rsidRDefault="004B4C1A" w:rsidP="004B4C1A">
      <w:pPr>
        <w:spacing w:after="0" w:line="240" w:lineRule="auto"/>
        <w:ind w:left="1440"/>
        <w:rPr>
          <w:rFonts w:ascii="Times New Roman" w:hAnsi="Times New Roman" w:cs="Times New Roman"/>
          <w:sz w:val="24"/>
          <w:szCs w:val="24"/>
        </w:rPr>
      </w:pPr>
    </w:p>
    <w:p w:rsidR="00554888" w:rsidRPr="004B4C1A" w:rsidRDefault="009D39D1" w:rsidP="000101E8">
      <w:pPr>
        <w:pStyle w:val="ListParagraph"/>
        <w:numPr>
          <w:ilvl w:val="0"/>
          <w:numId w:val="9"/>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t</w:t>
      </w:r>
      <w:r w:rsidRPr="004B4C1A">
        <w:rPr>
          <w:rFonts w:ascii="Times New Roman" w:hAnsi="Times New Roman" w:cs="Times New Roman"/>
          <w:sz w:val="24"/>
          <w:szCs w:val="24"/>
        </w:rPr>
        <w:t xml:space="preserve">he </w:t>
      </w:r>
      <w:r w:rsidR="00554888" w:rsidRPr="004B4C1A">
        <w:rPr>
          <w:rFonts w:ascii="Times New Roman" w:hAnsi="Times New Roman" w:cs="Times New Roman"/>
          <w:sz w:val="24"/>
          <w:szCs w:val="24"/>
        </w:rPr>
        <w:t>time and method of making elections to participate</w:t>
      </w:r>
      <w:r>
        <w:rPr>
          <w:rFonts w:ascii="Times New Roman" w:hAnsi="Times New Roman" w:cs="Times New Roman"/>
          <w:sz w:val="24"/>
          <w:szCs w:val="24"/>
        </w:rPr>
        <w:t>,</w:t>
      </w:r>
      <w:r w:rsidRPr="004B4C1A">
        <w:rPr>
          <w:rFonts w:ascii="Times New Roman" w:hAnsi="Times New Roman" w:cs="Times New Roman"/>
          <w:sz w:val="24"/>
          <w:szCs w:val="24"/>
        </w:rPr>
        <w:t xml:space="preserve"> </w:t>
      </w:r>
      <w:r w:rsidR="00554888" w:rsidRPr="004B4C1A">
        <w:rPr>
          <w:rFonts w:ascii="Times New Roman" w:hAnsi="Times New Roman" w:cs="Times New Roman"/>
          <w:sz w:val="24"/>
          <w:szCs w:val="24"/>
        </w:rPr>
        <w:t>and</w:t>
      </w:r>
    </w:p>
    <w:p w:rsidR="004B4C1A" w:rsidRDefault="004B4C1A" w:rsidP="004B4C1A">
      <w:pPr>
        <w:spacing w:after="0" w:line="240" w:lineRule="auto"/>
        <w:ind w:left="1440"/>
        <w:rPr>
          <w:rFonts w:ascii="Times New Roman" w:hAnsi="Times New Roman" w:cs="Times New Roman"/>
          <w:sz w:val="24"/>
          <w:szCs w:val="24"/>
        </w:rPr>
      </w:pPr>
    </w:p>
    <w:p w:rsidR="00554888" w:rsidRPr="004B4C1A" w:rsidRDefault="009D39D1" w:rsidP="000101E8">
      <w:pPr>
        <w:pStyle w:val="ListParagraph"/>
        <w:numPr>
          <w:ilvl w:val="0"/>
          <w:numId w:val="9"/>
        </w:numPr>
        <w:spacing w:after="0" w:line="240" w:lineRule="auto"/>
        <w:ind w:left="2160"/>
        <w:rPr>
          <w:rFonts w:ascii="Times New Roman" w:hAnsi="Times New Roman" w:cs="Times New Roman"/>
          <w:sz w:val="24"/>
          <w:szCs w:val="24"/>
        </w:rPr>
      </w:pPr>
      <w:proofErr w:type="gramStart"/>
      <w:r>
        <w:rPr>
          <w:rFonts w:ascii="Times New Roman" w:hAnsi="Times New Roman" w:cs="Times New Roman"/>
          <w:sz w:val="24"/>
          <w:szCs w:val="24"/>
        </w:rPr>
        <w:t>t</w:t>
      </w:r>
      <w:r w:rsidRPr="004B4C1A">
        <w:rPr>
          <w:rFonts w:ascii="Times New Roman" w:hAnsi="Times New Roman" w:cs="Times New Roman"/>
          <w:sz w:val="24"/>
          <w:szCs w:val="24"/>
        </w:rPr>
        <w:t>he</w:t>
      </w:r>
      <w:proofErr w:type="gramEnd"/>
      <w:r w:rsidRPr="004B4C1A">
        <w:rPr>
          <w:rFonts w:ascii="Times New Roman" w:hAnsi="Times New Roman" w:cs="Times New Roman"/>
          <w:sz w:val="24"/>
          <w:szCs w:val="24"/>
        </w:rPr>
        <w:t xml:space="preserve"> </w:t>
      </w:r>
      <w:r w:rsidR="00554888" w:rsidRPr="004B4C1A">
        <w:rPr>
          <w:rFonts w:ascii="Times New Roman" w:hAnsi="Times New Roman" w:cs="Times New Roman"/>
          <w:sz w:val="24"/>
          <w:szCs w:val="24"/>
        </w:rPr>
        <w:t>procedures for, and effects of, withdrawals from the plan.</w:t>
      </w:r>
    </w:p>
    <w:p w:rsidR="004B4C1A" w:rsidRDefault="004B4C1A" w:rsidP="004B4C1A">
      <w:pPr>
        <w:spacing w:after="0" w:line="240" w:lineRule="auto"/>
        <w:rPr>
          <w:rFonts w:ascii="Times New Roman" w:hAnsi="Times New Roman" w:cs="Times New Roman"/>
          <w:sz w:val="24"/>
          <w:szCs w:val="24"/>
        </w:rPr>
      </w:pPr>
    </w:p>
    <w:p w:rsidR="00554888" w:rsidRDefault="00554888" w:rsidP="004B4C1A">
      <w:pPr>
        <w:spacing w:after="0" w:line="240" w:lineRule="auto"/>
        <w:ind w:left="720"/>
        <w:rPr>
          <w:rFonts w:ascii="Times New Roman" w:hAnsi="Times New Roman" w:cs="Times New Roman"/>
          <w:sz w:val="24"/>
          <w:szCs w:val="24"/>
        </w:rPr>
      </w:pPr>
      <w:r w:rsidRPr="004B4C1A">
        <w:rPr>
          <w:rFonts w:ascii="Times New Roman" w:hAnsi="Times New Roman" w:cs="Times New Roman"/>
          <w:sz w:val="24"/>
          <w:szCs w:val="24"/>
        </w:rPr>
        <w:t>In addition</w:t>
      </w:r>
      <w:r w:rsidR="004B4C1A">
        <w:rPr>
          <w:rFonts w:ascii="Times New Roman" w:hAnsi="Times New Roman" w:cs="Times New Roman"/>
          <w:sz w:val="24"/>
          <w:szCs w:val="24"/>
        </w:rPr>
        <w:t>,</w:t>
      </w:r>
      <w:r w:rsidRPr="004B4C1A">
        <w:rPr>
          <w:rFonts w:ascii="Times New Roman" w:hAnsi="Times New Roman" w:cs="Times New Roman"/>
          <w:sz w:val="24"/>
          <w:szCs w:val="24"/>
        </w:rPr>
        <w:t xml:space="preserve"> the trustee is required to report information with respect to the minimum amount required to be distributed (the required minimum distribution or RMD, see </w:t>
      </w:r>
      <w:r w:rsidRPr="002D2198">
        <w:rPr>
          <w:rFonts w:ascii="Times New Roman" w:hAnsi="Times New Roman" w:cs="Times New Roman"/>
          <w:sz w:val="24"/>
          <w:szCs w:val="24"/>
        </w:rPr>
        <w:t xml:space="preserve">Chapter </w:t>
      </w:r>
      <w:r w:rsidR="002D2198" w:rsidRPr="002D2198">
        <w:rPr>
          <w:rFonts w:ascii="Times New Roman" w:hAnsi="Times New Roman" w:cs="Times New Roman"/>
          <w:sz w:val="24"/>
          <w:szCs w:val="24"/>
        </w:rPr>
        <w:t>1</w:t>
      </w:r>
      <w:r w:rsidRPr="002D2198">
        <w:rPr>
          <w:rFonts w:ascii="Times New Roman" w:hAnsi="Times New Roman" w:cs="Times New Roman"/>
          <w:sz w:val="24"/>
          <w:szCs w:val="24"/>
        </w:rPr>
        <w:t xml:space="preserve">5) from the IRA for each calendar year to individuals as well as the applicable </w:t>
      </w:r>
      <w:r w:rsidR="003B5710">
        <w:rPr>
          <w:rFonts w:ascii="Times New Roman" w:hAnsi="Times New Roman" w:cs="Times New Roman"/>
          <w:sz w:val="24"/>
          <w:szCs w:val="24"/>
        </w:rPr>
        <w:t>f</w:t>
      </w:r>
      <w:r w:rsidR="003B5710" w:rsidRPr="002D2198">
        <w:rPr>
          <w:rFonts w:ascii="Times New Roman" w:hAnsi="Times New Roman" w:cs="Times New Roman"/>
          <w:sz w:val="24"/>
          <w:szCs w:val="24"/>
        </w:rPr>
        <w:t xml:space="preserve">ederal </w:t>
      </w:r>
      <w:r w:rsidRPr="002D2198">
        <w:rPr>
          <w:rFonts w:ascii="Times New Roman" w:hAnsi="Times New Roman" w:cs="Times New Roman"/>
          <w:sz w:val="24"/>
          <w:szCs w:val="24"/>
        </w:rPr>
        <w:t>tax forms</w:t>
      </w:r>
      <w:r w:rsidRPr="004B4C1A">
        <w:rPr>
          <w:rFonts w:ascii="Times New Roman" w:hAnsi="Times New Roman" w:cs="Times New Roman"/>
          <w:sz w:val="24"/>
          <w:szCs w:val="24"/>
        </w:rPr>
        <w:t xml:space="preserve"> and accompanying instructions.</w:t>
      </w:r>
    </w:p>
    <w:p w:rsidR="004B4C1A" w:rsidRPr="004B4C1A" w:rsidRDefault="004B4C1A" w:rsidP="004B4C1A">
      <w:pPr>
        <w:spacing w:after="0" w:line="240" w:lineRule="auto"/>
        <w:ind w:left="720"/>
        <w:rPr>
          <w:rFonts w:ascii="Times New Roman" w:hAnsi="Times New Roman" w:cs="Times New Roman"/>
          <w:sz w:val="24"/>
          <w:szCs w:val="24"/>
        </w:rPr>
      </w:pPr>
    </w:p>
    <w:p w:rsidR="00554888" w:rsidRDefault="00554888" w:rsidP="004B4C1A">
      <w:pPr>
        <w:spacing w:after="0" w:line="240" w:lineRule="auto"/>
        <w:ind w:left="720"/>
        <w:rPr>
          <w:rFonts w:ascii="Times New Roman" w:hAnsi="Times New Roman" w:cs="Times New Roman"/>
          <w:sz w:val="24"/>
          <w:szCs w:val="24"/>
        </w:rPr>
      </w:pPr>
      <w:r w:rsidRPr="00554888">
        <w:rPr>
          <w:rFonts w:ascii="Times New Roman" w:hAnsi="Times New Roman" w:cs="Times New Roman"/>
          <w:sz w:val="24"/>
          <w:szCs w:val="24"/>
        </w:rPr>
        <w:t xml:space="preserve">The trustee of a SIMPLE IRA must provide the summary description to the employer early enough to allow the employer to meet its notification obligation to employees. If the employer fails to provide the notice to employees of their opportunity to participate in or modify the amount of their deferrals, or if the trustee fails to provide reports as indicated </w:t>
      </w:r>
      <w:r w:rsidR="003B5710">
        <w:rPr>
          <w:rFonts w:ascii="Times New Roman" w:hAnsi="Times New Roman" w:cs="Times New Roman"/>
          <w:sz w:val="24"/>
          <w:szCs w:val="24"/>
        </w:rPr>
        <w:t>previously</w:t>
      </w:r>
      <w:r w:rsidR="003B5710" w:rsidRPr="00554888">
        <w:rPr>
          <w:rFonts w:ascii="Times New Roman" w:hAnsi="Times New Roman" w:cs="Times New Roman"/>
          <w:sz w:val="24"/>
          <w:szCs w:val="24"/>
        </w:rPr>
        <w:t xml:space="preserve"> </w:t>
      </w:r>
      <w:r w:rsidRPr="00554888">
        <w:rPr>
          <w:rFonts w:ascii="Times New Roman" w:hAnsi="Times New Roman" w:cs="Times New Roman"/>
          <w:sz w:val="24"/>
          <w:szCs w:val="24"/>
        </w:rPr>
        <w:t xml:space="preserve">to the IRS (by January 31 for the prior year), statements of closing balances and account activity to participants (within </w:t>
      </w:r>
      <w:r w:rsidR="003B5710">
        <w:rPr>
          <w:rFonts w:ascii="Times New Roman" w:hAnsi="Times New Roman" w:cs="Times New Roman"/>
          <w:sz w:val="24"/>
          <w:szCs w:val="24"/>
        </w:rPr>
        <w:t>thirty</w:t>
      </w:r>
      <w:r w:rsidR="003B5710" w:rsidRPr="00554888">
        <w:rPr>
          <w:rFonts w:ascii="Times New Roman" w:hAnsi="Times New Roman" w:cs="Times New Roman"/>
          <w:sz w:val="24"/>
          <w:szCs w:val="24"/>
        </w:rPr>
        <w:t xml:space="preserve"> </w:t>
      </w:r>
      <w:r w:rsidRPr="00554888">
        <w:rPr>
          <w:rFonts w:ascii="Times New Roman" w:hAnsi="Times New Roman" w:cs="Times New Roman"/>
          <w:sz w:val="24"/>
          <w:szCs w:val="24"/>
        </w:rPr>
        <w:t xml:space="preserve">days after the end of the calendar </w:t>
      </w:r>
      <w:r w:rsidRPr="00554888">
        <w:rPr>
          <w:rFonts w:ascii="Times New Roman" w:hAnsi="Times New Roman" w:cs="Times New Roman"/>
          <w:sz w:val="24"/>
          <w:szCs w:val="24"/>
        </w:rPr>
        <w:lastRenderedPageBreak/>
        <w:t>year),</w:t>
      </w:r>
      <w:r w:rsidR="003B5710">
        <w:rPr>
          <w:rStyle w:val="FootnoteReference"/>
          <w:rFonts w:ascii="Times New Roman" w:hAnsi="Times New Roman" w:cs="Times New Roman"/>
          <w:sz w:val="24"/>
          <w:szCs w:val="24"/>
        </w:rPr>
        <w:footnoteReference w:id="29"/>
      </w:r>
      <w:r w:rsidRPr="00554888">
        <w:rPr>
          <w:rFonts w:ascii="Times New Roman" w:hAnsi="Times New Roman" w:cs="Times New Roman"/>
          <w:sz w:val="24"/>
          <w:szCs w:val="24"/>
        </w:rPr>
        <w:t xml:space="preserve"> or the summary description to the employer, the defaulting party, the trustee, is subject to a $50 per day penalty for each of the notices that has not been provided</w:t>
      </w:r>
      <w:r w:rsidR="004B4C1A">
        <w:rPr>
          <w:rFonts w:ascii="Times New Roman" w:hAnsi="Times New Roman" w:cs="Times New Roman"/>
          <w:sz w:val="24"/>
          <w:szCs w:val="24"/>
        </w:rPr>
        <w:t>.</w:t>
      </w:r>
      <w:r w:rsidR="00397CB4">
        <w:rPr>
          <w:rStyle w:val="FootnoteReference"/>
          <w:rFonts w:ascii="Times New Roman" w:hAnsi="Times New Roman" w:cs="Times New Roman"/>
          <w:sz w:val="24"/>
          <w:szCs w:val="24"/>
        </w:rPr>
        <w:footnoteReference w:id="30"/>
      </w:r>
    </w:p>
    <w:p w:rsidR="004B4C1A" w:rsidRPr="00554888" w:rsidRDefault="004B4C1A" w:rsidP="00554888">
      <w:pPr>
        <w:spacing w:after="0" w:line="240" w:lineRule="auto"/>
        <w:ind w:left="720"/>
        <w:rPr>
          <w:rFonts w:ascii="Times New Roman" w:hAnsi="Times New Roman" w:cs="Times New Roman"/>
          <w:sz w:val="24"/>
          <w:szCs w:val="24"/>
        </w:rPr>
      </w:pPr>
    </w:p>
    <w:p w:rsidR="004B4C1A" w:rsidRDefault="004B4C1A" w:rsidP="004B4C1A">
      <w:pPr>
        <w:pStyle w:val="NoSpacing"/>
        <w:ind w:left="720"/>
        <w:rPr>
          <w:rFonts w:ascii="Times New Roman" w:hAnsi="Times New Roman" w:cs="Times New Roman"/>
          <w:b/>
          <w:sz w:val="24"/>
          <w:szCs w:val="24"/>
        </w:rPr>
      </w:pPr>
      <w:r w:rsidRPr="00AE6419">
        <w:rPr>
          <w:rFonts w:ascii="Times New Roman" w:hAnsi="Times New Roman" w:cs="Times New Roman"/>
          <w:b/>
          <w:sz w:val="24"/>
          <w:szCs w:val="24"/>
        </w:rPr>
        <w:t xml:space="preserve">Q. </w:t>
      </w:r>
      <w:r>
        <w:rPr>
          <w:rFonts w:ascii="Times New Roman" w:hAnsi="Times New Roman" w:cs="Times New Roman"/>
          <w:b/>
          <w:sz w:val="24"/>
          <w:szCs w:val="24"/>
        </w:rPr>
        <w:t>9</w:t>
      </w:r>
      <w:r w:rsidRPr="00AE6419">
        <w:rPr>
          <w:rFonts w:ascii="Times New Roman" w:hAnsi="Times New Roman" w:cs="Times New Roman"/>
          <w:b/>
          <w:sz w:val="24"/>
          <w:szCs w:val="24"/>
        </w:rPr>
        <w:t>.</w:t>
      </w:r>
      <w:r>
        <w:rPr>
          <w:rFonts w:ascii="Times New Roman" w:hAnsi="Times New Roman" w:cs="Times New Roman"/>
          <w:b/>
          <w:sz w:val="24"/>
          <w:szCs w:val="24"/>
        </w:rPr>
        <w:t>06</w:t>
      </w:r>
      <w:r w:rsidRPr="00AE6419">
        <w:rPr>
          <w:rFonts w:ascii="Times New Roman" w:hAnsi="Times New Roman" w:cs="Times New Roman"/>
          <w:b/>
          <w:sz w:val="24"/>
          <w:szCs w:val="24"/>
        </w:rPr>
        <w:t>:</w:t>
      </w:r>
      <w:r w:rsidRPr="00AE6419">
        <w:rPr>
          <w:rFonts w:ascii="Times New Roman" w:hAnsi="Times New Roman" w:cs="Times New Roman"/>
          <w:b/>
          <w:sz w:val="24"/>
          <w:szCs w:val="24"/>
        </w:rPr>
        <w:tab/>
      </w:r>
      <w:r>
        <w:rPr>
          <w:rFonts w:ascii="Times New Roman" w:hAnsi="Times New Roman" w:cs="Times New Roman"/>
          <w:b/>
          <w:sz w:val="24"/>
          <w:szCs w:val="24"/>
        </w:rPr>
        <w:t>What special rules apply to distributions from a SIMPLE IRA?</w:t>
      </w:r>
    </w:p>
    <w:p w:rsidR="004B4C1A" w:rsidRDefault="004B4C1A" w:rsidP="00554888">
      <w:pPr>
        <w:spacing w:after="0" w:line="240" w:lineRule="auto"/>
        <w:ind w:left="720"/>
        <w:rPr>
          <w:rFonts w:ascii="Times New Roman" w:hAnsi="Times New Roman" w:cs="Times New Roman"/>
          <w:sz w:val="24"/>
          <w:szCs w:val="24"/>
        </w:rPr>
      </w:pPr>
    </w:p>
    <w:p w:rsidR="00530549" w:rsidRDefault="00554888" w:rsidP="00530549">
      <w:pPr>
        <w:spacing w:after="0" w:line="240" w:lineRule="auto"/>
        <w:ind w:left="720"/>
        <w:rPr>
          <w:rFonts w:ascii="Times New Roman" w:hAnsi="Times New Roman" w:cs="Times New Roman"/>
          <w:sz w:val="24"/>
          <w:szCs w:val="24"/>
        </w:rPr>
      </w:pPr>
      <w:r w:rsidRPr="00554888">
        <w:rPr>
          <w:rFonts w:ascii="Times New Roman" w:hAnsi="Times New Roman" w:cs="Times New Roman"/>
          <w:sz w:val="24"/>
          <w:szCs w:val="24"/>
        </w:rPr>
        <w:t>Distributions from SIMPLE IRAs may be rolled over to another SIMPLE IRA</w:t>
      </w:r>
      <w:r w:rsidR="00074A46">
        <w:rPr>
          <w:rStyle w:val="FootnoteReference"/>
          <w:rFonts w:ascii="Times New Roman" w:hAnsi="Times New Roman" w:cs="Times New Roman"/>
          <w:sz w:val="24"/>
          <w:szCs w:val="24"/>
        </w:rPr>
        <w:footnoteReference w:id="31"/>
      </w:r>
      <w:r w:rsidRPr="00554888">
        <w:rPr>
          <w:rFonts w:ascii="Times New Roman" w:hAnsi="Times New Roman" w:cs="Times New Roman"/>
          <w:sz w:val="24"/>
          <w:szCs w:val="24"/>
        </w:rPr>
        <w:t xml:space="preserve"> at any time or to an individual IRA after a two-year period has expired from the date of the employee’s initial participation</w:t>
      </w:r>
      <w:r w:rsidR="004B4C1A">
        <w:rPr>
          <w:rFonts w:ascii="Times New Roman" w:hAnsi="Times New Roman" w:cs="Times New Roman"/>
          <w:sz w:val="24"/>
          <w:szCs w:val="24"/>
        </w:rPr>
        <w:t>.</w:t>
      </w:r>
      <w:r w:rsidR="00074A46">
        <w:rPr>
          <w:rStyle w:val="FootnoteReference"/>
          <w:rFonts w:ascii="Times New Roman" w:hAnsi="Times New Roman" w:cs="Times New Roman"/>
          <w:sz w:val="24"/>
          <w:szCs w:val="24"/>
        </w:rPr>
        <w:footnoteReference w:id="32"/>
      </w:r>
      <w:r w:rsidRPr="00554888">
        <w:rPr>
          <w:rFonts w:ascii="Times New Roman" w:hAnsi="Times New Roman" w:cs="Times New Roman"/>
          <w:sz w:val="24"/>
          <w:szCs w:val="24"/>
        </w:rPr>
        <w:t xml:space="preserve"> During the first two years of participation in the SIMPLE IRA, early withdrawals are subject to a 25</w:t>
      </w:r>
      <w:r w:rsidR="00074A46">
        <w:rPr>
          <w:rFonts w:ascii="Times New Roman" w:hAnsi="Times New Roman" w:cs="Times New Roman"/>
          <w:sz w:val="24"/>
          <w:szCs w:val="24"/>
        </w:rPr>
        <w:t xml:space="preserve"> </w:t>
      </w:r>
      <w:r w:rsidRPr="00554888">
        <w:rPr>
          <w:rFonts w:ascii="Times New Roman" w:hAnsi="Times New Roman" w:cs="Times New Roman"/>
          <w:sz w:val="24"/>
          <w:szCs w:val="24"/>
        </w:rPr>
        <w:t>percent penalty rather than the normal 10</w:t>
      </w:r>
      <w:r w:rsidR="00074A46">
        <w:rPr>
          <w:rFonts w:ascii="Times New Roman" w:hAnsi="Times New Roman" w:cs="Times New Roman"/>
          <w:sz w:val="24"/>
          <w:szCs w:val="24"/>
        </w:rPr>
        <w:t xml:space="preserve"> </w:t>
      </w:r>
      <w:r w:rsidRPr="00554888">
        <w:rPr>
          <w:rFonts w:ascii="Times New Roman" w:hAnsi="Times New Roman" w:cs="Times New Roman"/>
          <w:sz w:val="24"/>
          <w:szCs w:val="24"/>
        </w:rPr>
        <w:t>percent penalty</w:t>
      </w:r>
      <w:r w:rsidR="00530549">
        <w:rPr>
          <w:rFonts w:ascii="Times New Roman" w:hAnsi="Times New Roman" w:cs="Times New Roman"/>
          <w:sz w:val="24"/>
          <w:szCs w:val="24"/>
        </w:rPr>
        <w:t>.</w:t>
      </w:r>
      <w:r w:rsidR="00074A46">
        <w:rPr>
          <w:rStyle w:val="FootnoteReference"/>
          <w:rFonts w:ascii="Times New Roman" w:hAnsi="Times New Roman" w:cs="Times New Roman"/>
          <w:sz w:val="24"/>
          <w:szCs w:val="24"/>
        </w:rPr>
        <w:footnoteReference w:id="33"/>
      </w:r>
    </w:p>
    <w:p w:rsidR="00530549" w:rsidRDefault="00530549" w:rsidP="00530549">
      <w:pPr>
        <w:spacing w:after="0" w:line="240" w:lineRule="auto"/>
        <w:ind w:left="720"/>
        <w:rPr>
          <w:rFonts w:ascii="Times New Roman" w:hAnsi="Times New Roman" w:cs="Times New Roman"/>
          <w:sz w:val="24"/>
          <w:szCs w:val="24"/>
        </w:rPr>
      </w:pPr>
    </w:p>
    <w:p w:rsidR="00530549" w:rsidRDefault="00554888" w:rsidP="00530549">
      <w:pPr>
        <w:spacing w:after="0" w:line="240" w:lineRule="auto"/>
        <w:ind w:left="720"/>
        <w:rPr>
          <w:rFonts w:ascii="Times New Roman" w:hAnsi="Times New Roman" w:cs="Times New Roman"/>
          <w:sz w:val="24"/>
          <w:szCs w:val="24"/>
        </w:rPr>
      </w:pPr>
      <w:r w:rsidRPr="00554888">
        <w:rPr>
          <w:rFonts w:ascii="Times New Roman" w:hAnsi="Times New Roman" w:cs="Times New Roman"/>
          <w:sz w:val="24"/>
          <w:szCs w:val="24"/>
        </w:rPr>
        <w:t xml:space="preserve">A SIMPLE IRA can be converted to a Roth IRA on the same terms as </w:t>
      </w:r>
      <w:r w:rsidR="008059F1">
        <w:rPr>
          <w:rFonts w:ascii="Times New Roman" w:hAnsi="Times New Roman" w:cs="Times New Roman"/>
          <w:sz w:val="24"/>
          <w:szCs w:val="24"/>
        </w:rPr>
        <w:t>the</w:t>
      </w:r>
      <w:r w:rsidR="008059F1" w:rsidRPr="00554888">
        <w:rPr>
          <w:rFonts w:ascii="Times New Roman" w:hAnsi="Times New Roman" w:cs="Times New Roman"/>
          <w:sz w:val="24"/>
          <w:szCs w:val="24"/>
        </w:rPr>
        <w:t xml:space="preserve"> </w:t>
      </w:r>
      <w:r w:rsidRPr="00554888">
        <w:rPr>
          <w:rFonts w:ascii="Times New Roman" w:hAnsi="Times New Roman" w:cs="Times New Roman"/>
          <w:sz w:val="24"/>
          <w:szCs w:val="24"/>
        </w:rPr>
        <w:t>conversion of a traditional IRA, with the following exception. Because an amount distributed from a SIMPLE IRA during the two-year period that begins on the date the individual first participated in any SIMPLE IRA is subject to further restrictions on distributions, the SIMPLE IRA cannot be converted to a Roth IRA during that two-year period.</w:t>
      </w:r>
      <w:r w:rsidR="008059F1">
        <w:rPr>
          <w:rStyle w:val="FootnoteReference"/>
          <w:rFonts w:ascii="Times New Roman" w:hAnsi="Times New Roman" w:cs="Times New Roman"/>
          <w:sz w:val="24"/>
          <w:szCs w:val="24"/>
        </w:rPr>
        <w:footnoteReference w:id="34"/>
      </w:r>
    </w:p>
    <w:p w:rsidR="00530549" w:rsidRDefault="00530549" w:rsidP="00530549">
      <w:pPr>
        <w:spacing w:after="0" w:line="240" w:lineRule="auto"/>
        <w:ind w:left="720"/>
        <w:rPr>
          <w:rFonts w:ascii="Times New Roman" w:hAnsi="Times New Roman" w:cs="Times New Roman"/>
          <w:sz w:val="24"/>
          <w:szCs w:val="24"/>
        </w:rPr>
      </w:pPr>
    </w:p>
    <w:p w:rsidR="00554888" w:rsidRPr="00554888" w:rsidRDefault="00554888" w:rsidP="00530549">
      <w:pPr>
        <w:spacing w:after="0" w:line="240" w:lineRule="auto"/>
        <w:ind w:left="720"/>
        <w:rPr>
          <w:rFonts w:ascii="Times New Roman" w:hAnsi="Times New Roman" w:cs="Times New Roman"/>
          <w:sz w:val="24"/>
          <w:szCs w:val="24"/>
        </w:rPr>
      </w:pPr>
      <w:r w:rsidRPr="00554888">
        <w:rPr>
          <w:rFonts w:ascii="Times New Roman" w:hAnsi="Times New Roman" w:cs="Times New Roman"/>
          <w:sz w:val="24"/>
          <w:szCs w:val="24"/>
        </w:rPr>
        <w:t>Notwithstanding the penalties on early distributions, one of the disadvantages of a SIMPLE IRA is that amounts held in the plan may be withdrawn by the employee at any time. The employer cannot require an employee to retain any portion of the contributions in his or her SIMPLE IRA account, or otherwise impose any withdrawal restrictions. This tends to defeat the purpose of an employer-sponsored retirement plan, i.e., to accumulate funds for retirement and to retain employees.</w:t>
      </w:r>
    </w:p>
    <w:p w:rsidR="008649DC" w:rsidRPr="008649DC" w:rsidRDefault="008649DC" w:rsidP="008649DC">
      <w:pPr>
        <w:spacing w:after="0" w:line="240" w:lineRule="auto"/>
        <w:ind w:left="720"/>
        <w:rPr>
          <w:rFonts w:ascii="Times New Roman" w:hAnsi="Times New Roman" w:cs="Times New Roman"/>
          <w:sz w:val="24"/>
          <w:szCs w:val="24"/>
        </w:rPr>
      </w:pPr>
    </w:p>
    <w:p w:rsidR="00452A0D" w:rsidRDefault="00452A0D" w:rsidP="00E87EC9">
      <w:pPr>
        <w:spacing w:after="0" w:line="240" w:lineRule="auto"/>
        <w:ind w:left="720"/>
        <w:rPr>
          <w:rFonts w:ascii="Times New Roman" w:hAnsi="Times New Roman" w:cs="Times New Roman"/>
          <w:sz w:val="24"/>
          <w:szCs w:val="24"/>
        </w:rPr>
      </w:pPr>
    </w:p>
    <w:p w:rsidR="008649DC" w:rsidRDefault="008649DC" w:rsidP="00BD0AFA">
      <w:pPr>
        <w:pStyle w:val="NoSpacing"/>
        <w:ind w:left="720"/>
        <w:rPr>
          <w:rFonts w:ascii="Times New Roman" w:hAnsi="Times New Roman" w:cs="Times New Roman"/>
          <w:b/>
          <w:sz w:val="24"/>
          <w:szCs w:val="24"/>
        </w:rPr>
      </w:pPr>
    </w:p>
    <w:p w:rsidR="008649DC" w:rsidRDefault="008649DC" w:rsidP="008649DC">
      <w:pPr>
        <w:pStyle w:val="NoSpacing"/>
        <w:ind w:left="720"/>
        <w:rPr>
          <w:rFonts w:ascii="Times New Roman" w:hAnsi="Times New Roman" w:cs="Times New Roman"/>
          <w:b/>
          <w:sz w:val="24"/>
          <w:szCs w:val="24"/>
        </w:rPr>
      </w:pPr>
    </w:p>
    <w:p w:rsidR="008649DC" w:rsidRDefault="008649DC" w:rsidP="008649DC">
      <w:pPr>
        <w:pStyle w:val="NoSpacing"/>
        <w:ind w:left="720"/>
        <w:rPr>
          <w:rFonts w:ascii="Times New Roman" w:hAnsi="Times New Roman" w:cs="Times New Roman"/>
          <w:b/>
          <w:sz w:val="24"/>
          <w:szCs w:val="24"/>
        </w:rPr>
      </w:pPr>
      <w:r w:rsidRPr="00AE6419">
        <w:rPr>
          <w:rFonts w:ascii="Times New Roman" w:hAnsi="Times New Roman" w:cs="Times New Roman"/>
          <w:b/>
          <w:sz w:val="24"/>
          <w:szCs w:val="24"/>
        </w:rPr>
        <w:t xml:space="preserve">Q. </w:t>
      </w:r>
      <w:r w:rsidR="00A5399D">
        <w:rPr>
          <w:rFonts w:ascii="Times New Roman" w:hAnsi="Times New Roman" w:cs="Times New Roman"/>
          <w:b/>
          <w:sz w:val="24"/>
          <w:szCs w:val="24"/>
        </w:rPr>
        <w:t>9</w:t>
      </w:r>
      <w:r w:rsidRPr="00AE6419">
        <w:rPr>
          <w:rFonts w:ascii="Times New Roman" w:hAnsi="Times New Roman" w:cs="Times New Roman"/>
          <w:b/>
          <w:sz w:val="24"/>
          <w:szCs w:val="24"/>
        </w:rPr>
        <w:t>.</w:t>
      </w:r>
      <w:r w:rsidR="00A244CF">
        <w:rPr>
          <w:rFonts w:ascii="Times New Roman" w:hAnsi="Times New Roman" w:cs="Times New Roman"/>
          <w:b/>
          <w:sz w:val="24"/>
          <w:szCs w:val="24"/>
        </w:rPr>
        <w:t>0</w:t>
      </w:r>
      <w:r w:rsidR="00530549">
        <w:rPr>
          <w:rFonts w:ascii="Times New Roman" w:hAnsi="Times New Roman" w:cs="Times New Roman"/>
          <w:b/>
          <w:sz w:val="24"/>
          <w:szCs w:val="24"/>
        </w:rPr>
        <w:t>7</w:t>
      </w:r>
      <w:r w:rsidRPr="00AE6419">
        <w:rPr>
          <w:rFonts w:ascii="Times New Roman" w:hAnsi="Times New Roman" w:cs="Times New Roman"/>
          <w:b/>
          <w:sz w:val="24"/>
          <w:szCs w:val="24"/>
        </w:rPr>
        <w:t>:</w:t>
      </w:r>
      <w:r w:rsidRPr="00AE6419">
        <w:rPr>
          <w:rFonts w:ascii="Times New Roman" w:hAnsi="Times New Roman" w:cs="Times New Roman"/>
          <w:b/>
          <w:sz w:val="24"/>
          <w:szCs w:val="24"/>
        </w:rPr>
        <w:tab/>
      </w:r>
      <w:r>
        <w:rPr>
          <w:rFonts w:ascii="Times New Roman" w:hAnsi="Times New Roman" w:cs="Times New Roman"/>
          <w:b/>
          <w:sz w:val="24"/>
          <w:szCs w:val="24"/>
        </w:rPr>
        <w:t xml:space="preserve">What </w:t>
      </w:r>
      <w:r w:rsidR="00530549">
        <w:rPr>
          <w:rFonts w:ascii="Times New Roman" w:hAnsi="Times New Roman" w:cs="Times New Roman"/>
          <w:b/>
          <w:sz w:val="24"/>
          <w:szCs w:val="24"/>
        </w:rPr>
        <w:t>is a SEP IRA</w:t>
      </w:r>
      <w:r>
        <w:rPr>
          <w:rFonts w:ascii="Times New Roman" w:hAnsi="Times New Roman" w:cs="Times New Roman"/>
          <w:b/>
          <w:sz w:val="24"/>
          <w:szCs w:val="24"/>
        </w:rPr>
        <w:t>?</w:t>
      </w:r>
    </w:p>
    <w:p w:rsidR="00530549" w:rsidRDefault="00530549" w:rsidP="008649DC">
      <w:pPr>
        <w:pStyle w:val="NoSpacing"/>
        <w:ind w:left="720"/>
        <w:rPr>
          <w:rFonts w:ascii="Times New Roman" w:hAnsi="Times New Roman" w:cs="Times New Roman"/>
          <w:b/>
          <w:sz w:val="24"/>
          <w:szCs w:val="24"/>
        </w:rPr>
      </w:pPr>
    </w:p>
    <w:p w:rsidR="00530549" w:rsidRDefault="00530549" w:rsidP="00530549">
      <w:pPr>
        <w:spacing w:after="0" w:line="240" w:lineRule="auto"/>
        <w:ind w:left="720"/>
        <w:rPr>
          <w:rFonts w:ascii="Times New Roman" w:hAnsi="Times New Roman" w:cs="Times New Roman"/>
          <w:sz w:val="24"/>
          <w:szCs w:val="24"/>
        </w:rPr>
      </w:pPr>
      <w:r w:rsidRPr="00530549">
        <w:rPr>
          <w:rFonts w:ascii="Times New Roman" w:hAnsi="Times New Roman" w:cs="Times New Roman"/>
          <w:sz w:val="24"/>
          <w:szCs w:val="24"/>
        </w:rPr>
        <w:t xml:space="preserve">A </w:t>
      </w:r>
      <w:r>
        <w:rPr>
          <w:rFonts w:ascii="Times New Roman" w:hAnsi="Times New Roman" w:cs="Times New Roman"/>
          <w:sz w:val="24"/>
          <w:szCs w:val="24"/>
        </w:rPr>
        <w:t>SEP</w:t>
      </w:r>
      <w:r w:rsidRPr="00530549">
        <w:rPr>
          <w:rFonts w:ascii="Times New Roman" w:hAnsi="Times New Roman" w:cs="Times New Roman"/>
          <w:sz w:val="24"/>
          <w:szCs w:val="24"/>
        </w:rPr>
        <w:t xml:space="preserve"> is intended as an alternative to qualified plans, particularly for small businesses. Other than the maximum limits on the amount of contributions, all </w:t>
      </w:r>
      <w:r w:rsidR="00BE393C">
        <w:rPr>
          <w:rFonts w:ascii="Times New Roman" w:hAnsi="Times New Roman" w:cs="Times New Roman"/>
          <w:sz w:val="24"/>
          <w:szCs w:val="24"/>
        </w:rPr>
        <w:t xml:space="preserve">the </w:t>
      </w:r>
      <w:r w:rsidRPr="00530549">
        <w:rPr>
          <w:rFonts w:ascii="Times New Roman" w:hAnsi="Times New Roman" w:cs="Times New Roman"/>
          <w:sz w:val="24"/>
          <w:szCs w:val="24"/>
        </w:rPr>
        <w:t xml:space="preserve">IRA rules apply to SEPs </w:t>
      </w:r>
      <w:r w:rsidR="00BE393C">
        <w:rPr>
          <w:rFonts w:ascii="Times New Roman" w:hAnsi="Times New Roman" w:cs="Times New Roman"/>
          <w:sz w:val="24"/>
          <w:szCs w:val="24"/>
        </w:rPr>
        <w:t>because</w:t>
      </w:r>
      <w:r w:rsidR="00BE393C" w:rsidRPr="00530549">
        <w:rPr>
          <w:rFonts w:ascii="Times New Roman" w:hAnsi="Times New Roman" w:cs="Times New Roman"/>
          <w:sz w:val="24"/>
          <w:szCs w:val="24"/>
        </w:rPr>
        <w:t xml:space="preserve"> </w:t>
      </w:r>
      <w:r w:rsidRPr="00530549">
        <w:rPr>
          <w:rFonts w:ascii="Times New Roman" w:hAnsi="Times New Roman" w:cs="Times New Roman"/>
          <w:sz w:val="24"/>
          <w:szCs w:val="24"/>
        </w:rPr>
        <w:t xml:space="preserve">a </w:t>
      </w:r>
      <w:r>
        <w:rPr>
          <w:rFonts w:ascii="Times New Roman" w:hAnsi="Times New Roman" w:cs="Times New Roman"/>
          <w:sz w:val="24"/>
          <w:szCs w:val="24"/>
        </w:rPr>
        <w:t>SEP</w:t>
      </w:r>
      <w:r w:rsidRPr="00530549">
        <w:rPr>
          <w:rFonts w:ascii="Times New Roman" w:hAnsi="Times New Roman" w:cs="Times New Roman"/>
          <w:sz w:val="24"/>
          <w:szCs w:val="24"/>
        </w:rPr>
        <w:t xml:space="preserve"> is an </w:t>
      </w:r>
      <w:r>
        <w:rPr>
          <w:rFonts w:ascii="Times New Roman" w:hAnsi="Times New Roman" w:cs="Times New Roman"/>
          <w:sz w:val="24"/>
          <w:szCs w:val="24"/>
        </w:rPr>
        <w:t>IRA</w:t>
      </w:r>
      <w:r w:rsidRPr="00530549">
        <w:rPr>
          <w:rFonts w:ascii="Times New Roman" w:hAnsi="Times New Roman" w:cs="Times New Roman"/>
          <w:sz w:val="24"/>
          <w:szCs w:val="24"/>
        </w:rPr>
        <w:t xml:space="preserve"> established and maintained by the employee to </w:t>
      </w:r>
      <w:proofErr w:type="gramStart"/>
      <w:r w:rsidRPr="00530549">
        <w:rPr>
          <w:rFonts w:ascii="Times New Roman" w:hAnsi="Times New Roman" w:cs="Times New Roman"/>
          <w:sz w:val="24"/>
          <w:szCs w:val="24"/>
        </w:rPr>
        <w:t>which</w:t>
      </w:r>
      <w:proofErr w:type="gramEnd"/>
      <w:r w:rsidRPr="00530549">
        <w:rPr>
          <w:rFonts w:ascii="Times New Roman" w:hAnsi="Times New Roman" w:cs="Times New Roman"/>
          <w:sz w:val="24"/>
          <w:szCs w:val="24"/>
        </w:rPr>
        <w:t xml:space="preserve"> an employer contributes.</w:t>
      </w:r>
    </w:p>
    <w:p w:rsidR="00530549" w:rsidRPr="00530549" w:rsidRDefault="00530549" w:rsidP="00530549">
      <w:pPr>
        <w:spacing w:after="0" w:line="240" w:lineRule="auto"/>
        <w:ind w:left="720"/>
        <w:rPr>
          <w:rFonts w:ascii="Times New Roman" w:hAnsi="Times New Roman" w:cs="Times New Roman"/>
          <w:sz w:val="24"/>
          <w:szCs w:val="24"/>
        </w:rPr>
      </w:pPr>
    </w:p>
    <w:p w:rsidR="00530549" w:rsidRDefault="00530549" w:rsidP="00530549">
      <w:pPr>
        <w:spacing w:after="0" w:line="240" w:lineRule="auto"/>
        <w:ind w:left="720"/>
        <w:rPr>
          <w:rFonts w:ascii="Times New Roman" w:hAnsi="Times New Roman" w:cs="Times New Roman"/>
          <w:sz w:val="24"/>
          <w:szCs w:val="24"/>
        </w:rPr>
      </w:pPr>
      <w:r w:rsidRPr="00530549">
        <w:rPr>
          <w:rFonts w:ascii="Times New Roman" w:hAnsi="Times New Roman" w:cs="Times New Roman"/>
          <w:sz w:val="24"/>
          <w:szCs w:val="24"/>
        </w:rPr>
        <w:t xml:space="preserve">The ease of administering these plans and the complete discretion </w:t>
      </w:r>
      <w:r w:rsidR="00BE393C">
        <w:rPr>
          <w:rFonts w:ascii="Times New Roman" w:hAnsi="Times New Roman" w:cs="Times New Roman"/>
          <w:sz w:val="24"/>
          <w:szCs w:val="24"/>
        </w:rPr>
        <w:t>given to</w:t>
      </w:r>
      <w:r w:rsidR="00BE393C" w:rsidRPr="00530549">
        <w:rPr>
          <w:rFonts w:ascii="Times New Roman" w:hAnsi="Times New Roman" w:cs="Times New Roman"/>
          <w:sz w:val="24"/>
          <w:szCs w:val="24"/>
        </w:rPr>
        <w:t xml:space="preserve"> </w:t>
      </w:r>
      <w:r w:rsidRPr="00530549">
        <w:rPr>
          <w:rFonts w:ascii="Times New Roman" w:hAnsi="Times New Roman" w:cs="Times New Roman"/>
          <w:sz w:val="24"/>
          <w:szCs w:val="24"/>
        </w:rPr>
        <w:t xml:space="preserve">the employer in deciding </w:t>
      </w:r>
      <w:r w:rsidR="002D2198" w:rsidRPr="00530549">
        <w:rPr>
          <w:rFonts w:ascii="Times New Roman" w:hAnsi="Times New Roman" w:cs="Times New Roman"/>
          <w:sz w:val="24"/>
          <w:szCs w:val="24"/>
        </w:rPr>
        <w:t>whether</w:t>
      </w:r>
      <w:r w:rsidRPr="00530549">
        <w:rPr>
          <w:rFonts w:ascii="Times New Roman" w:hAnsi="Times New Roman" w:cs="Times New Roman"/>
          <w:sz w:val="24"/>
          <w:szCs w:val="24"/>
        </w:rPr>
        <w:t xml:space="preserve"> to make an annual contribution are features that are especially attractive. An employer may deduct contributions paid to a SEP in an amount not in excess of 25 percent of the compensation paid to employees during the calendar year ending with or within the tax year (this is the same deduction basis as for profit sharing </w:t>
      </w:r>
      <w:r w:rsidRPr="00530549">
        <w:rPr>
          <w:rFonts w:ascii="Times New Roman" w:hAnsi="Times New Roman" w:cs="Times New Roman"/>
          <w:sz w:val="24"/>
          <w:szCs w:val="24"/>
        </w:rPr>
        <w:lastRenderedPageBreak/>
        <w:t>plans</w:t>
      </w:r>
      <w:proofErr w:type="gramStart"/>
      <w:r w:rsidR="0066141B">
        <w:rPr>
          <w:rFonts w:ascii="Times New Roman" w:hAnsi="Times New Roman" w:cs="Times New Roman"/>
          <w:sz w:val="24"/>
          <w:szCs w:val="24"/>
        </w:rPr>
        <w:t xml:space="preserve">) </w:t>
      </w:r>
      <w:r w:rsidR="00BE393C" w:rsidRPr="00530549">
        <w:rPr>
          <w:rFonts w:ascii="Times New Roman" w:hAnsi="Times New Roman" w:cs="Times New Roman"/>
          <w:sz w:val="24"/>
          <w:szCs w:val="24"/>
        </w:rPr>
        <w:t>.</w:t>
      </w:r>
      <w:proofErr w:type="gramEnd"/>
      <w:r w:rsidR="00BE393C" w:rsidRPr="00530549">
        <w:rPr>
          <w:rFonts w:ascii="Times New Roman" w:hAnsi="Times New Roman" w:cs="Times New Roman"/>
          <w:sz w:val="24"/>
          <w:szCs w:val="24"/>
        </w:rPr>
        <w:t xml:space="preserve"> </w:t>
      </w:r>
      <w:r w:rsidRPr="00530549">
        <w:rPr>
          <w:rFonts w:ascii="Times New Roman" w:hAnsi="Times New Roman" w:cs="Times New Roman"/>
          <w:sz w:val="24"/>
          <w:szCs w:val="24"/>
        </w:rPr>
        <w:t>In applying the 25 percent ceiling on the employer’s deduction for SEP contributions, the annual compensation of each employee that is taken into account under the plan for any year can be no more than $</w:t>
      </w:r>
      <w:r>
        <w:rPr>
          <w:rFonts w:ascii="Times New Roman" w:hAnsi="Times New Roman" w:cs="Times New Roman"/>
          <w:sz w:val="24"/>
          <w:szCs w:val="24"/>
        </w:rPr>
        <w:t>260</w:t>
      </w:r>
      <w:r w:rsidRPr="00530549">
        <w:rPr>
          <w:rFonts w:ascii="Times New Roman" w:hAnsi="Times New Roman" w:cs="Times New Roman"/>
          <w:sz w:val="24"/>
          <w:szCs w:val="24"/>
        </w:rPr>
        <w:t>,000 for the year 201</w:t>
      </w:r>
      <w:r>
        <w:rPr>
          <w:rFonts w:ascii="Times New Roman" w:hAnsi="Times New Roman" w:cs="Times New Roman"/>
          <w:sz w:val="24"/>
          <w:szCs w:val="24"/>
        </w:rPr>
        <w:t>4</w:t>
      </w:r>
      <w:r w:rsidRPr="00530549">
        <w:rPr>
          <w:rFonts w:ascii="Times New Roman" w:hAnsi="Times New Roman" w:cs="Times New Roman"/>
          <w:sz w:val="24"/>
          <w:szCs w:val="24"/>
        </w:rPr>
        <w:t>.</w:t>
      </w:r>
    </w:p>
    <w:p w:rsidR="00530549" w:rsidRPr="00530549" w:rsidRDefault="00530549" w:rsidP="00530549">
      <w:pPr>
        <w:spacing w:after="0" w:line="240" w:lineRule="auto"/>
        <w:ind w:left="720"/>
        <w:rPr>
          <w:rFonts w:ascii="Times New Roman" w:hAnsi="Times New Roman" w:cs="Times New Roman"/>
          <w:sz w:val="24"/>
          <w:szCs w:val="24"/>
        </w:rPr>
      </w:pPr>
    </w:p>
    <w:p w:rsidR="00530549" w:rsidRDefault="00530549" w:rsidP="00530549">
      <w:pPr>
        <w:pStyle w:val="NoSpacing"/>
        <w:ind w:left="720"/>
        <w:rPr>
          <w:rFonts w:ascii="Times New Roman" w:hAnsi="Times New Roman" w:cs="Times New Roman"/>
          <w:b/>
          <w:sz w:val="24"/>
          <w:szCs w:val="24"/>
        </w:rPr>
      </w:pPr>
      <w:r w:rsidRPr="00AE6419">
        <w:rPr>
          <w:rFonts w:ascii="Times New Roman" w:hAnsi="Times New Roman" w:cs="Times New Roman"/>
          <w:b/>
          <w:sz w:val="24"/>
          <w:szCs w:val="24"/>
        </w:rPr>
        <w:t xml:space="preserve">Q. </w:t>
      </w:r>
      <w:r>
        <w:rPr>
          <w:rFonts w:ascii="Times New Roman" w:hAnsi="Times New Roman" w:cs="Times New Roman"/>
          <w:b/>
          <w:sz w:val="24"/>
          <w:szCs w:val="24"/>
        </w:rPr>
        <w:t>9</w:t>
      </w:r>
      <w:r w:rsidRPr="00AE6419">
        <w:rPr>
          <w:rFonts w:ascii="Times New Roman" w:hAnsi="Times New Roman" w:cs="Times New Roman"/>
          <w:b/>
          <w:sz w:val="24"/>
          <w:szCs w:val="24"/>
        </w:rPr>
        <w:t>.</w:t>
      </w:r>
      <w:r>
        <w:rPr>
          <w:rFonts w:ascii="Times New Roman" w:hAnsi="Times New Roman" w:cs="Times New Roman"/>
          <w:b/>
          <w:sz w:val="24"/>
          <w:szCs w:val="24"/>
        </w:rPr>
        <w:t>08</w:t>
      </w:r>
      <w:r w:rsidRPr="00AE6419">
        <w:rPr>
          <w:rFonts w:ascii="Times New Roman" w:hAnsi="Times New Roman" w:cs="Times New Roman"/>
          <w:b/>
          <w:sz w:val="24"/>
          <w:szCs w:val="24"/>
        </w:rPr>
        <w:t>:</w:t>
      </w:r>
      <w:r w:rsidRPr="00AE6419">
        <w:rPr>
          <w:rFonts w:ascii="Times New Roman" w:hAnsi="Times New Roman" w:cs="Times New Roman"/>
          <w:b/>
          <w:sz w:val="24"/>
          <w:szCs w:val="24"/>
        </w:rPr>
        <w:tab/>
      </w:r>
      <w:r>
        <w:rPr>
          <w:rFonts w:ascii="Times New Roman" w:hAnsi="Times New Roman" w:cs="Times New Roman"/>
          <w:b/>
          <w:sz w:val="24"/>
          <w:szCs w:val="24"/>
        </w:rPr>
        <w:t>Which employees are eligible to participate in a SEP IRA?</w:t>
      </w:r>
    </w:p>
    <w:p w:rsidR="00530549" w:rsidRDefault="00530549" w:rsidP="00530549">
      <w:pPr>
        <w:pStyle w:val="NoSpacing"/>
        <w:ind w:left="720"/>
        <w:rPr>
          <w:rFonts w:ascii="Times New Roman" w:hAnsi="Times New Roman" w:cs="Times New Roman"/>
          <w:b/>
          <w:sz w:val="24"/>
          <w:szCs w:val="24"/>
        </w:rPr>
      </w:pPr>
    </w:p>
    <w:p w:rsidR="00CF0A30" w:rsidRDefault="00530549" w:rsidP="00530549">
      <w:pPr>
        <w:spacing w:after="0" w:line="240" w:lineRule="auto"/>
        <w:ind w:left="720"/>
        <w:rPr>
          <w:rFonts w:ascii="Times New Roman" w:hAnsi="Times New Roman" w:cs="Times New Roman"/>
          <w:sz w:val="24"/>
          <w:szCs w:val="24"/>
        </w:rPr>
      </w:pPr>
      <w:r w:rsidRPr="00530549">
        <w:rPr>
          <w:rFonts w:ascii="Times New Roman" w:hAnsi="Times New Roman" w:cs="Times New Roman"/>
          <w:sz w:val="24"/>
          <w:szCs w:val="24"/>
        </w:rPr>
        <w:t xml:space="preserve">Participation requirements for SEPs differ from qualified plans discussed in </w:t>
      </w:r>
      <w:r w:rsidRPr="002D2198">
        <w:rPr>
          <w:rFonts w:ascii="Times New Roman" w:hAnsi="Times New Roman" w:cs="Times New Roman"/>
          <w:sz w:val="24"/>
          <w:szCs w:val="24"/>
        </w:rPr>
        <w:t xml:space="preserve">Chapter </w:t>
      </w:r>
      <w:r w:rsidR="002D2198" w:rsidRPr="002D2198">
        <w:rPr>
          <w:rFonts w:ascii="Times New Roman" w:hAnsi="Times New Roman" w:cs="Times New Roman"/>
          <w:sz w:val="24"/>
          <w:szCs w:val="24"/>
        </w:rPr>
        <w:t>2</w:t>
      </w:r>
      <w:r w:rsidRPr="002D2198">
        <w:rPr>
          <w:rFonts w:ascii="Times New Roman" w:hAnsi="Times New Roman" w:cs="Times New Roman"/>
          <w:sz w:val="24"/>
          <w:szCs w:val="24"/>
        </w:rPr>
        <w:t>.</w:t>
      </w:r>
      <w:r w:rsidRPr="00530549">
        <w:rPr>
          <w:rFonts w:ascii="Times New Roman" w:hAnsi="Times New Roman" w:cs="Times New Roman"/>
          <w:sz w:val="24"/>
          <w:szCs w:val="24"/>
        </w:rPr>
        <w:t xml:space="preserve"> Eligibility requirements to participate in a SEP are limited to an employee who has attained age </w:t>
      </w:r>
      <w:r w:rsidR="00CF0A30">
        <w:rPr>
          <w:rFonts w:ascii="Times New Roman" w:hAnsi="Times New Roman" w:cs="Times New Roman"/>
          <w:sz w:val="24"/>
          <w:szCs w:val="24"/>
        </w:rPr>
        <w:t>twenty-one</w:t>
      </w:r>
      <w:r w:rsidRPr="00530549">
        <w:rPr>
          <w:rFonts w:ascii="Times New Roman" w:hAnsi="Times New Roman" w:cs="Times New Roman"/>
          <w:sz w:val="24"/>
          <w:szCs w:val="24"/>
        </w:rPr>
        <w:t xml:space="preserve">, has performed service for the employer during at least three of the immediately preceding five years, and has received at least $550 in compensation from the employer for the year. The plan may exclude union employees and </w:t>
      </w:r>
      <w:r w:rsidR="002D2198" w:rsidRPr="00530549">
        <w:rPr>
          <w:rFonts w:ascii="Times New Roman" w:hAnsi="Times New Roman" w:cs="Times New Roman"/>
          <w:sz w:val="24"/>
          <w:szCs w:val="24"/>
        </w:rPr>
        <w:t>nonresident</w:t>
      </w:r>
      <w:r w:rsidRPr="00530549">
        <w:rPr>
          <w:rFonts w:ascii="Times New Roman" w:hAnsi="Times New Roman" w:cs="Times New Roman"/>
          <w:sz w:val="24"/>
          <w:szCs w:val="24"/>
        </w:rPr>
        <w:t xml:space="preserve"> aliens. In addition, contributions may not discriminate in favor of highly compensated employees. The ability to require one year of service and </w:t>
      </w:r>
      <w:r w:rsidR="00C56CA2" w:rsidRPr="00530549">
        <w:rPr>
          <w:rFonts w:ascii="Times New Roman" w:hAnsi="Times New Roman" w:cs="Times New Roman"/>
          <w:sz w:val="24"/>
          <w:szCs w:val="24"/>
        </w:rPr>
        <w:t>full</w:t>
      </w:r>
      <w:r w:rsidR="00C56CA2">
        <w:rPr>
          <w:rFonts w:ascii="Times New Roman" w:hAnsi="Times New Roman" w:cs="Times New Roman"/>
          <w:sz w:val="24"/>
          <w:szCs w:val="24"/>
        </w:rPr>
        <w:t>-</w:t>
      </w:r>
      <w:r w:rsidRPr="00530549">
        <w:rPr>
          <w:rFonts w:ascii="Times New Roman" w:hAnsi="Times New Roman" w:cs="Times New Roman"/>
          <w:sz w:val="24"/>
          <w:szCs w:val="24"/>
        </w:rPr>
        <w:t>time employment, i.e.</w:t>
      </w:r>
      <w:r w:rsidR="00CF0A30">
        <w:rPr>
          <w:rFonts w:ascii="Times New Roman" w:hAnsi="Times New Roman" w:cs="Times New Roman"/>
          <w:sz w:val="24"/>
          <w:szCs w:val="24"/>
        </w:rPr>
        <w:t>,</w:t>
      </w:r>
      <w:r w:rsidRPr="00530549">
        <w:rPr>
          <w:rFonts w:ascii="Times New Roman" w:hAnsi="Times New Roman" w:cs="Times New Roman"/>
          <w:sz w:val="24"/>
          <w:szCs w:val="24"/>
        </w:rPr>
        <w:t xml:space="preserve"> 1</w:t>
      </w:r>
      <w:r w:rsidR="00CF0A30">
        <w:rPr>
          <w:rFonts w:ascii="Times New Roman" w:hAnsi="Times New Roman" w:cs="Times New Roman"/>
          <w:sz w:val="24"/>
          <w:szCs w:val="24"/>
        </w:rPr>
        <w:t>,</w:t>
      </w:r>
      <w:r w:rsidRPr="00530549">
        <w:rPr>
          <w:rFonts w:ascii="Times New Roman" w:hAnsi="Times New Roman" w:cs="Times New Roman"/>
          <w:sz w:val="24"/>
          <w:szCs w:val="24"/>
        </w:rPr>
        <w:t xml:space="preserve">000 hours annually, does not apply to SEPs, making it necessary to include both </w:t>
      </w:r>
      <w:r w:rsidR="00CF0A30" w:rsidRPr="00530549">
        <w:rPr>
          <w:rFonts w:ascii="Times New Roman" w:hAnsi="Times New Roman" w:cs="Times New Roman"/>
          <w:sz w:val="24"/>
          <w:szCs w:val="24"/>
        </w:rPr>
        <w:t>full</w:t>
      </w:r>
      <w:r w:rsidR="00CF0A30">
        <w:rPr>
          <w:rFonts w:ascii="Times New Roman" w:hAnsi="Times New Roman" w:cs="Times New Roman"/>
          <w:sz w:val="24"/>
          <w:szCs w:val="24"/>
        </w:rPr>
        <w:t>-</w:t>
      </w:r>
      <w:r w:rsidRPr="00530549">
        <w:rPr>
          <w:rFonts w:ascii="Times New Roman" w:hAnsi="Times New Roman" w:cs="Times New Roman"/>
          <w:sz w:val="24"/>
          <w:szCs w:val="24"/>
        </w:rPr>
        <w:t xml:space="preserve">time and </w:t>
      </w:r>
      <w:r w:rsidR="00CF0A30" w:rsidRPr="00530549">
        <w:rPr>
          <w:rFonts w:ascii="Times New Roman" w:hAnsi="Times New Roman" w:cs="Times New Roman"/>
          <w:sz w:val="24"/>
          <w:szCs w:val="24"/>
        </w:rPr>
        <w:t>part</w:t>
      </w:r>
      <w:r w:rsidR="00CF0A30">
        <w:rPr>
          <w:rFonts w:ascii="Times New Roman" w:hAnsi="Times New Roman" w:cs="Times New Roman"/>
          <w:sz w:val="24"/>
          <w:szCs w:val="24"/>
        </w:rPr>
        <w:t>-</w:t>
      </w:r>
      <w:r w:rsidRPr="00530549">
        <w:rPr>
          <w:rFonts w:ascii="Times New Roman" w:hAnsi="Times New Roman" w:cs="Times New Roman"/>
          <w:sz w:val="24"/>
          <w:szCs w:val="24"/>
        </w:rPr>
        <w:t xml:space="preserve">time employees. </w:t>
      </w:r>
    </w:p>
    <w:p w:rsidR="00CF0A30" w:rsidRDefault="00CF0A30" w:rsidP="00530549">
      <w:pPr>
        <w:spacing w:after="0" w:line="240" w:lineRule="auto"/>
        <w:ind w:left="720"/>
        <w:rPr>
          <w:rFonts w:ascii="Times New Roman" w:hAnsi="Times New Roman" w:cs="Times New Roman"/>
          <w:sz w:val="24"/>
          <w:szCs w:val="24"/>
        </w:rPr>
      </w:pPr>
    </w:p>
    <w:p w:rsidR="00530549" w:rsidRDefault="00530549" w:rsidP="00530549">
      <w:pPr>
        <w:spacing w:after="0" w:line="240" w:lineRule="auto"/>
        <w:ind w:left="720"/>
        <w:rPr>
          <w:rFonts w:ascii="Times New Roman" w:hAnsi="Times New Roman" w:cs="Times New Roman"/>
          <w:sz w:val="24"/>
          <w:szCs w:val="24"/>
        </w:rPr>
      </w:pPr>
      <w:r w:rsidRPr="00530549">
        <w:rPr>
          <w:rFonts w:ascii="Times New Roman" w:hAnsi="Times New Roman" w:cs="Times New Roman"/>
          <w:sz w:val="24"/>
          <w:szCs w:val="24"/>
        </w:rPr>
        <w:t>Many small employers that sponsor a SEP do not apply the eligibility rules correctly. Consider this example</w:t>
      </w:r>
      <w:r w:rsidR="00277970">
        <w:rPr>
          <w:rFonts w:ascii="Times New Roman" w:hAnsi="Times New Roman" w:cs="Times New Roman"/>
          <w:sz w:val="24"/>
          <w:szCs w:val="24"/>
        </w:rPr>
        <w:t>.</w:t>
      </w:r>
    </w:p>
    <w:p w:rsidR="00277970" w:rsidRPr="00530549" w:rsidRDefault="00277970" w:rsidP="00530549">
      <w:pPr>
        <w:spacing w:after="0" w:line="240" w:lineRule="auto"/>
        <w:ind w:left="720"/>
        <w:rPr>
          <w:rFonts w:ascii="Times New Roman" w:hAnsi="Times New Roman" w:cs="Times New Roman"/>
          <w:sz w:val="24"/>
          <w:szCs w:val="24"/>
        </w:rPr>
      </w:pPr>
    </w:p>
    <w:p w:rsidR="00530549" w:rsidRPr="0066141B" w:rsidRDefault="00530549" w:rsidP="00277970">
      <w:pPr>
        <w:spacing w:after="0" w:line="240" w:lineRule="auto"/>
        <w:ind w:left="1440"/>
        <w:rPr>
          <w:rFonts w:ascii="Times New Roman" w:hAnsi="Times New Roman" w:cs="Times New Roman"/>
          <w:i/>
          <w:sz w:val="24"/>
          <w:szCs w:val="24"/>
        </w:rPr>
      </w:pPr>
      <w:r w:rsidRPr="00277970">
        <w:rPr>
          <w:rFonts w:ascii="Times New Roman" w:hAnsi="Times New Roman" w:cs="Times New Roman"/>
          <w:b/>
          <w:sz w:val="24"/>
          <w:szCs w:val="24"/>
        </w:rPr>
        <w:t>Example</w:t>
      </w:r>
      <w:r w:rsidRPr="00530549">
        <w:rPr>
          <w:rFonts w:ascii="Times New Roman" w:hAnsi="Times New Roman" w:cs="Times New Roman"/>
          <w:sz w:val="24"/>
          <w:szCs w:val="24"/>
        </w:rPr>
        <w:t xml:space="preserve"> </w:t>
      </w:r>
      <w:r w:rsidRPr="0066141B">
        <w:rPr>
          <w:rFonts w:ascii="Times New Roman" w:hAnsi="Times New Roman" w:cs="Times New Roman"/>
          <w:i/>
          <w:sz w:val="24"/>
          <w:szCs w:val="24"/>
        </w:rPr>
        <w:t xml:space="preserve">Dr. Jonathan Jones began his private practice on January 1, </w:t>
      </w:r>
      <w:r w:rsidR="00C56CA2" w:rsidRPr="0066141B">
        <w:rPr>
          <w:rFonts w:ascii="Times New Roman" w:hAnsi="Times New Roman" w:cs="Times New Roman"/>
          <w:i/>
          <w:sz w:val="24"/>
          <w:szCs w:val="24"/>
        </w:rPr>
        <w:t>201</w:t>
      </w:r>
      <w:r w:rsidR="00C56CA2">
        <w:rPr>
          <w:rFonts w:ascii="Times New Roman" w:hAnsi="Times New Roman" w:cs="Times New Roman"/>
          <w:i/>
          <w:sz w:val="24"/>
          <w:szCs w:val="24"/>
        </w:rPr>
        <w:t>4</w:t>
      </w:r>
      <w:r w:rsidRPr="0066141B">
        <w:rPr>
          <w:rFonts w:ascii="Times New Roman" w:hAnsi="Times New Roman" w:cs="Times New Roman"/>
          <w:i/>
          <w:sz w:val="24"/>
          <w:szCs w:val="24"/>
        </w:rPr>
        <w:t xml:space="preserve">. At the same time, he adopted a SEP plan with his broker, signed the necessary IRS forms, and made a contribution for that year. On July 15, </w:t>
      </w:r>
      <w:r w:rsidR="00C56CA2" w:rsidRPr="0066141B">
        <w:rPr>
          <w:rFonts w:ascii="Times New Roman" w:hAnsi="Times New Roman" w:cs="Times New Roman"/>
          <w:i/>
          <w:sz w:val="24"/>
          <w:szCs w:val="24"/>
        </w:rPr>
        <w:t>201</w:t>
      </w:r>
      <w:r w:rsidR="00C56CA2">
        <w:rPr>
          <w:rFonts w:ascii="Times New Roman" w:hAnsi="Times New Roman" w:cs="Times New Roman"/>
          <w:i/>
          <w:sz w:val="24"/>
          <w:szCs w:val="24"/>
        </w:rPr>
        <w:t>4</w:t>
      </w:r>
      <w:r w:rsidRPr="0066141B">
        <w:rPr>
          <w:rFonts w:ascii="Times New Roman" w:hAnsi="Times New Roman" w:cs="Times New Roman"/>
          <w:i/>
          <w:sz w:val="24"/>
          <w:szCs w:val="24"/>
        </w:rPr>
        <w:t xml:space="preserve">, he hired a receptionist. He told the receptionist that she would be eligible to participate in his SEP in </w:t>
      </w:r>
      <w:r w:rsidR="00C56CA2" w:rsidRPr="0066141B">
        <w:rPr>
          <w:rFonts w:ascii="Times New Roman" w:hAnsi="Times New Roman" w:cs="Times New Roman"/>
          <w:i/>
          <w:sz w:val="24"/>
          <w:szCs w:val="24"/>
        </w:rPr>
        <w:t>201</w:t>
      </w:r>
      <w:r w:rsidR="00C56CA2">
        <w:rPr>
          <w:rFonts w:ascii="Times New Roman" w:hAnsi="Times New Roman" w:cs="Times New Roman"/>
          <w:i/>
          <w:sz w:val="24"/>
          <w:szCs w:val="24"/>
        </w:rPr>
        <w:t>7</w:t>
      </w:r>
      <w:r w:rsidRPr="0066141B">
        <w:rPr>
          <w:rFonts w:ascii="Times New Roman" w:hAnsi="Times New Roman" w:cs="Times New Roman"/>
          <w:i/>
          <w:sz w:val="24"/>
          <w:szCs w:val="24"/>
        </w:rPr>
        <w:t xml:space="preserve">, the third anniversary of her date of hire. This is not consistent with the requirements that the plan treat all employees the same. If Dr. Jones participated immediately, his employees must also participate immediately, requiring a contribution for his receptionist in </w:t>
      </w:r>
      <w:r w:rsidR="00C56CA2" w:rsidRPr="0066141B">
        <w:rPr>
          <w:rFonts w:ascii="Times New Roman" w:hAnsi="Times New Roman" w:cs="Times New Roman"/>
          <w:i/>
          <w:sz w:val="24"/>
          <w:szCs w:val="24"/>
        </w:rPr>
        <w:t>201</w:t>
      </w:r>
      <w:r w:rsidR="00C56CA2">
        <w:rPr>
          <w:rFonts w:ascii="Times New Roman" w:hAnsi="Times New Roman" w:cs="Times New Roman"/>
          <w:i/>
          <w:sz w:val="24"/>
          <w:szCs w:val="24"/>
        </w:rPr>
        <w:t>4</w:t>
      </w:r>
      <w:r w:rsidRPr="0066141B">
        <w:rPr>
          <w:rFonts w:ascii="Times New Roman" w:hAnsi="Times New Roman" w:cs="Times New Roman"/>
          <w:i/>
          <w:sz w:val="24"/>
          <w:szCs w:val="24"/>
        </w:rPr>
        <w:t>.</w:t>
      </w:r>
    </w:p>
    <w:p w:rsidR="00277970" w:rsidRPr="00530549" w:rsidRDefault="00277970" w:rsidP="00277970">
      <w:pPr>
        <w:spacing w:after="0" w:line="240" w:lineRule="auto"/>
        <w:ind w:left="1440"/>
        <w:rPr>
          <w:rFonts w:ascii="Times New Roman" w:hAnsi="Times New Roman" w:cs="Times New Roman"/>
          <w:sz w:val="24"/>
          <w:szCs w:val="24"/>
        </w:rPr>
      </w:pPr>
    </w:p>
    <w:p w:rsidR="00277970" w:rsidRDefault="00277970" w:rsidP="00277970">
      <w:pPr>
        <w:pStyle w:val="NoSpacing"/>
        <w:ind w:left="720"/>
        <w:rPr>
          <w:rFonts w:ascii="Times New Roman" w:hAnsi="Times New Roman" w:cs="Times New Roman"/>
          <w:b/>
          <w:sz w:val="24"/>
          <w:szCs w:val="24"/>
        </w:rPr>
      </w:pPr>
      <w:r w:rsidRPr="00AE6419">
        <w:rPr>
          <w:rFonts w:ascii="Times New Roman" w:hAnsi="Times New Roman" w:cs="Times New Roman"/>
          <w:b/>
          <w:sz w:val="24"/>
          <w:szCs w:val="24"/>
        </w:rPr>
        <w:t xml:space="preserve">Q. </w:t>
      </w:r>
      <w:r>
        <w:rPr>
          <w:rFonts w:ascii="Times New Roman" w:hAnsi="Times New Roman" w:cs="Times New Roman"/>
          <w:b/>
          <w:sz w:val="24"/>
          <w:szCs w:val="24"/>
        </w:rPr>
        <w:t>9</w:t>
      </w:r>
      <w:r w:rsidRPr="00AE6419">
        <w:rPr>
          <w:rFonts w:ascii="Times New Roman" w:hAnsi="Times New Roman" w:cs="Times New Roman"/>
          <w:b/>
          <w:sz w:val="24"/>
          <w:szCs w:val="24"/>
        </w:rPr>
        <w:t>.</w:t>
      </w:r>
      <w:r>
        <w:rPr>
          <w:rFonts w:ascii="Times New Roman" w:hAnsi="Times New Roman" w:cs="Times New Roman"/>
          <w:b/>
          <w:sz w:val="24"/>
          <w:szCs w:val="24"/>
        </w:rPr>
        <w:t>09</w:t>
      </w:r>
      <w:r w:rsidRPr="00AE6419">
        <w:rPr>
          <w:rFonts w:ascii="Times New Roman" w:hAnsi="Times New Roman" w:cs="Times New Roman"/>
          <w:b/>
          <w:sz w:val="24"/>
          <w:szCs w:val="24"/>
        </w:rPr>
        <w:t>:</w:t>
      </w:r>
      <w:r w:rsidRPr="00AE6419">
        <w:rPr>
          <w:rFonts w:ascii="Times New Roman" w:hAnsi="Times New Roman" w:cs="Times New Roman"/>
          <w:b/>
          <w:sz w:val="24"/>
          <w:szCs w:val="24"/>
        </w:rPr>
        <w:tab/>
      </w:r>
      <w:r>
        <w:rPr>
          <w:rFonts w:ascii="Times New Roman" w:hAnsi="Times New Roman" w:cs="Times New Roman"/>
          <w:b/>
          <w:sz w:val="24"/>
          <w:szCs w:val="24"/>
        </w:rPr>
        <w:t>How is a SEP established?</w:t>
      </w:r>
    </w:p>
    <w:p w:rsidR="00277970" w:rsidRDefault="00277970" w:rsidP="00277970">
      <w:pPr>
        <w:pStyle w:val="NoSpacing"/>
        <w:ind w:left="720"/>
        <w:rPr>
          <w:rFonts w:ascii="Times New Roman" w:hAnsi="Times New Roman" w:cs="Times New Roman"/>
          <w:b/>
          <w:sz w:val="24"/>
          <w:szCs w:val="24"/>
        </w:rPr>
      </w:pPr>
    </w:p>
    <w:p w:rsidR="00530549" w:rsidRDefault="00530549" w:rsidP="00530549">
      <w:pPr>
        <w:spacing w:after="0" w:line="240" w:lineRule="auto"/>
        <w:ind w:left="720"/>
        <w:rPr>
          <w:rFonts w:ascii="Times New Roman" w:hAnsi="Times New Roman" w:cs="Times New Roman"/>
          <w:sz w:val="24"/>
          <w:szCs w:val="24"/>
        </w:rPr>
      </w:pPr>
      <w:r w:rsidRPr="00530549">
        <w:rPr>
          <w:rFonts w:ascii="Times New Roman" w:hAnsi="Times New Roman" w:cs="Times New Roman"/>
          <w:sz w:val="24"/>
          <w:szCs w:val="24"/>
        </w:rPr>
        <w:t>A SEP is established by the employer completing IRS Form 5305-SEP</w:t>
      </w:r>
      <w:r w:rsidR="00277970">
        <w:rPr>
          <w:rFonts w:ascii="Times New Roman" w:hAnsi="Times New Roman" w:cs="Times New Roman"/>
          <w:sz w:val="24"/>
          <w:szCs w:val="24"/>
        </w:rPr>
        <w:t>,</w:t>
      </w:r>
      <w:r w:rsidRPr="00530549">
        <w:rPr>
          <w:rFonts w:ascii="Times New Roman" w:hAnsi="Times New Roman" w:cs="Times New Roman"/>
          <w:sz w:val="24"/>
          <w:szCs w:val="24"/>
        </w:rPr>
        <w:t xml:space="preserve"> which sets forth eligibility requirements. The instructions to this form state, “This agreem</w:t>
      </w:r>
      <w:r w:rsidR="00277970">
        <w:rPr>
          <w:rFonts w:ascii="Times New Roman" w:hAnsi="Times New Roman" w:cs="Times New Roman"/>
          <w:sz w:val="24"/>
          <w:szCs w:val="24"/>
        </w:rPr>
        <w:t>ent is considered adopted when:</w:t>
      </w:r>
    </w:p>
    <w:p w:rsidR="00277970" w:rsidRPr="00530549" w:rsidRDefault="00277970" w:rsidP="00530549">
      <w:pPr>
        <w:spacing w:after="0" w:line="240" w:lineRule="auto"/>
        <w:ind w:left="720"/>
        <w:rPr>
          <w:rFonts w:ascii="Times New Roman" w:hAnsi="Times New Roman" w:cs="Times New Roman"/>
          <w:sz w:val="24"/>
          <w:szCs w:val="24"/>
        </w:rPr>
      </w:pPr>
    </w:p>
    <w:p w:rsidR="00530549" w:rsidRPr="00277970" w:rsidRDefault="00530549" w:rsidP="000101E8">
      <w:pPr>
        <w:pStyle w:val="ListParagraph"/>
        <w:numPr>
          <w:ilvl w:val="0"/>
          <w:numId w:val="10"/>
        </w:numPr>
        <w:spacing w:after="0" w:line="240" w:lineRule="auto"/>
        <w:ind w:left="1800"/>
        <w:rPr>
          <w:rFonts w:ascii="Times New Roman" w:hAnsi="Times New Roman" w:cs="Times New Roman"/>
          <w:sz w:val="24"/>
          <w:szCs w:val="24"/>
        </w:rPr>
      </w:pPr>
      <w:r w:rsidRPr="00277970">
        <w:rPr>
          <w:rFonts w:ascii="Times New Roman" w:hAnsi="Times New Roman" w:cs="Times New Roman"/>
          <w:sz w:val="24"/>
          <w:szCs w:val="24"/>
        </w:rPr>
        <w:t>IRAs have been established for all your eligible employees;</w:t>
      </w:r>
    </w:p>
    <w:p w:rsidR="00277970" w:rsidRPr="00530549" w:rsidRDefault="00277970" w:rsidP="00277970">
      <w:pPr>
        <w:spacing w:after="0" w:line="240" w:lineRule="auto"/>
        <w:ind w:left="1080"/>
        <w:rPr>
          <w:rFonts w:ascii="Times New Roman" w:hAnsi="Times New Roman" w:cs="Times New Roman"/>
          <w:sz w:val="24"/>
          <w:szCs w:val="24"/>
        </w:rPr>
      </w:pPr>
    </w:p>
    <w:p w:rsidR="00530549" w:rsidRPr="00277970" w:rsidRDefault="00530549" w:rsidP="000101E8">
      <w:pPr>
        <w:pStyle w:val="ListParagraph"/>
        <w:numPr>
          <w:ilvl w:val="0"/>
          <w:numId w:val="10"/>
        </w:numPr>
        <w:spacing w:after="0" w:line="240" w:lineRule="auto"/>
        <w:ind w:left="1800"/>
        <w:rPr>
          <w:rFonts w:ascii="Times New Roman" w:hAnsi="Times New Roman" w:cs="Times New Roman"/>
          <w:sz w:val="24"/>
          <w:szCs w:val="24"/>
        </w:rPr>
      </w:pPr>
      <w:r w:rsidRPr="00277970">
        <w:rPr>
          <w:rFonts w:ascii="Times New Roman" w:hAnsi="Times New Roman" w:cs="Times New Roman"/>
          <w:sz w:val="24"/>
          <w:szCs w:val="24"/>
        </w:rPr>
        <w:t>You have completed all blanks on the agreement form without modification; and</w:t>
      </w:r>
    </w:p>
    <w:p w:rsidR="00277970" w:rsidRPr="00530549" w:rsidRDefault="00277970" w:rsidP="00277970">
      <w:pPr>
        <w:spacing w:after="0" w:line="240" w:lineRule="auto"/>
        <w:ind w:left="1080"/>
        <w:rPr>
          <w:rFonts w:ascii="Times New Roman" w:hAnsi="Times New Roman" w:cs="Times New Roman"/>
          <w:sz w:val="24"/>
          <w:szCs w:val="24"/>
        </w:rPr>
      </w:pPr>
    </w:p>
    <w:p w:rsidR="00530549" w:rsidRPr="00277970" w:rsidRDefault="00530549" w:rsidP="000101E8">
      <w:pPr>
        <w:pStyle w:val="ListParagraph"/>
        <w:numPr>
          <w:ilvl w:val="0"/>
          <w:numId w:val="10"/>
        </w:numPr>
        <w:spacing w:after="0" w:line="240" w:lineRule="auto"/>
        <w:ind w:left="1800"/>
        <w:rPr>
          <w:rFonts w:ascii="Times New Roman" w:hAnsi="Times New Roman" w:cs="Times New Roman"/>
          <w:sz w:val="24"/>
          <w:szCs w:val="24"/>
        </w:rPr>
      </w:pPr>
      <w:r w:rsidRPr="00277970">
        <w:rPr>
          <w:rFonts w:ascii="Times New Roman" w:hAnsi="Times New Roman" w:cs="Times New Roman"/>
          <w:sz w:val="24"/>
          <w:szCs w:val="24"/>
        </w:rPr>
        <w:t>You have given all your eligible employees the following information:</w:t>
      </w:r>
    </w:p>
    <w:p w:rsidR="00277970" w:rsidRPr="00530549" w:rsidRDefault="00277970" w:rsidP="00530549">
      <w:pPr>
        <w:spacing w:after="0" w:line="240" w:lineRule="auto"/>
        <w:ind w:left="720"/>
        <w:rPr>
          <w:rFonts w:ascii="Times New Roman" w:hAnsi="Times New Roman" w:cs="Times New Roman"/>
          <w:sz w:val="24"/>
          <w:szCs w:val="24"/>
        </w:rPr>
      </w:pPr>
    </w:p>
    <w:p w:rsidR="00530549" w:rsidRPr="00277970" w:rsidRDefault="00530549" w:rsidP="000101E8">
      <w:pPr>
        <w:pStyle w:val="ListParagraph"/>
        <w:numPr>
          <w:ilvl w:val="0"/>
          <w:numId w:val="11"/>
        </w:numPr>
        <w:spacing w:after="0" w:line="240" w:lineRule="auto"/>
        <w:ind w:left="2520"/>
        <w:rPr>
          <w:rFonts w:ascii="Times New Roman" w:hAnsi="Times New Roman" w:cs="Times New Roman"/>
          <w:sz w:val="24"/>
          <w:szCs w:val="24"/>
        </w:rPr>
      </w:pPr>
      <w:r w:rsidRPr="00277970">
        <w:rPr>
          <w:rFonts w:ascii="Times New Roman" w:hAnsi="Times New Roman" w:cs="Times New Roman"/>
          <w:sz w:val="24"/>
          <w:szCs w:val="24"/>
        </w:rPr>
        <w:t>A copy of Form 5305-SEP</w:t>
      </w:r>
    </w:p>
    <w:p w:rsidR="00277970" w:rsidRPr="00277970" w:rsidRDefault="00277970" w:rsidP="00277970">
      <w:pPr>
        <w:pStyle w:val="ListParagraph"/>
        <w:spacing w:after="0" w:line="240" w:lineRule="auto"/>
        <w:ind w:left="2520"/>
        <w:rPr>
          <w:rFonts w:ascii="Times New Roman" w:hAnsi="Times New Roman" w:cs="Times New Roman"/>
          <w:sz w:val="24"/>
          <w:szCs w:val="24"/>
        </w:rPr>
      </w:pPr>
    </w:p>
    <w:p w:rsidR="00530549" w:rsidRPr="00277970" w:rsidRDefault="00530549" w:rsidP="000101E8">
      <w:pPr>
        <w:pStyle w:val="ListParagraph"/>
        <w:numPr>
          <w:ilvl w:val="0"/>
          <w:numId w:val="11"/>
        </w:numPr>
        <w:spacing w:after="0" w:line="240" w:lineRule="auto"/>
        <w:ind w:left="2520"/>
        <w:rPr>
          <w:rFonts w:ascii="Times New Roman" w:hAnsi="Times New Roman" w:cs="Times New Roman"/>
          <w:sz w:val="24"/>
          <w:szCs w:val="24"/>
        </w:rPr>
      </w:pPr>
      <w:r w:rsidRPr="00277970">
        <w:rPr>
          <w:rFonts w:ascii="Times New Roman" w:hAnsi="Times New Roman" w:cs="Times New Roman"/>
          <w:sz w:val="24"/>
          <w:szCs w:val="24"/>
        </w:rPr>
        <w:t xml:space="preserve">A statement that traditional IRAs other than the traditional IRAs into which employer SEP contributions will be made may provide different </w:t>
      </w:r>
      <w:r w:rsidRPr="00277970">
        <w:rPr>
          <w:rFonts w:ascii="Times New Roman" w:hAnsi="Times New Roman" w:cs="Times New Roman"/>
          <w:sz w:val="24"/>
          <w:szCs w:val="24"/>
        </w:rPr>
        <w:lastRenderedPageBreak/>
        <w:t>rates of return and different terms concerning, among other things, transfers and withdrawals of funds from the IRAs.</w:t>
      </w:r>
    </w:p>
    <w:p w:rsidR="00277970" w:rsidRDefault="00277970" w:rsidP="00277970">
      <w:pPr>
        <w:spacing w:after="0" w:line="240" w:lineRule="auto"/>
        <w:ind w:left="1800"/>
        <w:rPr>
          <w:rFonts w:ascii="Times New Roman" w:hAnsi="Times New Roman" w:cs="Times New Roman"/>
          <w:sz w:val="24"/>
          <w:szCs w:val="24"/>
        </w:rPr>
      </w:pPr>
    </w:p>
    <w:p w:rsidR="00530549" w:rsidRPr="00277970" w:rsidRDefault="00530549" w:rsidP="000101E8">
      <w:pPr>
        <w:pStyle w:val="ListParagraph"/>
        <w:numPr>
          <w:ilvl w:val="0"/>
          <w:numId w:val="7"/>
        </w:numPr>
        <w:spacing w:after="0" w:line="240" w:lineRule="auto"/>
        <w:ind w:left="2520"/>
        <w:rPr>
          <w:rFonts w:ascii="Times New Roman" w:hAnsi="Times New Roman" w:cs="Times New Roman"/>
          <w:sz w:val="24"/>
          <w:szCs w:val="24"/>
        </w:rPr>
      </w:pPr>
      <w:r w:rsidRPr="00277970">
        <w:rPr>
          <w:rFonts w:ascii="Times New Roman" w:hAnsi="Times New Roman" w:cs="Times New Roman"/>
          <w:sz w:val="24"/>
          <w:szCs w:val="24"/>
        </w:rPr>
        <w:t xml:space="preserve">A statement that, in addition to the information provided to an employee at the time the employee becomes eligible to </w:t>
      </w:r>
      <w:proofErr w:type="gramStart"/>
      <w:r w:rsidRPr="00277970">
        <w:rPr>
          <w:rFonts w:ascii="Times New Roman" w:hAnsi="Times New Roman" w:cs="Times New Roman"/>
          <w:sz w:val="24"/>
          <w:szCs w:val="24"/>
        </w:rPr>
        <w:t>participate,</w:t>
      </w:r>
      <w:proofErr w:type="gramEnd"/>
      <w:r w:rsidRPr="00277970">
        <w:rPr>
          <w:rFonts w:ascii="Times New Roman" w:hAnsi="Times New Roman" w:cs="Times New Roman"/>
          <w:sz w:val="24"/>
          <w:szCs w:val="24"/>
        </w:rPr>
        <w:t xml:space="preserve"> the administrator of the SEP must furnish each participant, within 30 days of the effective date of any amendment to the SEP, a copy of the amendment and a written explanation of its effects.</w:t>
      </w:r>
    </w:p>
    <w:p w:rsidR="00277970" w:rsidRDefault="00277970" w:rsidP="00277970">
      <w:pPr>
        <w:spacing w:after="0" w:line="240" w:lineRule="auto"/>
        <w:ind w:left="1800"/>
        <w:rPr>
          <w:rFonts w:ascii="Times New Roman" w:hAnsi="Times New Roman" w:cs="Times New Roman"/>
          <w:sz w:val="24"/>
          <w:szCs w:val="24"/>
        </w:rPr>
      </w:pPr>
    </w:p>
    <w:p w:rsidR="00530549" w:rsidRPr="00277970" w:rsidRDefault="00530549" w:rsidP="000101E8">
      <w:pPr>
        <w:pStyle w:val="ListParagraph"/>
        <w:numPr>
          <w:ilvl w:val="0"/>
          <w:numId w:val="11"/>
        </w:numPr>
        <w:spacing w:after="0" w:line="240" w:lineRule="auto"/>
        <w:ind w:left="2520"/>
        <w:rPr>
          <w:rFonts w:ascii="Times New Roman" w:hAnsi="Times New Roman" w:cs="Times New Roman"/>
          <w:sz w:val="24"/>
          <w:szCs w:val="24"/>
        </w:rPr>
      </w:pPr>
      <w:r w:rsidRPr="00277970">
        <w:rPr>
          <w:rFonts w:ascii="Times New Roman" w:hAnsi="Times New Roman" w:cs="Times New Roman"/>
          <w:sz w:val="24"/>
          <w:szCs w:val="24"/>
        </w:rPr>
        <w:t>A statement that the administrator will give written notification to each participant of any employer contributions made under the SEP to that participant’s IRA by the later of January 31 of the year following the year for which a contribution is made or 30 days after the contribution is made.</w:t>
      </w:r>
    </w:p>
    <w:p w:rsidR="00277970" w:rsidRPr="00277970" w:rsidRDefault="00277970" w:rsidP="00277970">
      <w:pPr>
        <w:spacing w:after="0" w:line="240" w:lineRule="auto"/>
        <w:ind w:left="720"/>
        <w:rPr>
          <w:rFonts w:ascii="Times New Roman" w:hAnsi="Times New Roman" w:cs="Times New Roman"/>
          <w:sz w:val="24"/>
          <w:szCs w:val="24"/>
        </w:rPr>
      </w:pPr>
    </w:p>
    <w:p w:rsidR="00530549" w:rsidRDefault="00530549" w:rsidP="00530549">
      <w:pPr>
        <w:spacing w:after="0" w:line="240" w:lineRule="auto"/>
        <w:ind w:left="720"/>
        <w:rPr>
          <w:rFonts w:ascii="Times New Roman" w:hAnsi="Times New Roman" w:cs="Times New Roman"/>
          <w:sz w:val="24"/>
          <w:szCs w:val="24"/>
        </w:rPr>
      </w:pPr>
      <w:r w:rsidRPr="00530549">
        <w:rPr>
          <w:rFonts w:ascii="Times New Roman" w:hAnsi="Times New Roman" w:cs="Times New Roman"/>
          <w:sz w:val="24"/>
          <w:szCs w:val="24"/>
        </w:rPr>
        <w:t xml:space="preserve">Form 5305-SEP also sets forth </w:t>
      </w:r>
      <w:r w:rsidR="00B26C8C">
        <w:rPr>
          <w:rFonts w:ascii="Times New Roman" w:hAnsi="Times New Roman" w:cs="Times New Roman"/>
          <w:sz w:val="24"/>
          <w:szCs w:val="24"/>
        </w:rPr>
        <w:t xml:space="preserve">the </w:t>
      </w:r>
      <w:r w:rsidRPr="00530549">
        <w:rPr>
          <w:rFonts w:ascii="Times New Roman" w:hAnsi="Times New Roman" w:cs="Times New Roman"/>
          <w:sz w:val="24"/>
          <w:szCs w:val="24"/>
        </w:rPr>
        <w:t>required disclosure to be made by the financial institution holding the funds. This discl</w:t>
      </w:r>
      <w:r w:rsidR="00277970">
        <w:rPr>
          <w:rFonts w:ascii="Times New Roman" w:hAnsi="Times New Roman" w:cs="Times New Roman"/>
          <w:sz w:val="24"/>
          <w:szCs w:val="24"/>
        </w:rPr>
        <w:t>osure must be made in plain</w:t>
      </w:r>
      <w:r w:rsidR="00B26C8C">
        <w:rPr>
          <w:rFonts w:ascii="Times New Roman" w:hAnsi="Times New Roman" w:cs="Times New Roman"/>
          <w:sz w:val="24"/>
          <w:szCs w:val="24"/>
        </w:rPr>
        <w:t>,</w:t>
      </w:r>
      <w:r w:rsidR="00277970">
        <w:rPr>
          <w:rFonts w:ascii="Times New Roman" w:hAnsi="Times New Roman" w:cs="Times New Roman"/>
          <w:sz w:val="24"/>
          <w:szCs w:val="24"/>
        </w:rPr>
        <w:t xml:space="preserve"> non</w:t>
      </w:r>
      <w:r w:rsidRPr="00530549">
        <w:rPr>
          <w:rFonts w:ascii="Times New Roman" w:hAnsi="Times New Roman" w:cs="Times New Roman"/>
          <w:sz w:val="24"/>
          <w:szCs w:val="24"/>
        </w:rPr>
        <w:t>technical language including an annual statement allowing the participants to evaluate the performance of their accounts.</w:t>
      </w:r>
    </w:p>
    <w:p w:rsidR="00277970" w:rsidRPr="00530549" w:rsidRDefault="00277970" w:rsidP="00530549">
      <w:pPr>
        <w:spacing w:after="0" w:line="240" w:lineRule="auto"/>
        <w:ind w:left="720"/>
        <w:rPr>
          <w:rFonts w:ascii="Times New Roman" w:hAnsi="Times New Roman" w:cs="Times New Roman"/>
          <w:sz w:val="24"/>
          <w:szCs w:val="24"/>
        </w:rPr>
      </w:pPr>
    </w:p>
    <w:p w:rsidR="00277970" w:rsidRDefault="00277970" w:rsidP="00277970">
      <w:pPr>
        <w:pStyle w:val="NoSpacing"/>
        <w:ind w:left="720"/>
        <w:rPr>
          <w:rFonts w:ascii="Times New Roman" w:hAnsi="Times New Roman" w:cs="Times New Roman"/>
          <w:b/>
          <w:sz w:val="24"/>
          <w:szCs w:val="24"/>
        </w:rPr>
      </w:pPr>
      <w:r w:rsidRPr="00AE6419">
        <w:rPr>
          <w:rFonts w:ascii="Times New Roman" w:hAnsi="Times New Roman" w:cs="Times New Roman"/>
          <w:b/>
          <w:sz w:val="24"/>
          <w:szCs w:val="24"/>
        </w:rPr>
        <w:t xml:space="preserve">Q. </w:t>
      </w:r>
      <w:r>
        <w:rPr>
          <w:rFonts w:ascii="Times New Roman" w:hAnsi="Times New Roman" w:cs="Times New Roman"/>
          <w:b/>
          <w:sz w:val="24"/>
          <w:szCs w:val="24"/>
        </w:rPr>
        <w:t>9</w:t>
      </w:r>
      <w:r w:rsidRPr="00AE6419">
        <w:rPr>
          <w:rFonts w:ascii="Times New Roman" w:hAnsi="Times New Roman" w:cs="Times New Roman"/>
          <w:b/>
          <w:sz w:val="24"/>
          <w:szCs w:val="24"/>
        </w:rPr>
        <w:t>.</w:t>
      </w:r>
      <w:r>
        <w:rPr>
          <w:rFonts w:ascii="Times New Roman" w:hAnsi="Times New Roman" w:cs="Times New Roman"/>
          <w:b/>
          <w:sz w:val="24"/>
          <w:szCs w:val="24"/>
        </w:rPr>
        <w:t>10</w:t>
      </w:r>
      <w:r w:rsidRPr="00AE6419">
        <w:rPr>
          <w:rFonts w:ascii="Times New Roman" w:hAnsi="Times New Roman" w:cs="Times New Roman"/>
          <w:b/>
          <w:sz w:val="24"/>
          <w:szCs w:val="24"/>
        </w:rPr>
        <w:t>:</w:t>
      </w:r>
      <w:r w:rsidRPr="00AE6419">
        <w:rPr>
          <w:rFonts w:ascii="Times New Roman" w:hAnsi="Times New Roman" w:cs="Times New Roman"/>
          <w:b/>
          <w:sz w:val="24"/>
          <w:szCs w:val="24"/>
        </w:rPr>
        <w:tab/>
      </w:r>
      <w:r>
        <w:rPr>
          <w:rFonts w:ascii="Times New Roman" w:hAnsi="Times New Roman" w:cs="Times New Roman"/>
          <w:b/>
          <w:sz w:val="24"/>
          <w:szCs w:val="24"/>
        </w:rPr>
        <w:t>What rules apply to contributions to a SEP?</w:t>
      </w:r>
    </w:p>
    <w:p w:rsidR="00277970" w:rsidRDefault="00CB7754" w:rsidP="00CB7754">
      <w:pPr>
        <w:pStyle w:val="NoSpacing"/>
        <w:tabs>
          <w:tab w:val="left" w:pos="2040"/>
        </w:tabs>
        <w:ind w:left="720"/>
        <w:rPr>
          <w:rFonts w:ascii="Times New Roman" w:hAnsi="Times New Roman" w:cs="Times New Roman"/>
          <w:b/>
          <w:sz w:val="24"/>
          <w:szCs w:val="24"/>
        </w:rPr>
      </w:pPr>
      <w:r>
        <w:rPr>
          <w:rFonts w:ascii="Times New Roman" w:hAnsi="Times New Roman" w:cs="Times New Roman"/>
          <w:b/>
          <w:sz w:val="24"/>
          <w:szCs w:val="24"/>
        </w:rPr>
        <w:tab/>
      </w:r>
    </w:p>
    <w:p w:rsidR="00530549" w:rsidRDefault="00530549" w:rsidP="00530549">
      <w:pPr>
        <w:spacing w:after="0" w:line="240" w:lineRule="auto"/>
        <w:ind w:left="720"/>
        <w:rPr>
          <w:rFonts w:ascii="Times New Roman" w:hAnsi="Times New Roman" w:cs="Times New Roman"/>
          <w:sz w:val="24"/>
          <w:szCs w:val="24"/>
        </w:rPr>
      </w:pPr>
      <w:r w:rsidRPr="00530549">
        <w:rPr>
          <w:rFonts w:ascii="Times New Roman" w:hAnsi="Times New Roman" w:cs="Times New Roman"/>
          <w:sz w:val="24"/>
          <w:szCs w:val="24"/>
        </w:rPr>
        <w:t xml:space="preserve">Contributions made by the employer to </w:t>
      </w:r>
      <w:r w:rsidR="00277970">
        <w:rPr>
          <w:rFonts w:ascii="Times New Roman" w:hAnsi="Times New Roman" w:cs="Times New Roman"/>
          <w:sz w:val="24"/>
          <w:szCs w:val="24"/>
        </w:rPr>
        <w:t>SEPs</w:t>
      </w:r>
      <w:r w:rsidRPr="00530549">
        <w:rPr>
          <w:rFonts w:ascii="Times New Roman" w:hAnsi="Times New Roman" w:cs="Times New Roman"/>
          <w:sz w:val="24"/>
          <w:szCs w:val="24"/>
        </w:rPr>
        <w:t xml:space="preserve"> must bear a uniform relationship to total compensation, i.e.</w:t>
      </w:r>
      <w:r w:rsidR="00277970">
        <w:rPr>
          <w:rFonts w:ascii="Times New Roman" w:hAnsi="Times New Roman" w:cs="Times New Roman"/>
          <w:sz w:val="24"/>
          <w:szCs w:val="24"/>
        </w:rPr>
        <w:t>,</w:t>
      </w:r>
      <w:r w:rsidRPr="00530549">
        <w:rPr>
          <w:rFonts w:ascii="Times New Roman" w:hAnsi="Times New Roman" w:cs="Times New Roman"/>
          <w:sz w:val="24"/>
          <w:szCs w:val="24"/>
        </w:rPr>
        <w:t xml:space="preserve"> the same percentage for each employee. Social Security integration, also referred to as permitted disparity, may also be used </w:t>
      </w:r>
      <w:r w:rsidR="0066141B">
        <w:rPr>
          <w:rFonts w:ascii="Times New Roman" w:hAnsi="Times New Roman" w:cs="Times New Roman"/>
          <w:sz w:val="24"/>
          <w:szCs w:val="24"/>
        </w:rPr>
        <w:t xml:space="preserve">in allocating the contribution </w:t>
      </w:r>
      <w:r w:rsidR="00B26C8C">
        <w:rPr>
          <w:rFonts w:ascii="Times New Roman" w:hAnsi="Times New Roman" w:cs="Times New Roman"/>
          <w:sz w:val="24"/>
          <w:szCs w:val="24"/>
        </w:rPr>
        <w:t>(</w:t>
      </w:r>
      <w:r w:rsidRPr="004B76E0">
        <w:rPr>
          <w:rFonts w:ascii="Times New Roman" w:hAnsi="Times New Roman" w:cs="Times New Roman"/>
          <w:color w:val="FF0000"/>
          <w:sz w:val="24"/>
          <w:szCs w:val="24"/>
        </w:rPr>
        <w:t xml:space="preserve">see </w:t>
      </w:r>
      <w:r w:rsidR="004B76E0" w:rsidRPr="004B76E0">
        <w:rPr>
          <w:rFonts w:ascii="Times New Roman" w:hAnsi="Times New Roman" w:cs="Times New Roman"/>
          <w:color w:val="FF0000"/>
          <w:sz w:val="24"/>
          <w:szCs w:val="24"/>
        </w:rPr>
        <w:t>Chapter 7</w:t>
      </w:r>
      <w:r w:rsidR="00B26C8C">
        <w:rPr>
          <w:rFonts w:ascii="Times New Roman" w:hAnsi="Times New Roman" w:cs="Times New Roman"/>
          <w:sz w:val="24"/>
          <w:szCs w:val="24"/>
        </w:rPr>
        <w:t>)</w:t>
      </w:r>
      <w:r w:rsidR="00B26C8C" w:rsidRPr="00530549">
        <w:rPr>
          <w:rFonts w:ascii="Times New Roman" w:hAnsi="Times New Roman" w:cs="Times New Roman"/>
          <w:sz w:val="24"/>
          <w:szCs w:val="24"/>
        </w:rPr>
        <w:t>.</w:t>
      </w:r>
    </w:p>
    <w:p w:rsidR="00277970" w:rsidRPr="00530549" w:rsidRDefault="00277970" w:rsidP="00530549">
      <w:pPr>
        <w:spacing w:after="0" w:line="240" w:lineRule="auto"/>
        <w:ind w:left="720"/>
        <w:rPr>
          <w:rFonts w:ascii="Times New Roman" w:hAnsi="Times New Roman" w:cs="Times New Roman"/>
          <w:sz w:val="24"/>
          <w:szCs w:val="24"/>
        </w:rPr>
      </w:pPr>
    </w:p>
    <w:p w:rsidR="00530549" w:rsidRDefault="00083295" w:rsidP="0053054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Because</w:t>
      </w:r>
      <w:r w:rsidRPr="00530549">
        <w:rPr>
          <w:rFonts w:ascii="Times New Roman" w:hAnsi="Times New Roman" w:cs="Times New Roman"/>
          <w:sz w:val="24"/>
          <w:szCs w:val="24"/>
        </w:rPr>
        <w:t xml:space="preserve"> </w:t>
      </w:r>
      <w:r w:rsidR="00530549" w:rsidRPr="00530549">
        <w:rPr>
          <w:rFonts w:ascii="Times New Roman" w:hAnsi="Times New Roman" w:cs="Times New Roman"/>
          <w:sz w:val="24"/>
          <w:szCs w:val="24"/>
        </w:rPr>
        <w:t xml:space="preserve">a SEP is really an employee IRA that the employer contributes to, the employee </w:t>
      </w:r>
      <w:r w:rsidR="00530549" w:rsidRPr="0066141B">
        <w:rPr>
          <w:rFonts w:ascii="Times New Roman" w:hAnsi="Times New Roman" w:cs="Times New Roman"/>
          <w:i/>
          <w:sz w:val="24"/>
          <w:szCs w:val="24"/>
        </w:rPr>
        <w:t>must</w:t>
      </w:r>
      <w:r w:rsidR="00530549" w:rsidRPr="00530549">
        <w:rPr>
          <w:rFonts w:ascii="Times New Roman" w:hAnsi="Times New Roman" w:cs="Times New Roman"/>
          <w:sz w:val="24"/>
          <w:szCs w:val="24"/>
        </w:rPr>
        <w:t xml:space="preserve"> have the right to withdraw funds from the SEP account at his discretion. This means that all contributions made by the employer are immediately vested rather than vested over severa</w:t>
      </w:r>
      <w:r w:rsidR="0066141B">
        <w:rPr>
          <w:rFonts w:ascii="Times New Roman" w:hAnsi="Times New Roman" w:cs="Times New Roman"/>
          <w:sz w:val="24"/>
          <w:szCs w:val="24"/>
        </w:rPr>
        <w:t xml:space="preserve">l years as in a qualified </w:t>
      </w:r>
      <w:proofErr w:type="spellStart"/>
      <w:r w:rsidR="0066141B">
        <w:rPr>
          <w:rFonts w:ascii="Times New Roman" w:hAnsi="Times New Roman" w:cs="Times New Roman"/>
          <w:sz w:val="24"/>
          <w:szCs w:val="24"/>
        </w:rPr>
        <w:t>plan</w:t>
      </w:r>
      <w:r w:rsidR="00530549" w:rsidRPr="00530549">
        <w:rPr>
          <w:rFonts w:ascii="Times New Roman" w:hAnsi="Times New Roman" w:cs="Times New Roman"/>
          <w:sz w:val="24"/>
          <w:szCs w:val="24"/>
        </w:rPr>
        <w:t>and</w:t>
      </w:r>
      <w:proofErr w:type="spellEnd"/>
      <w:r w:rsidR="00530549" w:rsidRPr="00530549">
        <w:rPr>
          <w:rFonts w:ascii="Times New Roman" w:hAnsi="Times New Roman" w:cs="Times New Roman"/>
          <w:sz w:val="24"/>
          <w:szCs w:val="24"/>
        </w:rPr>
        <w:t xml:space="preserve"> may be withdrawn by the employee at any time. This is certainly not an incentive to retain employees.</w:t>
      </w:r>
    </w:p>
    <w:p w:rsidR="00277970" w:rsidRPr="00530549" w:rsidRDefault="00277970" w:rsidP="00530549">
      <w:pPr>
        <w:spacing w:after="0" w:line="240" w:lineRule="auto"/>
        <w:ind w:left="720"/>
        <w:rPr>
          <w:rFonts w:ascii="Times New Roman" w:hAnsi="Times New Roman" w:cs="Times New Roman"/>
          <w:sz w:val="24"/>
          <w:szCs w:val="24"/>
        </w:rPr>
      </w:pPr>
    </w:p>
    <w:p w:rsidR="00CB7754" w:rsidRDefault="00CB7754" w:rsidP="00CB7754">
      <w:pPr>
        <w:pStyle w:val="NoSpacing"/>
        <w:ind w:left="720"/>
        <w:rPr>
          <w:rFonts w:ascii="Times New Roman" w:hAnsi="Times New Roman" w:cs="Times New Roman"/>
          <w:b/>
          <w:sz w:val="24"/>
          <w:szCs w:val="24"/>
        </w:rPr>
      </w:pPr>
      <w:r w:rsidRPr="00AE6419">
        <w:rPr>
          <w:rFonts w:ascii="Times New Roman" w:hAnsi="Times New Roman" w:cs="Times New Roman"/>
          <w:b/>
          <w:sz w:val="24"/>
          <w:szCs w:val="24"/>
        </w:rPr>
        <w:t xml:space="preserve">Q. </w:t>
      </w:r>
      <w:r>
        <w:rPr>
          <w:rFonts w:ascii="Times New Roman" w:hAnsi="Times New Roman" w:cs="Times New Roman"/>
          <w:b/>
          <w:sz w:val="24"/>
          <w:szCs w:val="24"/>
        </w:rPr>
        <w:t>9</w:t>
      </w:r>
      <w:r w:rsidRPr="00AE6419">
        <w:rPr>
          <w:rFonts w:ascii="Times New Roman" w:hAnsi="Times New Roman" w:cs="Times New Roman"/>
          <w:b/>
          <w:sz w:val="24"/>
          <w:szCs w:val="24"/>
        </w:rPr>
        <w:t>.</w:t>
      </w:r>
      <w:r>
        <w:rPr>
          <w:rFonts w:ascii="Times New Roman" w:hAnsi="Times New Roman" w:cs="Times New Roman"/>
          <w:b/>
          <w:sz w:val="24"/>
          <w:szCs w:val="24"/>
        </w:rPr>
        <w:t>10</w:t>
      </w:r>
      <w:r w:rsidRPr="00AE6419">
        <w:rPr>
          <w:rFonts w:ascii="Times New Roman" w:hAnsi="Times New Roman" w:cs="Times New Roman"/>
          <w:b/>
          <w:sz w:val="24"/>
          <w:szCs w:val="24"/>
        </w:rPr>
        <w:t>:</w:t>
      </w:r>
      <w:r w:rsidRPr="00AE6419">
        <w:rPr>
          <w:rFonts w:ascii="Times New Roman" w:hAnsi="Times New Roman" w:cs="Times New Roman"/>
          <w:b/>
          <w:sz w:val="24"/>
          <w:szCs w:val="24"/>
        </w:rPr>
        <w:tab/>
      </w:r>
      <w:r>
        <w:rPr>
          <w:rFonts w:ascii="Times New Roman" w:hAnsi="Times New Roman" w:cs="Times New Roman"/>
          <w:b/>
          <w:sz w:val="24"/>
          <w:szCs w:val="24"/>
        </w:rPr>
        <w:t>What are the advantages and disadvantages of a SEP?</w:t>
      </w:r>
    </w:p>
    <w:p w:rsidR="00CB7754" w:rsidRDefault="00CB7754" w:rsidP="00CB7754">
      <w:pPr>
        <w:pStyle w:val="NoSpacing"/>
        <w:tabs>
          <w:tab w:val="left" w:pos="2040"/>
        </w:tabs>
        <w:ind w:left="720"/>
        <w:rPr>
          <w:rFonts w:ascii="Times New Roman" w:hAnsi="Times New Roman" w:cs="Times New Roman"/>
          <w:b/>
          <w:sz w:val="24"/>
          <w:szCs w:val="24"/>
        </w:rPr>
      </w:pPr>
      <w:r>
        <w:rPr>
          <w:rFonts w:ascii="Times New Roman" w:hAnsi="Times New Roman" w:cs="Times New Roman"/>
          <w:b/>
          <w:sz w:val="24"/>
          <w:szCs w:val="24"/>
        </w:rPr>
        <w:tab/>
      </w:r>
    </w:p>
    <w:p w:rsidR="000A6C89" w:rsidRDefault="00530549" w:rsidP="009C0089">
      <w:pPr>
        <w:spacing w:after="0" w:line="240" w:lineRule="auto"/>
        <w:ind w:left="720"/>
        <w:rPr>
          <w:rFonts w:ascii="Times New Roman" w:hAnsi="Times New Roman" w:cs="Times New Roman"/>
          <w:sz w:val="24"/>
          <w:szCs w:val="24"/>
        </w:rPr>
      </w:pPr>
      <w:r w:rsidRPr="00530549">
        <w:rPr>
          <w:rFonts w:ascii="Times New Roman" w:hAnsi="Times New Roman" w:cs="Times New Roman"/>
          <w:sz w:val="24"/>
          <w:szCs w:val="24"/>
        </w:rPr>
        <w:t xml:space="preserve">The advantage of a SEP is simplicity. There is no plan document required—only a one-page IRS form. There are no annual filings required (compared to qualified plans that require an annual Form 5500) and there are no administrative fees </w:t>
      </w:r>
      <w:r w:rsidR="0035167F">
        <w:rPr>
          <w:rFonts w:ascii="Times New Roman" w:hAnsi="Times New Roman" w:cs="Times New Roman"/>
          <w:sz w:val="24"/>
          <w:szCs w:val="24"/>
        </w:rPr>
        <w:t xml:space="preserve">because </w:t>
      </w:r>
      <w:r w:rsidR="000A6C89">
        <w:rPr>
          <w:rFonts w:ascii="Times New Roman" w:hAnsi="Times New Roman" w:cs="Times New Roman"/>
          <w:sz w:val="24"/>
          <w:szCs w:val="24"/>
        </w:rPr>
        <w:t xml:space="preserve">there is no administration. </w:t>
      </w:r>
    </w:p>
    <w:p w:rsidR="000A6C89" w:rsidRDefault="000A6C89" w:rsidP="009C0089">
      <w:pPr>
        <w:spacing w:after="0" w:line="240" w:lineRule="auto"/>
        <w:ind w:left="720"/>
        <w:rPr>
          <w:rFonts w:ascii="Times New Roman" w:hAnsi="Times New Roman" w:cs="Times New Roman"/>
          <w:sz w:val="24"/>
          <w:szCs w:val="24"/>
        </w:rPr>
      </w:pPr>
    </w:p>
    <w:p w:rsidR="000A6C89" w:rsidRDefault="000A6C89" w:rsidP="009C008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Another advantage of a SEP is that it may be established as late as the due date for filing the employer’s tax return</w:t>
      </w:r>
      <w:r w:rsidR="002D2198">
        <w:rPr>
          <w:rFonts w:ascii="Times New Roman" w:hAnsi="Times New Roman" w:cs="Times New Roman"/>
          <w:sz w:val="24"/>
          <w:szCs w:val="24"/>
        </w:rPr>
        <w:t>, including extensions.</w:t>
      </w:r>
      <w:r>
        <w:rPr>
          <w:rFonts w:ascii="Times New Roman" w:hAnsi="Times New Roman" w:cs="Times New Roman"/>
          <w:sz w:val="24"/>
          <w:szCs w:val="24"/>
        </w:rPr>
        <w:t xml:space="preserve"> Other qualified plans must be established by the last day of the </w:t>
      </w:r>
      <w:r w:rsidR="002D2198">
        <w:rPr>
          <w:rFonts w:ascii="Times New Roman" w:hAnsi="Times New Roman" w:cs="Times New Roman"/>
          <w:sz w:val="24"/>
          <w:szCs w:val="24"/>
        </w:rPr>
        <w:t>employer’s taxable year.</w:t>
      </w:r>
    </w:p>
    <w:p w:rsidR="000A6C89" w:rsidRDefault="000A6C89" w:rsidP="009C0089">
      <w:pPr>
        <w:spacing w:after="0" w:line="240" w:lineRule="auto"/>
        <w:ind w:left="720"/>
        <w:rPr>
          <w:rFonts w:ascii="Times New Roman" w:hAnsi="Times New Roman" w:cs="Times New Roman"/>
          <w:sz w:val="24"/>
          <w:szCs w:val="24"/>
        </w:rPr>
      </w:pPr>
    </w:p>
    <w:p w:rsidR="00530549" w:rsidRPr="00530549" w:rsidRDefault="00530549" w:rsidP="009C0089">
      <w:pPr>
        <w:spacing w:after="0" w:line="240" w:lineRule="auto"/>
        <w:ind w:left="720"/>
        <w:rPr>
          <w:rFonts w:ascii="Times New Roman" w:hAnsi="Times New Roman" w:cs="Times New Roman"/>
          <w:sz w:val="24"/>
          <w:szCs w:val="24"/>
        </w:rPr>
      </w:pPr>
      <w:r w:rsidRPr="00530549">
        <w:rPr>
          <w:rFonts w:ascii="Times New Roman" w:hAnsi="Times New Roman" w:cs="Times New Roman"/>
          <w:sz w:val="24"/>
          <w:szCs w:val="24"/>
        </w:rPr>
        <w:lastRenderedPageBreak/>
        <w:t>The disadvantage is the liberal eligibility and immediate vesting. If the plan satisfies the needs of the plan sponsor (see Chapter 1)</w:t>
      </w:r>
      <w:r w:rsidR="00277970">
        <w:rPr>
          <w:rFonts w:ascii="Times New Roman" w:hAnsi="Times New Roman" w:cs="Times New Roman"/>
          <w:sz w:val="24"/>
          <w:szCs w:val="24"/>
        </w:rPr>
        <w:t>,</w:t>
      </w:r>
      <w:r w:rsidRPr="00530549">
        <w:rPr>
          <w:rFonts w:ascii="Times New Roman" w:hAnsi="Times New Roman" w:cs="Times New Roman"/>
          <w:sz w:val="24"/>
          <w:szCs w:val="24"/>
        </w:rPr>
        <w:t xml:space="preserve"> then the advantages outweigh the disadvantages.</w:t>
      </w:r>
    </w:p>
    <w:p w:rsidR="00CB7754" w:rsidRDefault="00CB7754" w:rsidP="009C0089">
      <w:pPr>
        <w:pStyle w:val="NoSpacing"/>
        <w:ind w:left="720"/>
        <w:rPr>
          <w:rFonts w:ascii="Times New Roman" w:hAnsi="Times New Roman" w:cs="Times New Roman"/>
          <w:b/>
          <w:sz w:val="24"/>
          <w:szCs w:val="24"/>
        </w:rPr>
      </w:pPr>
    </w:p>
    <w:p w:rsidR="00CB7754" w:rsidRDefault="00CB7754" w:rsidP="009C0089">
      <w:pPr>
        <w:pStyle w:val="NoSpacing"/>
        <w:ind w:left="720"/>
        <w:rPr>
          <w:rFonts w:ascii="Times New Roman" w:hAnsi="Times New Roman" w:cs="Times New Roman"/>
          <w:b/>
          <w:sz w:val="24"/>
          <w:szCs w:val="24"/>
        </w:rPr>
      </w:pPr>
      <w:r w:rsidRPr="00AE6419">
        <w:rPr>
          <w:rFonts w:ascii="Times New Roman" w:hAnsi="Times New Roman" w:cs="Times New Roman"/>
          <w:b/>
          <w:sz w:val="24"/>
          <w:szCs w:val="24"/>
        </w:rPr>
        <w:t xml:space="preserve">Q. </w:t>
      </w:r>
      <w:r>
        <w:rPr>
          <w:rFonts w:ascii="Times New Roman" w:hAnsi="Times New Roman" w:cs="Times New Roman"/>
          <w:b/>
          <w:sz w:val="24"/>
          <w:szCs w:val="24"/>
        </w:rPr>
        <w:t>9</w:t>
      </w:r>
      <w:r w:rsidRPr="00AE6419">
        <w:rPr>
          <w:rFonts w:ascii="Times New Roman" w:hAnsi="Times New Roman" w:cs="Times New Roman"/>
          <w:b/>
          <w:sz w:val="24"/>
          <w:szCs w:val="24"/>
        </w:rPr>
        <w:t>.</w:t>
      </w:r>
      <w:r>
        <w:rPr>
          <w:rFonts w:ascii="Times New Roman" w:hAnsi="Times New Roman" w:cs="Times New Roman"/>
          <w:b/>
          <w:sz w:val="24"/>
          <w:szCs w:val="24"/>
        </w:rPr>
        <w:t>10</w:t>
      </w:r>
      <w:r w:rsidRPr="00AE6419">
        <w:rPr>
          <w:rFonts w:ascii="Times New Roman" w:hAnsi="Times New Roman" w:cs="Times New Roman"/>
          <w:b/>
          <w:sz w:val="24"/>
          <w:szCs w:val="24"/>
        </w:rPr>
        <w:t>:</w:t>
      </w:r>
      <w:r w:rsidRPr="00AE6419">
        <w:rPr>
          <w:rFonts w:ascii="Times New Roman" w:hAnsi="Times New Roman" w:cs="Times New Roman"/>
          <w:b/>
          <w:sz w:val="24"/>
          <w:szCs w:val="24"/>
        </w:rPr>
        <w:tab/>
      </w:r>
      <w:r>
        <w:rPr>
          <w:rFonts w:ascii="Times New Roman" w:hAnsi="Times New Roman" w:cs="Times New Roman"/>
          <w:b/>
          <w:sz w:val="24"/>
          <w:szCs w:val="24"/>
        </w:rPr>
        <w:t>What is a SAR-SEP?</w:t>
      </w:r>
    </w:p>
    <w:p w:rsidR="008649DC" w:rsidRDefault="008649DC" w:rsidP="009C0089">
      <w:pPr>
        <w:pStyle w:val="NoSpacing"/>
        <w:ind w:left="720"/>
        <w:rPr>
          <w:rFonts w:ascii="Times New Roman" w:hAnsi="Times New Roman" w:cs="Times New Roman"/>
          <w:b/>
          <w:sz w:val="24"/>
          <w:szCs w:val="24"/>
        </w:rPr>
      </w:pPr>
      <w:r>
        <w:rPr>
          <w:rFonts w:ascii="Times New Roman" w:hAnsi="Times New Roman" w:cs="Times New Roman"/>
          <w:b/>
          <w:sz w:val="24"/>
          <w:szCs w:val="24"/>
        </w:rPr>
        <w:t xml:space="preserve"> </w:t>
      </w:r>
    </w:p>
    <w:p w:rsidR="0035787C" w:rsidRDefault="0035787C" w:rsidP="009C0089">
      <w:pPr>
        <w:pStyle w:val="NoSpacing"/>
        <w:ind w:left="720"/>
        <w:rPr>
          <w:rFonts w:ascii="Times New Roman" w:hAnsi="Times New Roman" w:cs="Times New Roman"/>
          <w:color w:val="111111"/>
          <w:sz w:val="24"/>
          <w:szCs w:val="24"/>
        </w:rPr>
      </w:pPr>
      <w:r w:rsidRPr="0035787C">
        <w:rPr>
          <w:rFonts w:ascii="Times New Roman" w:hAnsi="Times New Roman" w:cs="Times New Roman"/>
          <w:sz w:val="24"/>
          <w:szCs w:val="24"/>
        </w:rPr>
        <w:t>A Salary Reduction</w:t>
      </w:r>
      <w:r>
        <w:rPr>
          <w:rFonts w:ascii="Times New Roman" w:hAnsi="Times New Roman" w:cs="Times New Roman"/>
          <w:sz w:val="24"/>
          <w:szCs w:val="24"/>
        </w:rPr>
        <w:t xml:space="preserve"> SEP (SAR-SEP) is a SEP that is offered on a salary reduction basis.</w:t>
      </w:r>
      <w:r w:rsidR="00ED604A">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w:t>
      </w:r>
      <w:r>
        <w:rPr>
          <w:rFonts w:ascii="Times New Roman" w:hAnsi="Times New Roman" w:cs="Times New Roman"/>
          <w:color w:val="111111"/>
          <w:sz w:val="24"/>
          <w:szCs w:val="24"/>
        </w:rPr>
        <w:t xml:space="preserve">Prior to </w:t>
      </w:r>
      <w:r w:rsidRPr="0035787C">
        <w:rPr>
          <w:rFonts w:ascii="Times New Roman" w:hAnsi="Times New Roman" w:cs="Times New Roman"/>
          <w:color w:val="111111"/>
          <w:sz w:val="24"/>
          <w:szCs w:val="24"/>
        </w:rPr>
        <w:t>401(k</w:t>
      </w:r>
      <w:proofErr w:type="gramStart"/>
      <w:r w:rsidRPr="0035787C">
        <w:rPr>
          <w:rFonts w:ascii="Times New Roman" w:hAnsi="Times New Roman" w:cs="Times New Roman"/>
          <w:color w:val="111111"/>
          <w:sz w:val="24"/>
          <w:szCs w:val="24"/>
        </w:rPr>
        <w:t>)s</w:t>
      </w:r>
      <w:proofErr w:type="gramEnd"/>
      <w:r w:rsidRPr="0035787C">
        <w:rPr>
          <w:rFonts w:ascii="Times New Roman" w:hAnsi="Times New Roman" w:cs="Times New Roman"/>
          <w:color w:val="111111"/>
          <w:sz w:val="24"/>
          <w:szCs w:val="24"/>
        </w:rPr>
        <w:t xml:space="preserve">, these plans were seen as a valuable benefit </w:t>
      </w:r>
      <w:r>
        <w:rPr>
          <w:rFonts w:ascii="Times New Roman" w:hAnsi="Times New Roman" w:cs="Times New Roman"/>
          <w:color w:val="111111"/>
          <w:sz w:val="24"/>
          <w:szCs w:val="24"/>
        </w:rPr>
        <w:t>for employees of small employers. Only employers with 25 or fewer employees could offer a SAR-SEP.</w:t>
      </w:r>
      <w:r w:rsidR="00ED604A">
        <w:rPr>
          <w:rStyle w:val="FootnoteReference"/>
          <w:rFonts w:ascii="Times New Roman" w:hAnsi="Times New Roman" w:cs="Times New Roman"/>
          <w:color w:val="111111"/>
          <w:sz w:val="24"/>
          <w:szCs w:val="24"/>
        </w:rPr>
        <w:footnoteReference w:id="36"/>
      </w:r>
      <w:r>
        <w:rPr>
          <w:rFonts w:ascii="Times New Roman" w:hAnsi="Times New Roman" w:cs="Times New Roman"/>
          <w:color w:val="111111"/>
          <w:sz w:val="24"/>
          <w:szCs w:val="24"/>
        </w:rPr>
        <w:t xml:space="preserve"> SAR-SEPs </w:t>
      </w:r>
      <w:r w:rsidRPr="0035787C">
        <w:rPr>
          <w:rFonts w:ascii="Times New Roman" w:hAnsi="Times New Roman" w:cs="Times New Roman"/>
          <w:color w:val="111111"/>
          <w:sz w:val="24"/>
          <w:szCs w:val="24"/>
        </w:rPr>
        <w:t xml:space="preserve">were replaced by </w:t>
      </w:r>
      <w:r>
        <w:rPr>
          <w:rFonts w:ascii="Times New Roman" w:hAnsi="Times New Roman" w:cs="Times New Roman"/>
          <w:color w:val="111111"/>
          <w:sz w:val="24"/>
          <w:szCs w:val="24"/>
        </w:rPr>
        <w:t xml:space="preserve">SIMPLE IRAs </w:t>
      </w:r>
      <w:r w:rsidRPr="0035787C">
        <w:rPr>
          <w:rFonts w:ascii="Times New Roman" w:hAnsi="Times New Roman" w:cs="Times New Roman"/>
          <w:color w:val="111111"/>
          <w:sz w:val="24"/>
          <w:szCs w:val="24"/>
        </w:rPr>
        <w:t xml:space="preserve">under the Small Business Job Protection Act of 1996. After 1996, existing </w:t>
      </w:r>
      <w:r w:rsidR="000A6C89">
        <w:rPr>
          <w:rFonts w:ascii="Times New Roman" w:hAnsi="Times New Roman" w:cs="Times New Roman"/>
          <w:color w:val="111111"/>
          <w:sz w:val="24"/>
          <w:szCs w:val="24"/>
        </w:rPr>
        <w:t>SAR-SEP</w:t>
      </w:r>
      <w:r w:rsidR="009C0089">
        <w:rPr>
          <w:rFonts w:ascii="Times New Roman" w:hAnsi="Times New Roman" w:cs="Times New Roman"/>
          <w:color w:val="111111"/>
          <w:sz w:val="24"/>
          <w:szCs w:val="24"/>
        </w:rPr>
        <w:t>s</w:t>
      </w:r>
      <w:r w:rsidR="000A6C89">
        <w:rPr>
          <w:rFonts w:ascii="Times New Roman" w:hAnsi="Times New Roman" w:cs="Times New Roman"/>
          <w:color w:val="111111"/>
          <w:sz w:val="24"/>
          <w:szCs w:val="24"/>
        </w:rPr>
        <w:t xml:space="preserve"> </w:t>
      </w:r>
      <w:r w:rsidRPr="0035787C">
        <w:rPr>
          <w:rFonts w:ascii="Times New Roman" w:hAnsi="Times New Roman" w:cs="Times New Roman"/>
          <w:color w:val="111111"/>
          <w:sz w:val="24"/>
          <w:szCs w:val="24"/>
        </w:rPr>
        <w:t xml:space="preserve">were allowed to </w:t>
      </w:r>
      <w:r w:rsidR="009C0089">
        <w:rPr>
          <w:rFonts w:ascii="Times New Roman" w:hAnsi="Times New Roman" w:cs="Times New Roman"/>
          <w:color w:val="111111"/>
          <w:sz w:val="24"/>
          <w:szCs w:val="24"/>
        </w:rPr>
        <w:t>continue</w:t>
      </w:r>
      <w:r w:rsidRPr="0035787C">
        <w:rPr>
          <w:rFonts w:ascii="Times New Roman" w:hAnsi="Times New Roman" w:cs="Times New Roman"/>
          <w:color w:val="111111"/>
          <w:sz w:val="24"/>
          <w:szCs w:val="24"/>
        </w:rPr>
        <w:t xml:space="preserve">, but no new plans </w:t>
      </w:r>
      <w:r>
        <w:rPr>
          <w:rFonts w:ascii="Times New Roman" w:hAnsi="Times New Roman" w:cs="Times New Roman"/>
          <w:color w:val="111111"/>
          <w:sz w:val="24"/>
          <w:szCs w:val="24"/>
        </w:rPr>
        <w:t>could</w:t>
      </w:r>
      <w:r w:rsidRPr="0035787C">
        <w:rPr>
          <w:rFonts w:ascii="Times New Roman" w:hAnsi="Times New Roman" w:cs="Times New Roman"/>
          <w:color w:val="111111"/>
          <w:sz w:val="24"/>
          <w:szCs w:val="24"/>
        </w:rPr>
        <w:t xml:space="preserve"> be created.</w:t>
      </w:r>
    </w:p>
    <w:p w:rsidR="0035787C" w:rsidRDefault="0035787C" w:rsidP="009C0089">
      <w:pPr>
        <w:pStyle w:val="NoSpacing"/>
        <w:ind w:left="720"/>
        <w:rPr>
          <w:rFonts w:ascii="Times New Roman" w:hAnsi="Times New Roman" w:cs="Times New Roman"/>
          <w:sz w:val="24"/>
          <w:szCs w:val="24"/>
        </w:rPr>
      </w:pPr>
    </w:p>
    <w:p w:rsidR="0035787C" w:rsidRDefault="0035787C" w:rsidP="009C0089">
      <w:pPr>
        <w:pStyle w:val="NoSpacing"/>
        <w:ind w:left="720"/>
        <w:rPr>
          <w:rFonts w:ascii="Times New Roman" w:hAnsi="Times New Roman" w:cs="Times New Roman"/>
          <w:sz w:val="24"/>
          <w:szCs w:val="24"/>
        </w:rPr>
      </w:pPr>
      <w:r>
        <w:rPr>
          <w:rFonts w:ascii="Times New Roman" w:hAnsi="Times New Roman" w:cs="Times New Roman"/>
          <w:sz w:val="24"/>
          <w:szCs w:val="24"/>
        </w:rPr>
        <w:t>The amount an employee elects to defer under a SAR-SEP is considered an elective def</w:t>
      </w:r>
      <w:r w:rsidR="004B76E0">
        <w:rPr>
          <w:rFonts w:ascii="Times New Roman" w:hAnsi="Times New Roman" w:cs="Times New Roman"/>
          <w:sz w:val="24"/>
          <w:szCs w:val="24"/>
        </w:rPr>
        <w:t>erral and subject to the $52,000</w:t>
      </w:r>
      <w:r>
        <w:rPr>
          <w:rFonts w:ascii="Times New Roman" w:hAnsi="Times New Roman" w:cs="Times New Roman"/>
          <w:sz w:val="24"/>
          <w:szCs w:val="24"/>
        </w:rPr>
        <w:t xml:space="preserve"> limit (in 2014). </w:t>
      </w:r>
      <w:r w:rsidR="000A6C89">
        <w:rPr>
          <w:rFonts w:ascii="Times New Roman" w:hAnsi="Times New Roman" w:cs="Times New Roman"/>
          <w:sz w:val="24"/>
          <w:szCs w:val="24"/>
        </w:rPr>
        <w:t xml:space="preserve">Similarly, a SAR-SEP can provide for catch-up contributions up to $5,500 (in 2014) for employees age </w:t>
      </w:r>
      <w:r w:rsidR="00ED604A">
        <w:rPr>
          <w:rFonts w:ascii="Times New Roman" w:hAnsi="Times New Roman" w:cs="Times New Roman"/>
          <w:sz w:val="24"/>
          <w:szCs w:val="24"/>
        </w:rPr>
        <w:t xml:space="preserve">fifty </w:t>
      </w:r>
      <w:r w:rsidR="000A6C89">
        <w:rPr>
          <w:rFonts w:ascii="Times New Roman" w:hAnsi="Times New Roman" w:cs="Times New Roman"/>
          <w:sz w:val="24"/>
          <w:szCs w:val="24"/>
        </w:rPr>
        <w:t xml:space="preserve">or </w:t>
      </w:r>
      <w:r w:rsidR="00ED604A">
        <w:rPr>
          <w:rFonts w:ascii="Times New Roman" w:hAnsi="Times New Roman" w:cs="Times New Roman"/>
          <w:sz w:val="24"/>
          <w:szCs w:val="24"/>
        </w:rPr>
        <w:t>older</w:t>
      </w:r>
      <w:r w:rsidR="000A6C89">
        <w:rPr>
          <w:rFonts w:ascii="Times New Roman" w:hAnsi="Times New Roman" w:cs="Times New Roman"/>
          <w:sz w:val="24"/>
          <w:szCs w:val="24"/>
        </w:rPr>
        <w:t>.</w:t>
      </w:r>
      <w:r w:rsidR="00ED604A">
        <w:rPr>
          <w:rStyle w:val="FootnoteReference"/>
          <w:rFonts w:ascii="Times New Roman" w:hAnsi="Times New Roman" w:cs="Times New Roman"/>
          <w:sz w:val="24"/>
          <w:szCs w:val="24"/>
        </w:rPr>
        <w:footnoteReference w:id="37"/>
      </w:r>
    </w:p>
    <w:p w:rsidR="009C0089" w:rsidRDefault="009C0089" w:rsidP="009C0089">
      <w:pPr>
        <w:pStyle w:val="NoSpacing"/>
        <w:ind w:left="720"/>
        <w:rPr>
          <w:rFonts w:ascii="Times New Roman" w:hAnsi="Times New Roman" w:cs="Times New Roman"/>
          <w:sz w:val="24"/>
          <w:szCs w:val="24"/>
        </w:rPr>
      </w:pPr>
    </w:p>
    <w:p w:rsidR="009C0089" w:rsidRDefault="009C0089" w:rsidP="009C0089">
      <w:pPr>
        <w:pStyle w:val="NoSpacing"/>
        <w:ind w:left="720"/>
        <w:rPr>
          <w:rFonts w:ascii="Times New Roman" w:hAnsi="Times New Roman" w:cs="Times New Roman"/>
          <w:sz w:val="24"/>
          <w:szCs w:val="24"/>
        </w:rPr>
      </w:pPr>
      <w:r>
        <w:rPr>
          <w:rFonts w:ascii="Times New Roman" w:hAnsi="Times New Roman" w:cs="Times New Roman"/>
          <w:sz w:val="24"/>
          <w:szCs w:val="24"/>
        </w:rPr>
        <w:t>In order to defer salary into a SAR-SEP, at least 50</w:t>
      </w:r>
      <w:r w:rsidR="005B6F33">
        <w:rPr>
          <w:rFonts w:ascii="Times New Roman" w:hAnsi="Times New Roman" w:cs="Times New Roman"/>
          <w:sz w:val="24"/>
          <w:szCs w:val="24"/>
        </w:rPr>
        <w:t xml:space="preserve"> percent </w:t>
      </w:r>
      <w:r>
        <w:rPr>
          <w:rFonts w:ascii="Times New Roman" w:hAnsi="Times New Roman" w:cs="Times New Roman"/>
          <w:sz w:val="24"/>
          <w:szCs w:val="24"/>
        </w:rPr>
        <w:t xml:space="preserve">of the employees eligible to participate have to elect to contribute to the SEP and the deferral percentage for highly compensated employees is limited to 125 </w:t>
      </w:r>
      <w:r w:rsidR="005B6F33">
        <w:rPr>
          <w:rFonts w:ascii="Times New Roman" w:hAnsi="Times New Roman" w:cs="Times New Roman"/>
          <w:sz w:val="24"/>
          <w:szCs w:val="24"/>
        </w:rPr>
        <w:t xml:space="preserve">percent </w:t>
      </w:r>
      <w:r>
        <w:rPr>
          <w:rFonts w:ascii="Times New Roman" w:hAnsi="Times New Roman" w:cs="Times New Roman"/>
          <w:sz w:val="24"/>
          <w:szCs w:val="24"/>
        </w:rPr>
        <w:t xml:space="preserve">of </w:t>
      </w:r>
      <w:proofErr w:type="spellStart"/>
      <w:r>
        <w:rPr>
          <w:rFonts w:ascii="Times New Roman" w:hAnsi="Times New Roman" w:cs="Times New Roman"/>
          <w:sz w:val="24"/>
          <w:szCs w:val="24"/>
        </w:rPr>
        <w:t>nonhighly</w:t>
      </w:r>
      <w:proofErr w:type="spellEnd"/>
      <w:r>
        <w:rPr>
          <w:rFonts w:ascii="Times New Roman" w:hAnsi="Times New Roman" w:cs="Times New Roman"/>
          <w:sz w:val="24"/>
          <w:szCs w:val="24"/>
        </w:rPr>
        <w:t xml:space="preserve"> compensated employees.</w:t>
      </w:r>
      <w:r w:rsidR="005B6F33">
        <w:rPr>
          <w:rStyle w:val="FootnoteReference"/>
          <w:rFonts w:ascii="Times New Roman" w:hAnsi="Times New Roman" w:cs="Times New Roman"/>
          <w:sz w:val="24"/>
          <w:szCs w:val="24"/>
        </w:rPr>
        <w:footnoteReference w:id="38"/>
      </w:r>
    </w:p>
    <w:p w:rsidR="009C0089" w:rsidRDefault="009C0089" w:rsidP="009C0089">
      <w:pPr>
        <w:pStyle w:val="NoSpacing"/>
        <w:ind w:left="720"/>
        <w:rPr>
          <w:rFonts w:ascii="Times New Roman" w:hAnsi="Times New Roman" w:cs="Times New Roman"/>
          <w:sz w:val="24"/>
          <w:szCs w:val="24"/>
        </w:rPr>
      </w:pPr>
    </w:p>
    <w:p w:rsidR="009C0089" w:rsidRPr="00796F4B" w:rsidRDefault="009C0089" w:rsidP="009C0089">
      <w:pPr>
        <w:pStyle w:val="PA"/>
        <w:suppressAutoHyphens/>
        <w:spacing w:after="0"/>
        <w:ind w:left="720" w:firstLine="0"/>
        <w:rPr>
          <w:rFonts w:ascii="Times New Roman" w:hAnsi="Times New Roman"/>
          <w:sz w:val="24"/>
          <w:szCs w:val="24"/>
        </w:rPr>
      </w:pPr>
      <w:r w:rsidRPr="00796F4B">
        <w:rPr>
          <w:rFonts w:ascii="Times New Roman" w:hAnsi="Times New Roman"/>
          <w:sz w:val="24"/>
          <w:szCs w:val="24"/>
        </w:rPr>
        <w:t>Employer contributions and employee elective deferrals together cannot exceed the lesser of 25</w:t>
      </w:r>
      <w:r w:rsidR="006F65E9">
        <w:rPr>
          <w:rFonts w:ascii="Times New Roman" w:hAnsi="Times New Roman"/>
          <w:sz w:val="24"/>
          <w:szCs w:val="24"/>
        </w:rPr>
        <w:t xml:space="preserve"> percent</w:t>
      </w:r>
      <w:r w:rsidR="006F65E9" w:rsidRPr="00796F4B">
        <w:rPr>
          <w:rFonts w:ascii="Times New Roman" w:hAnsi="Times New Roman"/>
          <w:sz w:val="24"/>
          <w:szCs w:val="24"/>
        </w:rPr>
        <w:t xml:space="preserve"> </w:t>
      </w:r>
      <w:r w:rsidRPr="00796F4B">
        <w:rPr>
          <w:rFonts w:ascii="Times New Roman" w:hAnsi="Times New Roman"/>
          <w:sz w:val="24"/>
          <w:szCs w:val="24"/>
        </w:rPr>
        <w:t>of compensation or $52,000 (in 2014).</w:t>
      </w:r>
    </w:p>
    <w:p w:rsidR="009C0089" w:rsidRDefault="009C0089" w:rsidP="009C0089">
      <w:pPr>
        <w:pStyle w:val="NoSpacing"/>
        <w:ind w:left="1008"/>
        <w:rPr>
          <w:rFonts w:ascii="Times New Roman" w:hAnsi="Times New Roman" w:cs="Times New Roman"/>
          <w:sz w:val="24"/>
          <w:szCs w:val="24"/>
        </w:rPr>
      </w:pPr>
    </w:p>
    <w:p w:rsidR="009C0089" w:rsidRDefault="009C0089" w:rsidP="009C0089">
      <w:pPr>
        <w:pStyle w:val="NoSpacing"/>
        <w:ind w:left="720"/>
        <w:rPr>
          <w:rFonts w:ascii="Times New Roman" w:hAnsi="Times New Roman" w:cs="Times New Roman"/>
          <w:sz w:val="24"/>
          <w:szCs w:val="24"/>
        </w:rPr>
      </w:pPr>
    </w:p>
    <w:p w:rsidR="00D24312" w:rsidRPr="0035787C" w:rsidRDefault="009C0089" w:rsidP="009C0089">
      <w:pPr>
        <w:pStyle w:val="NoSpacing"/>
        <w:ind w:left="720"/>
        <w:rPr>
          <w:rFonts w:ascii="Times New Roman" w:hAnsi="Times New Roman" w:cs="Times New Roman"/>
          <w:sz w:val="24"/>
          <w:szCs w:val="24"/>
        </w:rPr>
      </w:pPr>
      <w:r w:rsidRPr="0035787C">
        <w:rPr>
          <w:rFonts w:ascii="Times New Roman" w:hAnsi="Times New Roman" w:cs="Times New Roman"/>
          <w:sz w:val="24"/>
          <w:szCs w:val="24"/>
        </w:rPr>
        <w:t xml:space="preserve"> </w:t>
      </w:r>
    </w:p>
    <w:sectPr w:rsidR="00D24312" w:rsidRPr="003578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B06" w:rsidRDefault="00005B06" w:rsidP="005429F2">
      <w:pPr>
        <w:spacing w:after="0" w:line="240" w:lineRule="auto"/>
      </w:pPr>
      <w:r>
        <w:separator/>
      </w:r>
    </w:p>
  </w:endnote>
  <w:endnote w:type="continuationSeparator" w:id="0">
    <w:p w:rsidR="00005B06" w:rsidRDefault="00005B06" w:rsidP="00542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LT Std Regular">
    <w:panose1 w:val="00000000000000000000"/>
    <w:charset w:val="00"/>
    <w:family w:val="auto"/>
    <w:notTrueType/>
    <w:pitch w:val="default"/>
    <w:sig w:usb0="00000003" w:usb1="00000000" w:usb2="00000000" w:usb3="00000000" w:csb0="00000001" w:csb1="00000000"/>
  </w:font>
  <w:font w:name="Helvetica LT Std Bold Condense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LT Std Condense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orld">
    <w:altName w:val="Helvetica World"/>
    <w:panose1 w:val="00000000000000000000"/>
    <w:charset w:val="00"/>
    <w:family w:val="swiss"/>
    <w:notTrueType/>
    <w:pitch w:val="default"/>
    <w:sig w:usb0="00000003" w:usb1="00000000" w:usb2="00000000" w:usb3="00000000" w:csb0="00000001" w:csb1="00000000"/>
  </w:font>
  <w:font w:name="Times Italic">
    <w:panose1 w:val="00000000000000000000"/>
    <w:charset w:val="00"/>
    <w:family w:val="auto"/>
    <w:notTrueType/>
    <w:pitch w:val="default"/>
    <w:sig w:usb0="00000003" w:usb1="00000000" w:usb2="00000000" w:usb3="00000000" w:csb0="00000001" w:csb1="00000000"/>
  </w:font>
  <w:font w:name="Meta Normal LF">
    <w:altName w:val="Meta Normal L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B06" w:rsidRDefault="00005B06" w:rsidP="005429F2">
      <w:pPr>
        <w:spacing w:after="0" w:line="240" w:lineRule="auto"/>
      </w:pPr>
      <w:r>
        <w:separator/>
      </w:r>
    </w:p>
  </w:footnote>
  <w:footnote w:type="continuationSeparator" w:id="0">
    <w:p w:rsidR="00005B06" w:rsidRDefault="00005B06" w:rsidP="005429F2">
      <w:pPr>
        <w:spacing w:after="0" w:line="240" w:lineRule="auto"/>
      </w:pPr>
      <w:r>
        <w:continuationSeparator/>
      </w:r>
    </w:p>
  </w:footnote>
  <w:footnote w:id="1">
    <w:p w:rsidR="001A4B94" w:rsidRDefault="001A4B94">
      <w:pPr>
        <w:pStyle w:val="FootnoteText"/>
      </w:pPr>
      <w:r>
        <w:rPr>
          <w:rStyle w:val="FootnoteReference"/>
        </w:rPr>
        <w:footnoteRef/>
      </w:r>
      <w:r>
        <w:t xml:space="preserve"> </w:t>
      </w:r>
      <w:r>
        <w:rPr>
          <w:rFonts w:ascii="Times New Roman" w:hAnsi="Times New Roman"/>
          <w:sz w:val="24"/>
          <w:szCs w:val="24"/>
        </w:rPr>
        <w:t>IRC Sec. 408(p</w:t>
      </w:r>
      <w:proofErr w:type="gramStart"/>
      <w:r>
        <w:rPr>
          <w:rFonts w:ascii="Times New Roman" w:hAnsi="Times New Roman"/>
          <w:sz w:val="24"/>
          <w:szCs w:val="24"/>
        </w:rPr>
        <w:t>)(</w:t>
      </w:r>
      <w:proofErr w:type="gramEnd"/>
      <w:r>
        <w:rPr>
          <w:rFonts w:ascii="Times New Roman" w:hAnsi="Times New Roman"/>
          <w:sz w:val="24"/>
          <w:szCs w:val="24"/>
        </w:rPr>
        <w:t>2)(C)(</w:t>
      </w:r>
      <w:proofErr w:type="spellStart"/>
      <w:r>
        <w:rPr>
          <w:rFonts w:ascii="Times New Roman" w:hAnsi="Times New Roman"/>
          <w:sz w:val="24"/>
          <w:szCs w:val="24"/>
        </w:rPr>
        <w:t>i</w:t>
      </w:r>
      <w:proofErr w:type="spellEnd"/>
      <w:r>
        <w:rPr>
          <w:rFonts w:ascii="Times New Roman" w:hAnsi="Times New Roman"/>
          <w:sz w:val="24"/>
          <w:szCs w:val="24"/>
        </w:rPr>
        <w:t>).</w:t>
      </w:r>
    </w:p>
  </w:footnote>
  <w:footnote w:id="2">
    <w:p w:rsidR="001A4B94" w:rsidRDefault="001A4B94">
      <w:pPr>
        <w:pStyle w:val="FootnoteText"/>
      </w:pPr>
      <w:r>
        <w:rPr>
          <w:rStyle w:val="FootnoteReference"/>
        </w:rPr>
        <w:footnoteRef/>
      </w:r>
      <w:r>
        <w:t xml:space="preserve"> </w:t>
      </w:r>
      <w:proofErr w:type="gramStart"/>
      <w:r>
        <w:rPr>
          <w:rFonts w:ascii="Times New Roman" w:hAnsi="Times New Roman"/>
          <w:sz w:val="24"/>
          <w:szCs w:val="24"/>
        </w:rPr>
        <w:t xml:space="preserve">Notice 98-4, </w:t>
      </w:r>
      <w:r w:rsidRPr="001A4B94">
        <w:rPr>
          <w:rStyle w:val="st"/>
          <w:rFonts w:ascii="Times New Roman" w:hAnsi="Times New Roman"/>
          <w:sz w:val="24"/>
          <w:szCs w:val="24"/>
        </w:rPr>
        <w:t>1998-1 C.B. 269</w:t>
      </w:r>
      <w:r>
        <w:rPr>
          <w:rStyle w:val="st"/>
        </w:rPr>
        <w:t>.</w:t>
      </w:r>
      <w:proofErr w:type="gramEnd"/>
    </w:p>
  </w:footnote>
  <w:footnote w:id="3">
    <w:p w:rsidR="00314786" w:rsidRDefault="00314786">
      <w:pPr>
        <w:pStyle w:val="FootnoteText"/>
      </w:pPr>
      <w:r>
        <w:rPr>
          <w:rStyle w:val="FootnoteReference"/>
        </w:rPr>
        <w:footnoteRef/>
      </w:r>
      <w:r>
        <w:t xml:space="preserve"> </w:t>
      </w:r>
      <w:r>
        <w:rPr>
          <w:rFonts w:ascii="Times New Roman" w:hAnsi="Times New Roman"/>
          <w:sz w:val="24"/>
          <w:szCs w:val="24"/>
        </w:rPr>
        <w:t>S</w:t>
      </w:r>
      <w:r w:rsidRPr="00554888">
        <w:rPr>
          <w:rFonts w:ascii="Times New Roman" w:hAnsi="Times New Roman"/>
          <w:sz w:val="24"/>
          <w:szCs w:val="24"/>
        </w:rPr>
        <w:t xml:space="preserve">ee </w:t>
      </w:r>
      <w:r w:rsidRPr="002D2198">
        <w:rPr>
          <w:rFonts w:ascii="Times New Roman" w:hAnsi="Times New Roman"/>
          <w:sz w:val="24"/>
          <w:szCs w:val="24"/>
        </w:rPr>
        <w:t>Chapter 2 for</w:t>
      </w:r>
      <w:r w:rsidRPr="00554888">
        <w:rPr>
          <w:rFonts w:ascii="Times New Roman" w:hAnsi="Times New Roman"/>
          <w:sz w:val="24"/>
          <w:szCs w:val="24"/>
        </w:rPr>
        <w:t xml:space="preserve"> a discussion of controlled groups and affiliated service groups</w:t>
      </w:r>
      <w:r>
        <w:rPr>
          <w:rFonts w:ascii="Times New Roman" w:hAnsi="Times New Roman"/>
          <w:sz w:val="24"/>
          <w:szCs w:val="24"/>
        </w:rPr>
        <w:t>.</w:t>
      </w:r>
    </w:p>
  </w:footnote>
  <w:footnote w:id="4">
    <w:p w:rsidR="001F2544" w:rsidRDefault="001F2544">
      <w:pPr>
        <w:pStyle w:val="FootnoteText"/>
      </w:pPr>
      <w:r>
        <w:rPr>
          <w:rStyle w:val="FootnoteReference"/>
        </w:rPr>
        <w:footnoteRef/>
      </w:r>
      <w:r>
        <w:t xml:space="preserve"> </w:t>
      </w:r>
      <w:r>
        <w:rPr>
          <w:rFonts w:ascii="Times New Roman" w:hAnsi="Times New Roman"/>
          <w:sz w:val="24"/>
          <w:szCs w:val="24"/>
        </w:rPr>
        <w:t>IRC Sec. 408(p</w:t>
      </w:r>
      <w:proofErr w:type="gramStart"/>
      <w:r>
        <w:rPr>
          <w:rFonts w:ascii="Times New Roman" w:hAnsi="Times New Roman"/>
          <w:sz w:val="24"/>
          <w:szCs w:val="24"/>
        </w:rPr>
        <w:t>)(</w:t>
      </w:r>
      <w:proofErr w:type="gramEnd"/>
      <w:r>
        <w:rPr>
          <w:rFonts w:ascii="Times New Roman" w:hAnsi="Times New Roman"/>
          <w:sz w:val="24"/>
          <w:szCs w:val="24"/>
        </w:rPr>
        <w:t>2)(D)(</w:t>
      </w:r>
      <w:proofErr w:type="spellStart"/>
      <w:r>
        <w:rPr>
          <w:rFonts w:ascii="Times New Roman" w:hAnsi="Times New Roman"/>
          <w:sz w:val="24"/>
          <w:szCs w:val="24"/>
        </w:rPr>
        <w:t>i</w:t>
      </w:r>
      <w:proofErr w:type="spellEnd"/>
      <w:r>
        <w:rPr>
          <w:rFonts w:ascii="Times New Roman" w:hAnsi="Times New Roman"/>
          <w:sz w:val="24"/>
          <w:szCs w:val="24"/>
        </w:rPr>
        <w:t>).</w:t>
      </w:r>
    </w:p>
  </w:footnote>
  <w:footnote w:id="5">
    <w:p w:rsidR="00684A16" w:rsidRDefault="00684A16">
      <w:pPr>
        <w:pStyle w:val="FootnoteText"/>
      </w:pPr>
      <w:r>
        <w:rPr>
          <w:rStyle w:val="FootnoteReference"/>
        </w:rPr>
        <w:footnoteRef/>
      </w:r>
      <w:r>
        <w:t xml:space="preserve"> </w:t>
      </w:r>
      <w:r>
        <w:rPr>
          <w:rFonts w:ascii="Times New Roman" w:hAnsi="Times New Roman"/>
          <w:sz w:val="24"/>
          <w:szCs w:val="24"/>
        </w:rPr>
        <w:t>IRC Sec. 408(p</w:t>
      </w:r>
      <w:proofErr w:type="gramStart"/>
      <w:r>
        <w:rPr>
          <w:rFonts w:ascii="Times New Roman" w:hAnsi="Times New Roman"/>
          <w:sz w:val="24"/>
          <w:szCs w:val="24"/>
        </w:rPr>
        <w:t>)(</w:t>
      </w:r>
      <w:proofErr w:type="gramEnd"/>
      <w:r>
        <w:rPr>
          <w:rFonts w:ascii="Times New Roman" w:hAnsi="Times New Roman"/>
          <w:sz w:val="24"/>
          <w:szCs w:val="24"/>
        </w:rPr>
        <w:t>2)(D)(ii).</w:t>
      </w:r>
    </w:p>
  </w:footnote>
  <w:footnote w:id="6">
    <w:p w:rsidR="00684A16" w:rsidRDefault="00684A16">
      <w:pPr>
        <w:pStyle w:val="FootnoteText"/>
      </w:pPr>
      <w:r>
        <w:rPr>
          <w:rStyle w:val="FootnoteReference"/>
        </w:rPr>
        <w:footnoteRef/>
      </w:r>
      <w:r>
        <w:t xml:space="preserve"> </w:t>
      </w:r>
      <w:r w:rsidRPr="00656B2E">
        <w:rPr>
          <w:rFonts w:ascii="Times New Roman" w:hAnsi="Times New Roman"/>
          <w:sz w:val="24"/>
          <w:szCs w:val="24"/>
        </w:rPr>
        <w:t>IRC Sec. 408(p</w:t>
      </w:r>
      <w:proofErr w:type="gramStart"/>
      <w:r w:rsidRPr="00656B2E">
        <w:rPr>
          <w:rFonts w:ascii="Times New Roman" w:hAnsi="Times New Roman"/>
          <w:sz w:val="24"/>
          <w:szCs w:val="24"/>
        </w:rPr>
        <w:t>)(</w:t>
      </w:r>
      <w:proofErr w:type="gramEnd"/>
      <w:r w:rsidRPr="00656B2E">
        <w:rPr>
          <w:rFonts w:ascii="Times New Roman" w:hAnsi="Times New Roman"/>
          <w:sz w:val="24"/>
          <w:szCs w:val="24"/>
        </w:rPr>
        <w:t>4)(A)</w:t>
      </w:r>
      <w:r>
        <w:rPr>
          <w:rFonts w:ascii="Times New Roman" w:hAnsi="Times New Roman"/>
          <w:sz w:val="24"/>
          <w:szCs w:val="24"/>
        </w:rPr>
        <w:t>.</w:t>
      </w:r>
    </w:p>
  </w:footnote>
  <w:footnote w:id="7">
    <w:p w:rsidR="00F01FDA" w:rsidRDefault="00F01FDA">
      <w:pPr>
        <w:pStyle w:val="FootnoteText"/>
      </w:pPr>
      <w:r>
        <w:rPr>
          <w:rStyle w:val="FootnoteReference"/>
        </w:rPr>
        <w:footnoteRef/>
      </w:r>
      <w:r>
        <w:t xml:space="preserve"> </w:t>
      </w:r>
      <w:r>
        <w:rPr>
          <w:rFonts w:ascii="Times New Roman" w:hAnsi="Times New Roman"/>
          <w:sz w:val="24"/>
          <w:szCs w:val="24"/>
        </w:rPr>
        <w:t>IRC Sec. 408(p</w:t>
      </w:r>
      <w:proofErr w:type="gramStart"/>
      <w:r>
        <w:rPr>
          <w:rFonts w:ascii="Times New Roman" w:hAnsi="Times New Roman"/>
          <w:sz w:val="24"/>
          <w:szCs w:val="24"/>
        </w:rPr>
        <w:t>)(</w:t>
      </w:r>
      <w:proofErr w:type="gramEnd"/>
      <w:r>
        <w:rPr>
          <w:rFonts w:ascii="Times New Roman" w:hAnsi="Times New Roman"/>
          <w:sz w:val="24"/>
          <w:szCs w:val="24"/>
        </w:rPr>
        <w:t>5)(C), IRC Sec.408(l)(2)(C).</w:t>
      </w:r>
    </w:p>
  </w:footnote>
  <w:footnote w:id="8">
    <w:p w:rsidR="00473059" w:rsidRDefault="00473059">
      <w:pPr>
        <w:pStyle w:val="FootnoteText"/>
      </w:pPr>
      <w:r>
        <w:rPr>
          <w:rStyle w:val="FootnoteReference"/>
        </w:rPr>
        <w:footnoteRef/>
      </w:r>
      <w:r>
        <w:t xml:space="preserve"> </w:t>
      </w:r>
      <w:r>
        <w:rPr>
          <w:rFonts w:ascii="Times New Roman" w:hAnsi="Times New Roman"/>
          <w:sz w:val="24"/>
          <w:szCs w:val="24"/>
        </w:rPr>
        <w:t>IRC Sec. 408(p</w:t>
      </w:r>
      <w:proofErr w:type="gramStart"/>
      <w:r>
        <w:rPr>
          <w:rFonts w:ascii="Times New Roman" w:hAnsi="Times New Roman"/>
          <w:sz w:val="24"/>
          <w:szCs w:val="24"/>
        </w:rPr>
        <w:t>)(</w:t>
      </w:r>
      <w:proofErr w:type="gramEnd"/>
      <w:r>
        <w:rPr>
          <w:rFonts w:ascii="Times New Roman" w:hAnsi="Times New Roman"/>
          <w:sz w:val="24"/>
          <w:szCs w:val="24"/>
        </w:rPr>
        <w:t>4)(B).</w:t>
      </w:r>
    </w:p>
  </w:footnote>
  <w:footnote w:id="9">
    <w:p w:rsidR="001B7851" w:rsidRDefault="001B7851">
      <w:pPr>
        <w:pStyle w:val="FootnoteText"/>
      </w:pPr>
      <w:r>
        <w:rPr>
          <w:rStyle w:val="FootnoteReference"/>
        </w:rPr>
        <w:footnoteRef/>
      </w:r>
      <w:r>
        <w:t xml:space="preserve"> </w:t>
      </w:r>
      <w:r w:rsidRPr="003A006E">
        <w:rPr>
          <w:rFonts w:ascii="Times New Roman" w:hAnsi="Times New Roman"/>
          <w:sz w:val="24"/>
          <w:szCs w:val="24"/>
        </w:rPr>
        <w:t>Small Business Job Protection Act (SBJPA), Committ</w:t>
      </w:r>
      <w:r>
        <w:rPr>
          <w:rFonts w:ascii="Times New Roman" w:hAnsi="Times New Roman"/>
          <w:sz w:val="24"/>
          <w:szCs w:val="24"/>
        </w:rPr>
        <w:t>ee Report; SBJPA Sec. 1421(b</w:t>
      </w:r>
      <w:proofErr w:type="gramStart"/>
      <w:r>
        <w:rPr>
          <w:rFonts w:ascii="Times New Roman" w:hAnsi="Times New Roman"/>
          <w:sz w:val="24"/>
          <w:szCs w:val="24"/>
        </w:rPr>
        <w:t>)(</w:t>
      </w:r>
      <w:proofErr w:type="gramEnd"/>
      <w:r>
        <w:rPr>
          <w:rFonts w:ascii="Times New Roman" w:hAnsi="Times New Roman"/>
          <w:sz w:val="24"/>
          <w:szCs w:val="24"/>
        </w:rPr>
        <w:t>7).</w:t>
      </w:r>
    </w:p>
  </w:footnote>
  <w:footnote w:id="10">
    <w:p w:rsidR="001B7851" w:rsidRDefault="001B7851">
      <w:pPr>
        <w:pStyle w:val="FootnoteText"/>
      </w:pPr>
      <w:r>
        <w:rPr>
          <w:rStyle w:val="FootnoteReference"/>
        </w:rPr>
        <w:footnoteRef/>
      </w:r>
      <w:r>
        <w:t xml:space="preserve"> </w:t>
      </w:r>
      <w:r>
        <w:rPr>
          <w:rFonts w:ascii="Times New Roman" w:hAnsi="Times New Roman"/>
          <w:sz w:val="24"/>
          <w:szCs w:val="24"/>
        </w:rPr>
        <w:t>IRC Sec. 408(p</w:t>
      </w:r>
      <w:proofErr w:type="gramStart"/>
      <w:r>
        <w:rPr>
          <w:rFonts w:ascii="Times New Roman" w:hAnsi="Times New Roman"/>
          <w:sz w:val="24"/>
          <w:szCs w:val="24"/>
        </w:rPr>
        <w:t>)(</w:t>
      </w:r>
      <w:proofErr w:type="gramEnd"/>
      <w:r>
        <w:rPr>
          <w:rFonts w:ascii="Times New Roman" w:hAnsi="Times New Roman"/>
          <w:sz w:val="24"/>
          <w:szCs w:val="24"/>
        </w:rPr>
        <w:t>2)(A)(ii).</w:t>
      </w:r>
    </w:p>
  </w:footnote>
  <w:footnote w:id="11">
    <w:p w:rsidR="001B7851" w:rsidRDefault="001B7851">
      <w:pPr>
        <w:pStyle w:val="FootnoteText"/>
      </w:pPr>
      <w:r>
        <w:rPr>
          <w:rStyle w:val="FootnoteReference"/>
        </w:rPr>
        <w:footnoteRef/>
      </w:r>
      <w:r>
        <w:t xml:space="preserve"> </w:t>
      </w:r>
      <w:r w:rsidRPr="001B7851">
        <w:rPr>
          <w:rFonts w:ascii="Times New Roman" w:hAnsi="Times New Roman"/>
          <w:sz w:val="24"/>
          <w:szCs w:val="24"/>
        </w:rPr>
        <w:t>IRC Sec. 219(g</w:t>
      </w:r>
      <w:proofErr w:type="gramStart"/>
      <w:r w:rsidRPr="001B7851">
        <w:rPr>
          <w:rFonts w:ascii="Times New Roman" w:hAnsi="Times New Roman"/>
          <w:sz w:val="24"/>
          <w:szCs w:val="24"/>
        </w:rPr>
        <w:t>)(</w:t>
      </w:r>
      <w:proofErr w:type="gramEnd"/>
      <w:r w:rsidRPr="001B7851">
        <w:rPr>
          <w:rFonts w:ascii="Times New Roman" w:hAnsi="Times New Roman"/>
          <w:sz w:val="24"/>
          <w:szCs w:val="24"/>
        </w:rPr>
        <w:t>5)(A)(vi)</w:t>
      </w:r>
      <w:r>
        <w:rPr>
          <w:rFonts w:ascii="Times New Roman" w:hAnsi="Times New Roman"/>
          <w:sz w:val="24"/>
          <w:szCs w:val="24"/>
        </w:rPr>
        <w:t>.</w:t>
      </w:r>
    </w:p>
  </w:footnote>
  <w:footnote w:id="12">
    <w:p w:rsidR="008D34A9" w:rsidRDefault="008D34A9">
      <w:pPr>
        <w:pStyle w:val="FootnoteText"/>
      </w:pPr>
      <w:r>
        <w:rPr>
          <w:rStyle w:val="FootnoteReference"/>
        </w:rPr>
        <w:footnoteRef/>
      </w:r>
      <w:r>
        <w:t xml:space="preserve"> </w:t>
      </w:r>
      <w:r>
        <w:rPr>
          <w:rFonts w:ascii="Times New Roman" w:hAnsi="Times New Roman"/>
          <w:sz w:val="24"/>
          <w:szCs w:val="24"/>
        </w:rPr>
        <w:t xml:space="preserve">IRC Sec. </w:t>
      </w:r>
      <w:r w:rsidRPr="003A006E">
        <w:rPr>
          <w:rFonts w:ascii="Times New Roman" w:hAnsi="Times New Roman"/>
          <w:sz w:val="24"/>
          <w:szCs w:val="24"/>
        </w:rPr>
        <w:t>408(p</w:t>
      </w:r>
      <w:proofErr w:type="gramStart"/>
      <w:r>
        <w:rPr>
          <w:rFonts w:ascii="Times New Roman" w:hAnsi="Times New Roman"/>
          <w:sz w:val="24"/>
          <w:szCs w:val="24"/>
        </w:rPr>
        <w:t>)(</w:t>
      </w:r>
      <w:proofErr w:type="gramEnd"/>
      <w:r>
        <w:rPr>
          <w:rFonts w:ascii="Times New Roman" w:hAnsi="Times New Roman"/>
          <w:sz w:val="24"/>
          <w:szCs w:val="24"/>
        </w:rPr>
        <w:t xml:space="preserve">2)(A)(iii), </w:t>
      </w:r>
      <w:r w:rsidR="00880B78">
        <w:rPr>
          <w:rFonts w:ascii="Times New Roman" w:hAnsi="Times New Roman"/>
          <w:sz w:val="24"/>
          <w:szCs w:val="24"/>
        </w:rPr>
        <w:t xml:space="preserve">IRC </w:t>
      </w:r>
      <w:r>
        <w:rPr>
          <w:rFonts w:ascii="Times New Roman" w:hAnsi="Times New Roman"/>
          <w:sz w:val="24"/>
          <w:szCs w:val="24"/>
        </w:rPr>
        <w:t>Sec. 408(p)(2)(C)(ii).</w:t>
      </w:r>
    </w:p>
  </w:footnote>
  <w:footnote w:id="13">
    <w:p w:rsidR="00CE348E" w:rsidRDefault="00CE348E">
      <w:pPr>
        <w:pStyle w:val="FootnoteText"/>
      </w:pPr>
      <w:r>
        <w:rPr>
          <w:rStyle w:val="FootnoteReference"/>
        </w:rPr>
        <w:footnoteRef/>
      </w:r>
      <w:r>
        <w:t xml:space="preserve"> </w:t>
      </w:r>
      <w:r>
        <w:rPr>
          <w:rFonts w:ascii="Times New Roman" w:hAnsi="Times New Roman"/>
          <w:sz w:val="24"/>
          <w:szCs w:val="24"/>
        </w:rPr>
        <w:t>IRC Sec. 408(p</w:t>
      </w:r>
      <w:proofErr w:type="gramStart"/>
      <w:r>
        <w:rPr>
          <w:rFonts w:ascii="Times New Roman" w:hAnsi="Times New Roman"/>
          <w:sz w:val="24"/>
          <w:szCs w:val="24"/>
        </w:rPr>
        <w:t>)(</w:t>
      </w:r>
      <w:proofErr w:type="gramEnd"/>
      <w:r>
        <w:rPr>
          <w:rFonts w:ascii="Times New Roman" w:hAnsi="Times New Roman"/>
          <w:sz w:val="24"/>
          <w:szCs w:val="24"/>
        </w:rPr>
        <w:t>2)(C)(ii).</w:t>
      </w:r>
    </w:p>
  </w:footnote>
  <w:footnote w:id="14">
    <w:p w:rsidR="00110BB7" w:rsidRDefault="00110BB7">
      <w:pPr>
        <w:pStyle w:val="FootnoteText"/>
      </w:pPr>
      <w:r>
        <w:rPr>
          <w:rStyle w:val="FootnoteReference"/>
        </w:rPr>
        <w:footnoteRef/>
      </w:r>
      <w:r>
        <w:t xml:space="preserve"> </w:t>
      </w:r>
      <w:r>
        <w:rPr>
          <w:rFonts w:ascii="Times New Roman" w:hAnsi="Times New Roman"/>
          <w:sz w:val="24"/>
          <w:szCs w:val="24"/>
        </w:rPr>
        <w:t>IRC Sec. 408(p</w:t>
      </w:r>
      <w:proofErr w:type="gramStart"/>
      <w:r>
        <w:rPr>
          <w:rFonts w:ascii="Times New Roman" w:hAnsi="Times New Roman"/>
          <w:sz w:val="24"/>
          <w:szCs w:val="24"/>
        </w:rPr>
        <w:t>)(</w:t>
      </w:r>
      <w:proofErr w:type="gramEnd"/>
      <w:r>
        <w:rPr>
          <w:rFonts w:ascii="Times New Roman" w:hAnsi="Times New Roman"/>
          <w:sz w:val="24"/>
          <w:szCs w:val="24"/>
        </w:rPr>
        <w:t>2)(B)(</w:t>
      </w:r>
      <w:proofErr w:type="spellStart"/>
      <w:r>
        <w:rPr>
          <w:rFonts w:ascii="Times New Roman" w:hAnsi="Times New Roman"/>
          <w:sz w:val="24"/>
          <w:szCs w:val="24"/>
        </w:rPr>
        <w:t>i</w:t>
      </w:r>
      <w:proofErr w:type="spellEnd"/>
      <w:r>
        <w:rPr>
          <w:rFonts w:ascii="Times New Roman" w:hAnsi="Times New Roman"/>
          <w:sz w:val="24"/>
          <w:szCs w:val="24"/>
        </w:rPr>
        <w:t>).</w:t>
      </w:r>
    </w:p>
  </w:footnote>
  <w:footnote w:id="15">
    <w:p w:rsidR="00110BB7" w:rsidRDefault="00110BB7">
      <w:pPr>
        <w:pStyle w:val="FootnoteText"/>
      </w:pPr>
      <w:r>
        <w:rPr>
          <w:rStyle w:val="FootnoteReference"/>
        </w:rPr>
        <w:footnoteRef/>
      </w:r>
      <w:r>
        <w:t xml:space="preserve"> </w:t>
      </w:r>
      <w:proofErr w:type="gramStart"/>
      <w:r>
        <w:rPr>
          <w:rFonts w:ascii="Times New Roman" w:hAnsi="Times New Roman"/>
          <w:sz w:val="24"/>
          <w:szCs w:val="24"/>
        </w:rPr>
        <w:t xml:space="preserve">Notice 98-4, </w:t>
      </w:r>
      <w:r w:rsidRPr="00110BB7">
        <w:rPr>
          <w:rStyle w:val="st"/>
          <w:rFonts w:ascii="Times New Roman" w:hAnsi="Times New Roman"/>
          <w:sz w:val="24"/>
          <w:szCs w:val="24"/>
        </w:rPr>
        <w:t>1998-1 C.B. 269</w:t>
      </w:r>
      <w:r>
        <w:rPr>
          <w:rStyle w:val="st"/>
        </w:rPr>
        <w:t>.</w:t>
      </w:r>
      <w:proofErr w:type="gramEnd"/>
    </w:p>
  </w:footnote>
  <w:footnote w:id="16">
    <w:p w:rsidR="006E0667" w:rsidRDefault="006E0667">
      <w:pPr>
        <w:pStyle w:val="FootnoteText"/>
      </w:pPr>
      <w:r>
        <w:rPr>
          <w:rStyle w:val="FootnoteReference"/>
        </w:rPr>
        <w:footnoteRef/>
      </w:r>
      <w:r>
        <w:t xml:space="preserve"> </w:t>
      </w:r>
      <w:proofErr w:type="gramStart"/>
      <w:r>
        <w:rPr>
          <w:rFonts w:ascii="Times New Roman" w:hAnsi="Times New Roman"/>
          <w:sz w:val="24"/>
          <w:szCs w:val="24"/>
        </w:rPr>
        <w:t>SBJPA Committee Report.</w:t>
      </w:r>
      <w:proofErr w:type="gramEnd"/>
    </w:p>
  </w:footnote>
  <w:footnote w:id="17">
    <w:p w:rsidR="000A14AE" w:rsidRDefault="000A14AE">
      <w:pPr>
        <w:pStyle w:val="FootnoteText"/>
      </w:pPr>
      <w:r>
        <w:rPr>
          <w:rStyle w:val="FootnoteReference"/>
        </w:rPr>
        <w:footnoteRef/>
      </w:r>
      <w:r>
        <w:t xml:space="preserve"> </w:t>
      </w:r>
      <w:r>
        <w:rPr>
          <w:rFonts w:ascii="Times New Roman" w:hAnsi="Times New Roman"/>
          <w:sz w:val="24"/>
          <w:szCs w:val="24"/>
        </w:rPr>
        <w:t xml:space="preserve">IRC Sec. </w:t>
      </w:r>
      <w:r w:rsidRPr="003A006E">
        <w:rPr>
          <w:rFonts w:ascii="Times New Roman" w:hAnsi="Times New Roman"/>
          <w:sz w:val="24"/>
          <w:szCs w:val="24"/>
        </w:rPr>
        <w:t>408(p</w:t>
      </w:r>
      <w:proofErr w:type="gramStart"/>
      <w:r w:rsidRPr="003A006E">
        <w:rPr>
          <w:rFonts w:ascii="Times New Roman" w:hAnsi="Times New Roman"/>
          <w:sz w:val="24"/>
          <w:szCs w:val="24"/>
        </w:rPr>
        <w:t>)(</w:t>
      </w:r>
      <w:proofErr w:type="gramEnd"/>
      <w:r>
        <w:rPr>
          <w:rFonts w:ascii="Times New Roman" w:hAnsi="Times New Roman"/>
          <w:sz w:val="24"/>
          <w:szCs w:val="24"/>
        </w:rPr>
        <w:t>2)(A)(iii)</w:t>
      </w:r>
      <w:r w:rsidR="00C237C0">
        <w:rPr>
          <w:rFonts w:ascii="Times New Roman" w:hAnsi="Times New Roman"/>
          <w:sz w:val="24"/>
          <w:szCs w:val="24"/>
        </w:rPr>
        <w:t>;</w:t>
      </w:r>
      <w:r>
        <w:rPr>
          <w:rFonts w:ascii="Times New Roman" w:hAnsi="Times New Roman"/>
          <w:sz w:val="24"/>
          <w:szCs w:val="24"/>
        </w:rPr>
        <w:t xml:space="preserve"> notes in [ ] added.</w:t>
      </w:r>
    </w:p>
  </w:footnote>
  <w:footnote w:id="18">
    <w:p w:rsidR="007333F8" w:rsidRDefault="007333F8">
      <w:pPr>
        <w:pStyle w:val="FootnoteText"/>
      </w:pPr>
      <w:r>
        <w:rPr>
          <w:rStyle w:val="FootnoteReference"/>
        </w:rPr>
        <w:footnoteRef/>
      </w:r>
      <w:r>
        <w:t xml:space="preserve"> </w:t>
      </w:r>
      <w:r>
        <w:rPr>
          <w:rFonts w:ascii="Times New Roman" w:hAnsi="Times New Roman"/>
          <w:sz w:val="24"/>
          <w:szCs w:val="24"/>
        </w:rPr>
        <w:t>IRC Sec. 408(p</w:t>
      </w:r>
      <w:proofErr w:type="gramStart"/>
      <w:r>
        <w:rPr>
          <w:rFonts w:ascii="Times New Roman" w:hAnsi="Times New Roman"/>
          <w:sz w:val="24"/>
          <w:szCs w:val="24"/>
        </w:rPr>
        <w:t>)(</w:t>
      </w:r>
      <w:proofErr w:type="gramEnd"/>
      <w:r>
        <w:rPr>
          <w:rFonts w:ascii="Times New Roman" w:hAnsi="Times New Roman"/>
          <w:sz w:val="24"/>
          <w:szCs w:val="24"/>
        </w:rPr>
        <w:t>5)(A)(</w:t>
      </w:r>
      <w:proofErr w:type="spellStart"/>
      <w:r>
        <w:rPr>
          <w:rFonts w:ascii="Times New Roman" w:hAnsi="Times New Roman"/>
          <w:sz w:val="24"/>
          <w:szCs w:val="24"/>
        </w:rPr>
        <w:t>i</w:t>
      </w:r>
      <w:proofErr w:type="spellEnd"/>
      <w:r>
        <w:rPr>
          <w:rFonts w:ascii="Times New Roman" w:hAnsi="Times New Roman"/>
          <w:sz w:val="24"/>
          <w:szCs w:val="24"/>
        </w:rPr>
        <w:t>).</w:t>
      </w:r>
    </w:p>
  </w:footnote>
  <w:footnote w:id="19">
    <w:p w:rsidR="00991067" w:rsidRDefault="00991067">
      <w:pPr>
        <w:pStyle w:val="FootnoteText"/>
      </w:pPr>
      <w:r>
        <w:rPr>
          <w:rStyle w:val="FootnoteReference"/>
        </w:rPr>
        <w:footnoteRef/>
      </w:r>
      <w:r>
        <w:t xml:space="preserve"> </w:t>
      </w:r>
      <w:r>
        <w:rPr>
          <w:rFonts w:ascii="Times New Roman" w:hAnsi="Times New Roman"/>
          <w:sz w:val="24"/>
          <w:szCs w:val="24"/>
        </w:rPr>
        <w:t>IRC Sec</w:t>
      </w:r>
      <w:r w:rsidRPr="006F26B6">
        <w:rPr>
          <w:rFonts w:ascii="Times New Roman" w:hAnsi="Times New Roman"/>
          <w:sz w:val="24"/>
          <w:szCs w:val="24"/>
        </w:rPr>
        <w:t>. 408(p</w:t>
      </w:r>
      <w:proofErr w:type="gramStart"/>
      <w:r w:rsidRPr="006F26B6">
        <w:rPr>
          <w:rFonts w:ascii="Times New Roman" w:hAnsi="Times New Roman"/>
          <w:sz w:val="24"/>
          <w:szCs w:val="24"/>
        </w:rPr>
        <w:t>)(</w:t>
      </w:r>
      <w:proofErr w:type="gramEnd"/>
      <w:r w:rsidRPr="006F26B6">
        <w:rPr>
          <w:rFonts w:ascii="Times New Roman" w:hAnsi="Times New Roman"/>
          <w:sz w:val="24"/>
          <w:szCs w:val="24"/>
        </w:rPr>
        <w:t>5)(A)(ii),</w:t>
      </w:r>
      <w:r>
        <w:rPr>
          <w:rFonts w:ascii="Times New Roman" w:hAnsi="Times New Roman"/>
          <w:sz w:val="24"/>
          <w:szCs w:val="24"/>
        </w:rPr>
        <w:t xml:space="preserve"> IRC Sec</w:t>
      </w:r>
      <w:r w:rsidRPr="006F26B6">
        <w:rPr>
          <w:rFonts w:ascii="Times New Roman" w:hAnsi="Times New Roman"/>
          <w:sz w:val="24"/>
          <w:szCs w:val="24"/>
        </w:rPr>
        <w:t>. 404(m)(2)(B)</w:t>
      </w:r>
      <w:r>
        <w:rPr>
          <w:rFonts w:ascii="Times New Roman" w:hAnsi="Times New Roman"/>
          <w:sz w:val="24"/>
          <w:szCs w:val="24"/>
        </w:rPr>
        <w:t>.</w:t>
      </w:r>
    </w:p>
  </w:footnote>
  <w:footnote w:id="20">
    <w:p w:rsidR="000F6D9A" w:rsidRDefault="000F6D9A">
      <w:pPr>
        <w:pStyle w:val="FootnoteText"/>
      </w:pPr>
      <w:r>
        <w:rPr>
          <w:rStyle w:val="FootnoteReference"/>
        </w:rPr>
        <w:footnoteRef/>
      </w:r>
      <w:r>
        <w:t xml:space="preserve"> </w:t>
      </w:r>
      <w:r w:rsidRPr="006F26B6">
        <w:rPr>
          <w:rFonts w:ascii="Times New Roman" w:hAnsi="Times New Roman"/>
          <w:sz w:val="24"/>
          <w:szCs w:val="24"/>
        </w:rPr>
        <w:t>IRC Sec. 408(p</w:t>
      </w:r>
      <w:proofErr w:type="gramStart"/>
      <w:r w:rsidRPr="006F26B6">
        <w:rPr>
          <w:rFonts w:ascii="Times New Roman" w:hAnsi="Times New Roman"/>
          <w:sz w:val="24"/>
          <w:szCs w:val="24"/>
        </w:rPr>
        <w:t>)(</w:t>
      </w:r>
      <w:proofErr w:type="gramEnd"/>
      <w:r w:rsidRPr="006F26B6">
        <w:rPr>
          <w:rFonts w:ascii="Times New Roman" w:hAnsi="Times New Roman"/>
          <w:sz w:val="24"/>
          <w:szCs w:val="24"/>
        </w:rPr>
        <w:t>5)(B)</w:t>
      </w:r>
      <w:r>
        <w:rPr>
          <w:rFonts w:ascii="Times New Roman" w:hAnsi="Times New Roman"/>
          <w:sz w:val="24"/>
          <w:szCs w:val="24"/>
        </w:rPr>
        <w:t>.</w:t>
      </w:r>
    </w:p>
  </w:footnote>
  <w:footnote w:id="21">
    <w:p w:rsidR="000F6D9A" w:rsidRDefault="000F6D9A">
      <w:pPr>
        <w:pStyle w:val="FootnoteText"/>
      </w:pPr>
      <w:r>
        <w:rPr>
          <w:rStyle w:val="FootnoteReference"/>
        </w:rPr>
        <w:footnoteRef/>
      </w:r>
      <w:r>
        <w:t xml:space="preserve"> </w:t>
      </w:r>
      <w:r w:rsidRPr="006F26B6">
        <w:rPr>
          <w:rFonts w:ascii="Times New Roman" w:hAnsi="Times New Roman"/>
          <w:sz w:val="24"/>
          <w:szCs w:val="24"/>
        </w:rPr>
        <w:t>IRC Sec. 408(p</w:t>
      </w:r>
      <w:proofErr w:type="gramStart"/>
      <w:r w:rsidRPr="006F26B6">
        <w:rPr>
          <w:rFonts w:ascii="Times New Roman" w:hAnsi="Times New Roman"/>
          <w:sz w:val="24"/>
          <w:szCs w:val="24"/>
        </w:rPr>
        <w:t>)(</w:t>
      </w:r>
      <w:proofErr w:type="gramEnd"/>
      <w:r w:rsidRPr="006F26B6">
        <w:rPr>
          <w:rFonts w:ascii="Times New Roman" w:hAnsi="Times New Roman"/>
          <w:sz w:val="24"/>
          <w:szCs w:val="24"/>
        </w:rPr>
        <w:t>5)(C)</w:t>
      </w:r>
      <w:r>
        <w:rPr>
          <w:rFonts w:ascii="Times New Roman" w:hAnsi="Times New Roman"/>
          <w:sz w:val="24"/>
          <w:szCs w:val="24"/>
        </w:rPr>
        <w:t>.</w:t>
      </w:r>
    </w:p>
  </w:footnote>
  <w:footnote w:id="22">
    <w:p w:rsidR="000F6D9A" w:rsidRDefault="000F6D9A">
      <w:pPr>
        <w:pStyle w:val="FootnoteText"/>
      </w:pPr>
      <w:r>
        <w:rPr>
          <w:rStyle w:val="FootnoteReference"/>
        </w:rPr>
        <w:footnoteRef/>
      </w:r>
      <w:r>
        <w:t xml:space="preserve"> </w:t>
      </w:r>
      <w:proofErr w:type="gramStart"/>
      <w:r w:rsidRPr="006F26B6">
        <w:rPr>
          <w:rFonts w:ascii="Times New Roman" w:hAnsi="Times New Roman"/>
          <w:sz w:val="24"/>
          <w:szCs w:val="24"/>
        </w:rPr>
        <w:t>SBJPA Committee Report</w:t>
      </w:r>
      <w:r>
        <w:rPr>
          <w:rFonts w:ascii="Times New Roman" w:hAnsi="Times New Roman"/>
          <w:sz w:val="24"/>
          <w:szCs w:val="24"/>
        </w:rPr>
        <w:t>.</w:t>
      </w:r>
      <w:proofErr w:type="gramEnd"/>
    </w:p>
  </w:footnote>
  <w:footnote w:id="23">
    <w:p w:rsidR="00276525" w:rsidRDefault="00276525" w:rsidP="00276525">
      <w:pPr>
        <w:autoSpaceDE w:val="0"/>
        <w:autoSpaceDN w:val="0"/>
        <w:adjustRightInd w:val="0"/>
        <w:spacing w:after="0" w:line="240" w:lineRule="auto"/>
      </w:pPr>
      <w:r>
        <w:rPr>
          <w:rStyle w:val="FootnoteReference"/>
        </w:rPr>
        <w:footnoteRef/>
      </w:r>
      <w:r>
        <w:t xml:space="preserve"> </w:t>
      </w:r>
      <w:proofErr w:type="gramStart"/>
      <w:r w:rsidRPr="006F26B6">
        <w:rPr>
          <w:rFonts w:ascii="Times New Roman" w:hAnsi="Times New Roman" w:cs="Times New Roman"/>
          <w:sz w:val="24"/>
          <w:szCs w:val="24"/>
        </w:rPr>
        <w:t>Notice 97-6, Q &amp; A G-1</w:t>
      </w:r>
      <w:r>
        <w:rPr>
          <w:rFonts w:ascii="Times New Roman" w:hAnsi="Times New Roman"/>
          <w:sz w:val="24"/>
          <w:szCs w:val="24"/>
        </w:rPr>
        <w:t xml:space="preserve">, </w:t>
      </w:r>
      <w:r w:rsidRPr="00276525">
        <w:rPr>
          <w:rFonts w:ascii="Times New Roman" w:eastAsiaTheme="minorHAnsi" w:hAnsi="Times New Roman" w:cs="Times New Roman"/>
          <w:sz w:val="24"/>
          <w:szCs w:val="24"/>
        </w:rPr>
        <w:t>1997-2 I.R.B. 26</w:t>
      </w:r>
      <w:r>
        <w:rPr>
          <w:rFonts w:ascii="Times New Roman" w:eastAsiaTheme="minorHAnsi" w:hAnsi="Times New Roman" w:cs="Times New Roman"/>
          <w:sz w:val="24"/>
          <w:szCs w:val="24"/>
        </w:rPr>
        <w:t>.</w:t>
      </w:r>
      <w:proofErr w:type="gramEnd"/>
    </w:p>
  </w:footnote>
  <w:footnote w:id="24">
    <w:p w:rsidR="009E3979" w:rsidRDefault="009E3979">
      <w:pPr>
        <w:pStyle w:val="FootnoteText"/>
      </w:pPr>
      <w:r>
        <w:rPr>
          <w:rStyle w:val="FootnoteReference"/>
        </w:rPr>
        <w:footnoteRef/>
      </w:r>
      <w:r>
        <w:t xml:space="preserve"> </w:t>
      </w:r>
      <w:r>
        <w:rPr>
          <w:rFonts w:ascii="Times New Roman" w:hAnsi="Times New Roman"/>
          <w:sz w:val="24"/>
          <w:szCs w:val="24"/>
        </w:rPr>
        <w:t xml:space="preserve">IRC </w:t>
      </w:r>
      <w:proofErr w:type="gramStart"/>
      <w:r>
        <w:rPr>
          <w:rFonts w:ascii="Times New Roman" w:hAnsi="Times New Roman"/>
          <w:sz w:val="24"/>
          <w:szCs w:val="24"/>
        </w:rPr>
        <w:t>Sec.</w:t>
      </w:r>
      <w:r w:rsidRPr="003A006E">
        <w:rPr>
          <w:rFonts w:ascii="Times New Roman" w:hAnsi="Times New Roman"/>
          <w:sz w:val="24"/>
          <w:szCs w:val="24"/>
        </w:rPr>
        <w:t>408(</w:t>
      </w:r>
      <w:proofErr w:type="gramEnd"/>
      <w:r w:rsidRPr="003A006E">
        <w:rPr>
          <w:rFonts w:ascii="Times New Roman" w:hAnsi="Times New Roman"/>
          <w:sz w:val="24"/>
          <w:szCs w:val="24"/>
        </w:rPr>
        <w:t xml:space="preserve">p)(7); </w:t>
      </w:r>
      <w:r>
        <w:rPr>
          <w:rFonts w:ascii="Times New Roman" w:hAnsi="Times New Roman"/>
          <w:sz w:val="24"/>
          <w:szCs w:val="24"/>
        </w:rPr>
        <w:t>Notice 97-6, Q&amp;A J-1 and J-2,</w:t>
      </w:r>
      <w:r w:rsidR="003675FB">
        <w:rPr>
          <w:rFonts w:ascii="Times New Roman" w:hAnsi="Times New Roman"/>
          <w:sz w:val="24"/>
          <w:szCs w:val="24"/>
        </w:rPr>
        <w:t xml:space="preserve"> </w:t>
      </w:r>
      <w:r w:rsidR="003675FB" w:rsidRPr="00276525">
        <w:rPr>
          <w:rFonts w:ascii="Times New Roman" w:eastAsiaTheme="minorHAnsi" w:hAnsi="Times New Roman"/>
          <w:sz w:val="24"/>
          <w:szCs w:val="24"/>
        </w:rPr>
        <w:t>1997-2 I.R.B. 26</w:t>
      </w:r>
      <w:r>
        <w:rPr>
          <w:rFonts w:ascii="Times New Roman" w:hAnsi="Times New Roman"/>
          <w:sz w:val="24"/>
          <w:szCs w:val="24"/>
        </w:rPr>
        <w:t>.</w:t>
      </w:r>
    </w:p>
  </w:footnote>
  <w:footnote w:id="25">
    <w:p w:rsidR="00E47E77" w:rsidRDefault="00E47E77">
      <w:pPr>
        <w:pStyle w:val="FootnoteText"/>
      </w:pPr>
      <w:r>
        <w:rPr>
          <w:rStyle w:val="FootnoteReference"/>
        </w:rPr>
        <w:footnoteRef/>
      </w:r>
      <w:r>
        <w:t xml:space="preserve"> </w:t>
      </w:r>
      <w:proofErr w:type="gramStart"/>
      <w:r>
        <w:rPr>
          <w:rFonts w:ascii="Times New Roman" w:hAnsi="Times New Roman"/>
          <w:sz w:val="24"/>
          <w:szCs w:val="24"/>
        </w:rPr>
        <w:t xml:space="preserve">Notice 97-6, Q&amp;A J-4, </w:t>
      </w:r>
      <w:r w:rsidRPr="00276525">
        <w:rPr>
          <w:rFonts w:ascii="Times New Roman" w:eastAsiaTheme="minorHAnsi" w:hAnsi="Times New Roman"/>
          <w:sz w:val="24"/>
          <w:szCs w:val="24"/>
        </w:rPr>
        <w:t>1997-2 I.R.B. 26</w:t>
      </w:r>
      <w:r>
        <w:rPr>
          <w:rFonts w:ascii="Times New Roman" w:eastAsiaTheme="minorHAnsi" w:hAnsi="Times New Roman"/>
          <w:sz w:val="24"/>
          <w:szCs w:val="24"/>
        </w:rPr>
        <w:t>.</w:t>
      </w:r>
      <w:proofErr w:type="gramEnd"/>
    </w:p>
  </w:footnote>
  <w:footnote w:id="26">
    <w:p w:rsidR="003675FB" w:rsidRDefault="003675FB">
      <w:pPr>
        <w:pStyle w:val="FootnoteText"/>
      </w:pPr>
      <w:r>
        <w:rPr>
          <w:rStyle w:val="FootnoteReference"/>
        </w:rPr>
        <w:footnoteRef/>
      </w:r>
      <w:r>
        <w:t xml:space="preserve"> </w:t>
      </w:r>
      <w:proofErr w:type="gramStart"/>
      <w:r w:rsidRPr="006F26B6">
        <w:rPr>
          <w:rFonts w:ascii="Times New Roman" w:hAnsi="Times New Roman"/>
          <w:sz w:val="24"/>
          <w:szCs w:val="24"/>
        </w:rPr>
        <w:t>Notice 97-6, Q&amp;A J-2</w:t>
      </w:r>
      <w:r>
        <w:rPr>
          <w:rFonts w:ascii="Times New Roman" w:hAnsi="Times New Roman"/>
          <w:sz w:val="24"/>
          <w:szCs w:val="24"/>
        </w:rPr>
        <w:t xml:space="preserve">, </w:t>
      </w:r>
      <w:r w:rsidRPr="00276525">
        <w:rPr>
          <w:rFonts w:ascii="Times New Roman" w:eastAsiaTheme="minorHAnsi" w:hAnsi="Times New Roman"/>
          <w:sz w:val="24"/>
          <w:szCs w:val="24"/>
        </w:rPr>
        <w:t>1997-2 I.R.B. 26</w:t>
      </w:r>
      <w:r>
        <w:rPr>
          <w:rFonts w:ascii="Times New Roman" w:eastAsiaTheme="minorHAnsi" w:hAnsi="Times New Roman"/>
          <w:sz w:val="24"/>
          <w:szCs w:val="24"/>
        </w:rPr>
        <w:t>.</w:t>
      </w:r>
      <w:proofErr w:type="gramEnd"/>
    </w:p>
  </w:footnote>
  <w:footnote w:id="27">
    <w:p w:rsidR="004263FF" w:rsidRDefault="004263FF">
      <w:pPr>
        <w:pStyle w:val="FootnoteText"/>
      </w:pPr>
      <w:r>
        <w:rPr>
          <w:rStyle w:val="FootnoteReference"/>
        </w:rPr>
        <w:footnoteRef/>
      </w:r>
      <w:r>
        <w:t xml:space="preserve"> </w:t>
      </w:r>
      <w:r>
        <w:rPr>
          <w:rFonts w:ascii="Times New Roman" w:hAnsi="Times New Roman"/>
          <w:sz w:val="24"/>
          <w:szCs w:val="24"/>
        </w:rPr>
        <w:t>IRC Sec. 408(l</w:t>
      </w:r>
      <w:proofErr w:type="gramStart"/>
      <w:r>
        <w:rPr>
          <w:rFonts w:ascii="Times New Roman" w:hAnsi="Times New Roman"/>
          <w:sz w:val="24"/>
          <w:szCs w:val="24"/>
        </w:rPr>
        <w:t>)(</w:t>
      </w:r>
      <w:proofErr w:type="gramEnd"/>
      <w:r>
        <w:rPr>
          <w:rFonts w:ascii="Times New Roman" w:hAnsi="Times New Roman"/>
          <w:sz w:val="24"/>
          <w:szCs w:val="24"/>
        </w:rPr>
        <w:t>2)(B).</w:t>
      </w:r>
    </w:p>
  </w:footnote>
  <w:footnote w:id="28">
    <w:p w:rsidR="009D39D1" w:rsidRDefault="009D39D1">
      <w:pPr>
        <w:pStyle w:val="FootnoteText"/>
      </w:pPr>
      <w:r>
        <w:rPr>
          <w:rStyle w:val="FootnoteReference"/>
        </w:rPr>
        <w:footnoteRef/>
      </w:r>
      <w:r>
        <w:t xml:space="preserve"> </w:t>
      </w:r>
      <w:r w:rsidRPr="004B4C1A">
        <w:rPr>
          <w:rFonts w:ascii="Times New Roman" w:hAnsi="Times New Roman"/>
          <w:sz w:val="24"/>
          <w:szCs w:val="24"/>
        </w:rPr>
        <w:t xml:space="preserve">IRC Sec. </w:t>
      </w:r>
      <w:proofErr w:type="gramStart"/>
      <w:r w:rsidRPr="004B4C1A">
        <w:rPr>
          <w:rFonts w:ascii="Times New Roman" w:hAnsi="Times New Roman"/>
          <w:sz w:val="24"/>
          <w:szCs w:val="24"/>
        </w:rPr>
        <w:t>408(</w:t>
      </w:r>
      <w:proofErr w:type="spellStart"/>
      <w:r w:rsidRPr="004B4C1A">
        <w:rPr>
          <w:rFonts w:ascii="Times New Roman" w:hAnsi="Times New Roman"/>
          <w:sz w:val="24"/>
          <w:szCs w:val="24"/>
        </w:rPr>
        <w:t>i</w:t>
      </w:r>
      <w:proofErr w:type="spellEnd"/>
      <w:proofErr w:type="gramEnd"/>
      <w:r w:rsidRPr="004B4C1A">
        <w:rPr>
          <w:rFonts w:ascii="Times New Roman" w:hAnsi="Times New Roman"/>
          <w:sz w:val="24"/>
          <w:szCs w:val="24"/>
        </w:rPr>
        <w:t>)</w:t>
      </w:r>
      <w:r>
        <w:rPr>
          <w:rFonts w:ascii="Times New Roman" w:hAnsi="Times New Roman"/>
          <w:sz w:val="24"/>
          <w:szCs w:val="24"/>
        </w:rPr>
        <w:t>.</w:t>
      </w:r>
    </w:p>
  </w:footnote>
  <w:footnote w:id="29">
    <w:p w:rsidR="003B5710" w:rsidRDefault="003B5710">
      <w:pPr>
        <w:pStyle w:val="FootnoteText"/>
      </w:pPr>
      <w:r>
        <w:rPr>
          <w:rStyle w:val="FootnoteReference"/>
        </w:rPr>
        <w:footnoteRef/>
      </w:r>
      <w:r>
        <w:t xml:space="preserve"> </w:t>
      </w:r>
      <w:r>
        <w:rPr>
          <w:rFonts w:ascii="Times New Roman" w:hAnsi="Times New Roman"/>
          <w:sz w:val="24"/>
          <w:szCs w:val="24"/>
        </w:rPr>
        <w:t xml:space="preserve">IRC Sec. </w:t>
      </w:r>
      <w:r w:rsidRPr="003A006E">
        <w:rPr>
          <w:rFonts w:ascii="Times New Roman" w:hAnsi="Times New Roman"/>
          <w:sz w:val="24"/>
          <w:szCs w:val="24"/>
        </w:rPr>
        <w:t>6693(c</w:t>
      </w:r>
      <w:proofErr w:type="gramStart"/>
      <w:r w:rsidRPr="003A006E">
        <w:rPr>
          <w:rFonts w:ascii="Times New Roman" w:hAnsi="Times New Roman"/>
          <w:sz w:val="24"/>
          <w:szCs w:val="24"/>
        </w:rPr>
        <w:t>)(</w:t>
      </w:r>
      <w:proofErr w:type="gramEnd"/>
      <w:r w:rsidRPr="003A006E">
        <w:rPr>
          <w:rFonts w:ascii="Times New Roman" w:hAnsi="Times New Roman"/>
          <w:sz w:val="24"/>
          <w:szCs w:val="24"/>
        </w:rPr>
        <w:t xml:space="preserve">1), </w:t>
      </w:r>
      <w:r>
        <w:rPr>
          <w:rFonts w:ascii="Times New Roman" w:hAnsi="Times New Roman"/>
          <w:sz w:val="24"/>
          <w:szCs w:val="24"/>
        </w:rPr>
        <w:t>IRC Sec.</w:t>
      </w:r>
      <w:r w:rsidRPr="003A006E">
        <w:rPr>
          <w:rFonts w:ascii="Times New Roman" w:hAnsi="Times New Roman"/>
          <w:sz w:val="24"/>
          <w:szCs w:val="24"/>
        </w:rPr>
        <w:t>6693(c)(2)</w:t>
      </w:r>
      <w:r>
        <w:rPr>
          <w:rFonts w:ascii="Times New Roman" w:hAnsi="Times New Roman"/>
          <w:sz w:val="24"/>
          <w:szCs w:val="24"/>
        </w:rPr>
        <w:t>(A), IRC Sec.6693(c)(2)(B), and IRC Sec.6693(c)(3).</w:t>
      </w:r>
    </w:p>
  </w:footnote>
  <w:footnote w:id="30">
    <w:p w:rsidR="00397CB4" w:rsidRDefault="00397CB4">
      <w:pPr>
        <w:pStyle w:val="FootnoteText"/>
      </w:pPr>
      <w:r>
        <w:rPr>
          <w:rStyle w:val="FootnoteReference"/>
        </w:rPr>
        <w:footnoteRef/>
      </w:r>
      <w:r>
        <w:t xml:space="preserve"> </w:t>
      </w:r>
      <w:r>
        <w:rPr>
          <w:rFonts w:ascii="Times New Roman" w:hAnsi="Times New Roman"/>
          <w:sz w:val="24"/>
          <w:szCs w:val="24"/>
        </w:rPr>
        <w:t>IRC Sec. 408(d</w:t>
      </w:r>
      <w:proofErr w:type="gramStart"/>
      <w:r>
        <w:rPr>
          <w:rFonts w:ascii="Times New Roman" w:hAnsi="Times New Roman"/>
          <w:sz w:val="24"/>
          <w:szCs w:val="24"/>
        </w:rPr>
        <w:t>)(</w:t>
      </w:r>
      <w:proofErr w:type="gramEnd"/>
      <w:r>
        <w:rPr>
          <w:rFonts w:ascii="Times New Roman" w:hAnsi="Times New Roman"/>
          <w:sz w:val="24"/>
          <w:szCs w:val="24"/>
        </w:rPr>
        <w:t>3)(G)(</w:t>
      </w:r>
      <w:proofErr w:type="spellStart"/>
      <w:r>
        <w:rPr>
          <w:rFonts w:ascii="Times New Roman" w:hAnsi="Times New Roman"/>
          <w:sz w:val="24"/>
          <w:szCs w:val="24"/>
        </w:rPr>
        <w:t>i</w:t>
      </w:r>
      <w:proofErr w:type="spellEnd"/>
      <w:r>
        <w:rPr>
          <w:rFonts w:ascii="Times New Roman" w:hAnsi="Times New Roman"/>
          <w:sz w:val="24"/>
          <w:szCs w:val="24"/>
        </w:rPr>
        <w:t>).</w:t>
      </w:r>
    </w:p>
  </w:footnote>
  <w:footnote w:id="31">
    <w:p w:rsidR="00074A46" w:rsidRDefault="00074A46">
      <w:pPr>
        <w:pStyle w:val="FootnoteText"/>
      </w:pPr>
      <w:r>
        <w:rPr>
          <w:rStyle w:val="FootnoteReference"/>
        </w:rPr>
        <w:footnoteRef/>
      </w:r>
      <w:r>
        <w:t xml:space="preserve"> </w:t>
      </w:r>
      <w:r>
        <w:rPr>
          <w:rFonts w:ascii="Times New Roman" w:hAnsi="Times New Roman"/>
          <w:sz w:val="24"/>
          <w:szCs w:val="24"/>
        </w:rPr>
        <w:t>IRC Sec. 408(d</w:t>
      </w:r>
      <w:proofErr w:type="gramStart"/>
      <w:r>
        <w:rPr>
          <w:rFonts w:ascii="Times New Roman" w:hAnsi="Times New Roman"/>
          <w:sz w:val="24"/>
          <w:szCs w:val="24"/>
        </w:rPr>
        <w:t>)(</w:t>
      </w:r>
      <w:proofErr w:type="gramEnd"/>
      <w:r>
        <w:rPr>
          <w:rFonts w:ascii="Times New Roman" w:hAnsi="Times New Roman"/>
          <w:sz w:val="24"/>
          <w:szCs w:val="24"/>
        </w:rPr>
        <w:t>3)(G)(ii).</w:t>
      </w:r>
    </w:p>
  </w:footnote>
  <w:footnote w:id="32">
    <w:p w:rsidR="00074A46" w:rsidRDefault="00074A46">
      <w:pPr>
        <w:pStyle w:val="FootnoteText"/>
      </w:pPr>
      <w:r>
        <w:rPr>
          <w:rStyle w:val="FootnoteReference"/>
        </w:rPr>
        <w:footnoteRef/>
      </w:r>
      <w:r>
        <w:t xml:space="preserve"> </w:t>
      </w:r>
      <w:r>
        <w:rPr>
          <w:rFonts w:ascii="Times New Roman" w:hAnsi="Times New Roman"/>
          <w:sz w:val="24"/>
          <w:szCs w:val="24"/>
        </w:rPr>
        <w:t>IRC Sec. 72(t</w:t>
      </w:r>
      <w:proofErr w:type="gramStart"/>
      <w:r>
        <w:rPr>
          <w:rFonts w:ascii="Times New Roman" w:hAnsi="Times New Roman"/>
          <w:sz w:val="24"/>
          <w:szCs w:val="24"/>
        </w:rPr>
        <w:t>)(</w:t>
      </w:r>
      <w:proofErr w:type="gramEnd"/>
      <w:r>
        <w:rPr>
          <w:rFonts w:ascii="Times New Roman" w:hAnsi="Times New Roman"/>
          <w:sz w:val="24"/>
          <w:szCs w:val="24"/>
        </w:rPr>
        <w:t>6).</w:t>
      </w:r>
    </w:p>
  </w:footnote>
  <w:footnote w:id="33">
    <w:p w:rsidR="00074A46" w:rsidRDefault="00074A46">
      <w:pPr>
        <w:pStyle w:val="FootnoteText"/>
      </w:pPr>
      <w:r>
        <w:rPr>
          <w:rStyle w:val="FootnoteReference"/>
        </w:rPr>
        <w:footnoteRef/>
      </w:r>
      <w:r>
        <w:t xml:space="preserve"> </w:t>
      </w:r>
      <w:proofErr w:type="gramStart"/>
      <w:r w:rsidRPr="003A006E">
        <w:rPr>
          <w:rFonts w:ascii="Times New Roman" w:hAnsi="Times New Roman"/>
          <w:sz w:val="24"/>
          <w:szCs w:val="24"/>
        </w:rPr>
        <w:t>Treas. Reg. §</w:t>
      </w:r>
      <w:r>
        <w:rPr>
          <w:rFonts w:ascii="Times New Roman" w:hAnsi="Times New Roman"/>
          <w:sz w:val="24"/>
          <w:szCs w:val="24"/>
        </w:rPr>
        <w:t>1.408(A)-4, Q &amp; A 4(b)</w:t>
      </w:r>
      <w:r>
        <w:rPr>
          <w:rFonts w:ascii="Times New Roman" w:hAnsi="Times New Roman"/>
          <w:sz w:val="24"/>
          <w:szCs w:val="24"/>
        </w:rPr>
        <w:t>.</w:t>
      </w:r>
      <w:proofErr w:type="gramEnd"/>
    </w:p>
  </w:footnote>
  <w:footnote w:id="34">
    <w:p w:rsidR="008059F1" w:rsidRDefault="008059F1">
      <w:pPr>
        <w:pStyle w:val="FootnoteText"/>
      </w:pPr>
      <w:r>
        <w:rPr>
          <w:rStyle w:val="FootnoteReference"/>
        </w:rPr>
        <w:footnoteRef/>
      </w:r>
      <w:r>
        <w:t xml:space="preserve"> </w:t>
      </w:r>
      <w:r>
        <w:rPr>
          <w:rFonts w:ascii="Times New Roman" w:hAnsi="Times New Roman"/>
          <w:sz w:val="24"/>
          <w:szCs w:val="24"/>
        </w:rPr>
        <w:t xml:space="preserve">IRC Sec. </w:t>
      </w:r>
      <w:proofErr w:type="gramStart"/>
      <w:r>
        <w:rPr>
          <w:rFonts w:ascii="Times New Roman" w:hAnsi="Times New Roman"/>
          <w:sz w:val="24"/>
          <w:szCs w:val="24"/>
        </w:rPr>
        <w:t>408(p</w:t>
      </w:r>
      <w:proofErr w:type="gramEnd"/>
      <w:r>
        <w:rPr>
          <w:rFonts w:ascii="Times New Roman" w:hAnsi="Times New Roman"/>
          <w:sz w:val="24"/>
          <w:szCs w:val="24"/>
        </w:rPr>
        <w:t>).</w:t>
      </w:r>
    </w:p>
  </w:footnote>
  <w:footnote w:id="35">
    <w:p w:rsidR="00ED604A" w:rsidRDefault="00ED604A">
      <w:pPr>
        <w:pStyle w:val="FootnoteText"/>
      </w:pPr>
      <w:r>
        <w:rPr>
          <w:rStyle w:val="FootnoteReference"/>
        </w:rPr>
        <w:footnoteRef/>
      </w:r>
      <w:r>
        <w:t xml:space="preserve"> </w:t>
      </w:r>
      <w:r>
        <w:rPr>
          <w:rFonts w:ascii="Times New Roman" w:hAnsi="Times New Roman"/>
          <w:sz w:val="24"/>
          <w:szCs w:val="24"/>
        </w:rPr>
        <w:t>IRC Sec. 408(k</w:t>
      </w:r>
      <w:proofErr w:type="gramStart"/>
      <w:r>
        <w:rPr>
          <w:rFonts w:ascii="Times New Roman" w:hAnsi="Times New Roman"/>
          <w:sz w:val="24"/>
          <w:szCs w:val="24"/>
        </w:rPr>
        <w:t>)(</w:t>
      </w:r>
      <w:proofErr w:type="gramEnd"/>
      <w:r>
        <w:rPr>
          <w:rFonts w:ascii="Times New Roman" w:hAnsi="Times New Roman"/>
          <w:sz w:val="24"/>
          <w:szCs w:val="24"/>
        </w:rPr>
        <w:t>6).</w:t>
      </w:r>
    </w:p>
  </w:footnote>
  <w:footnote w:id="36">
    <w:p w:rsidR="00ED604A" w:rsidRDefault="00ED604A">
      <w:pPr>
        <w:pStyle w:val="FootnoteText"/>
      </w:pPr>
      <w:r>
        <w:rPr>
          <w:rStyle w:val="FootnoteReference"/>
        </w:rPr>
        <w:footnoteRef/>
      </w:r>
      <w:r>
        <w:t xml:space="preserve"> </w:t>
      </w:r>
      <w:r>
        <w:rPr>
          <w:rFonts w:ascii="Times New Roman" w:hAnsi="Times New Roman"/>
          <w:color w:val="111111"/>
          <w:sz w:val="24"/>
          <w:szCs w:val="24"/>
        </w:rPr>
        <w:t>IRC Sec. 408(k</w:t>
      </w:r>
      <w:proofErr w:type="gramStart"/>
      <w:r>
        <w:rPr>
          <w:rFonts w:ascii="Times New Roman" w:hAnsi="Times New Roman"/>
          <w:color w:val="111111"/>
          <w:sz w:val="24"/>
          <w:szCs w:val="24"/>
        </w:rPr>
        <w:t>)(</w:t>
      </w:r>
      <w:proofErr w:type="gramEnd"/>
      <w:r>
        <w:rPr>
          <w:rFonts w:ascii="Times New Roman" w:hAnsi="Times New Roman"/>
          <w:color w:val="111111"/>
          <w:sz w:val="24"/>
          <w:szCs w:val="24"/>
        </w:rPr>
        <w:t>6)(B).</w:t>
      </w:r>
    </w:p>
  </w:footnote>
  <w:footnote w:id="37">
    <w:p w:rsidR="00ED604A" w:rsidRDefault="00ED604A">
      <w:pPr>
        <w:pStyle w:val="FootnoteText"/>
      </w:pPr>
      <w:r>
        <w:rPr>
          <w:rStyle w:val="FootnoteReference"/>
        </w:rPr>
        <w:footnoteRef/>
      </w:r>
      <w:r>
        <w:t xml:space="preserve"> </w:t>
      </w:r>
      <w:r>
        <w:rPr>
          <w:rFonts w:ascii="Times New Roman" w:hAnsi="Times New Roman"/>
          <w:sz w:val="24"/>
          <w:szCs w:val="24"/>
        </w:rPr>
        <w:t>IRC Sec. 402(g</w:t>
      </w:r>
      <w:proofErr w:type="gramStart"/>
      <w:r>
        <w:rPr>
          <w:rFonts w:ascii="Times New Roman" w:hAnsi="Times New Roman"/>
          <w:sz w:val="24"/>
          <w:szCs w:val="24"/>
        </w:rPr>
        <w:t>)(</w:t>
      </w:r>
      <w:proofErr w:type="gramEnd"/>
      <w:r>
        <w:rPr>
          <w:rFonts w:ascii="Times New Roman" w:hAnsi="Times New Roman"/>
          <w:sz w:val="24"/>
          <w:szCs w:val="24"/>
        </w:rPr>
        <w:t>1).</w:t>
      </w:r>
    </w:p>
  </w:footnote>
  <w:footnote w:id="38">
    <w:p w:rsidR="005B6F33" w:rsidRDefault="005B6F33">
      <w:pPr>
        <w:pStyle w:val="FootnoteText"/>
      </w:pPr>
      <w:r>
        <w:rPr>
          <w:rStyle w:val="FootnoteReference"/>
        </w:rPr>
        <w:footnoteRef/>
      </w:r>
      <w:r>
        <w:t xml:space="preserve"> </w:t>
      </w:r>
      <w:r>
        <w:rPr>
          <w:rFonts w:ascii="Times New Roman" w:hAnsi="Times New Roman"/>
          <w:sz w:val="24"/>
          <w:szCs w:val="24"/>
        </w:rPr>
        <w:t>IRC Sec. 408(6</w:t>
      </w:r>
      <w:proofErr w:type="gramStart"/>
      <w:r>
        <w:rPr>
          <w:rFonts w:ascii="Times New Roman" w:hAnsi="Times New Roman"/>
          <w:sz w:val="24"/>
          <w:szCs w:val="24"/>
        </w:rPr>
        <w:t>)(</w:t>
      </w:r>
      <w:proofErr w:type="gramEnd"/>
      <w:r>
        <w:rPr>
          <w:rFonts w:ascii="Times New Roman" w:hAnsi="Times New Roman"/>
          <w:sz w:val="24"/>
          <w:szCs w:val="24"/>
        </w:rPr>
        <w:t>a)(iii).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B5A7D"/>
    <w:multiLevelType w:val="hybridMultilevel"/>
    <w:tmpl w:val="71183F9A"/>
    <w:lvl w:ilvl="0" w:tplc="2A24F670">
      <w:start w:val="1"/>
      <w:numFmt w:val="bullet"/>
      <w:pStyle w:val="PCB"/>
      <w:lvlText w:val=""/>
      <w:lvlJc w:val="left"/>
      <w:pPr>
        <w:tabs>
          <w:tab w:val="num" w:pos="720"/>
        </w:tabs>
        <w:ind w:left="720" w:hanging="360"/>
      </w:pPr>
      <w:rPr>
        <w:rFonts w:ascii="Symbol" w:hAnsi="Symbol"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003F02"/>
    <w:multiLevelType w:val="hybridMultilevel"/>
    <w:tmpl w:val="F4C60C72"/>
    <w:lvl w:ilvl="0" w:tplc="E19CC0D8">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D7B34E7"/>
    <w:multiLevelType w:val="hybridMultilevel"/>
    <w:tmpl w:val="9D7884F0"/>
    <w:lvl w:ilvl="0" w:tplc="E19CC0D8">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0358A"/>
    <w:multiLevelType w:val="hybridMultilevel"/>
    <w:tmpl w:val="2F52D550"/>
    <w:lvl w:ilvl="0" w:tplc="E19CC0D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257E00"/>
    <w:multiLevelType w:val="hybridMultilevel"/>
    <w:tmpl w:val="59B27ADC"/>
    <w:lvl w:ilvl="0" w:tplc="E86AD052">
      <w:start w:val="1"/>
      <w:numFmt w:val="bullet"/>
      <w:pStyle w:val="PHB"/>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9E171E0"/>
    <w:multiLevelType w:val="hybridMultilevel"/>
    <w:tmpl w:val="CEB46374"/>
    <w:lvl w:ilvl="0" w:tplc="E19CC0D8">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517AFB"/>
    <w:multiLevelType w:val="hybridMultilevel"/>
    <w:tmpl w:val="911A326A"/>
    <w:lvl w:ilvl="0" w:tplc="F2068B2C">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3F73D4"/>
    <w:multiLevelType w:val="hybridMultilevel"/>
    <w:tmpl w:val="F7A2C394"/>
    <w:lvl w:ilvl="0" w:tplc="35821EFA">
      <w:start w:val="1"/>
      <w:numFmt w:val="bullet"/>
      <w:pStyle w:val="PFB"/>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61D56598"/>
    <w:multiLevelType w:val="hybridMultilevel"/>
    <w:tmpl w:val="AB0C9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33D793F"/>
    <w:multiLevelType w:val="hybridMultilevel"/>
    <w:tmpl w:val="48D22010"/>
    <w:lvl w:ilvl="0" w:tplc="E19CC0D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B102E6"/>
    <w:multiLevelType w:val="hybridMultilevel"/>
    <w:tmpl w:val="E4B0D6D4"/>
    <w:lvl w:ilvl="0" w:tplc="E19CC0D8">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4"/>
  </w:num>
  <w:num w:numId="5">
    <w:abstractNumId w:val="5"/>
  </w:num>
  <w:num w:numId="6">
    <w:abstractNumId w:val="1"/>
  </w:num>
  <w:num w:numId="7">
    <w:abstractNumId w:val="9"/>
  </w:num>
  <w:num w:numId="8">
    <w:abstractNumId w:val="10"/>
  </w:num>
  <w:num w:numId="9">
    <w:abstractNumId w:val="3"/>
  </w:num>
  <w:num w:numId="10">
    <w:abstractNumId w:val="8"/>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6A4"/>
    <w:rsid w:val="00000EF1"/>
    <w:rsid w:val="0000201F"/>
    <w:rsid w:val="00005B06"/>
    <w:rsid w:val="000069D9"/>
    <w:rsid w:val="000101E8"/>
    <w:rsid w:val="00011A1B"/>
    <w:rsid w:val="000154D8"/>
    <w:rsid w:val="00024E3A"/>
    <w:rsid w:val="000265D5"/>
    <w:rsid w:val="00032411"/>
    <w:rsid w:val="00035EF9"/>
    <w:rsid w:val="00045CEB"/>
    <w:rsid w:val="00051D8A"/>
    <w:rsid w:val="00074A46"/>
    <w:rsid w:val="00074A5E"/>
    <w:rsid w:val="00083295"/>
    <w:rsid w:val="00087818"/>
    <w:rsid w:val="000901CE"/>
    <w:rsid w:val="00091720"/>
    <w:rsid w:val="000926B8"/>
    <w:rsid w:val="000A14AE"/>
    <w:rsid w:val="000A1592"/>
    <w:rsid w:val="000A6C89"/>
    <w:rsid w:val="000A6E74"/>
    <w:rsid w:val="000B178F"/>
    <w:rsid w:val="000B548F"/>
    <w:rsid w:val="000C0D9D"/>
    <w:rsid w:val="000C7C3C"/>
    <w:rsid w:val="000E3FDE"/>
    <w:rsid w:val="000E7A89"/>
    <w:rsid w:val="000F313D"/>
    <w:rsid w:val="000F3AAD"/>
    <w:rsid w:val="000F6D3E"/>
    <w:rsid w:val="000F6D9A"/>
    <w:rsid w:val="000F733F"/>
    <w:rsid w:val="000F744C"/>
    <w:rsid w:val="001015D1"/>
    <w:rsid w:val="00102913"/>
    <w:rsid w:val="00110BB7"/>
    <w:rsid w:val="00112D09"/>
    <w:rsid w:val="00121E56"/>
    <w:rsid w:val="00127077"/>
    <w:rsid w:val="00127497"/>
    <w:rsid w:val="00136AF9"/>
    <w:rsid w:val="00137B59"/>
    <w:rsid w:val="00141E6D"/>
    <w:rsid w:val="00147195"/>
    <w:rsid w:val="00151431"/>
    <w:rsid w:val="001678F4"/>
    <w:rsid w:val="00171CBE"/>
    <w:rsid w:val="00173BA1"/>
    <w:rsid w:val="001758CB"/>
    <w:rsid w:val="0017721D"/>
    <w:rsid w:val="00177C0E"/>
    <w:rsid w:val="00185233"/>
    <w:rsid w:val="0018628E"/>
    <w:rsid w:val="00187958"/>
    <w:rsid w:val="00191E9C"/>
    <w:rsid w:val="00192323"/>
    <w:rsid w:val="0019237A"/>
    <w:rsid w:val="00192A1D"/>
    <w:rsid w:val="001A1549"/>
    <w:rsid w:val="001A4B94"/>
    <w:rsid w:val="001A7BB6"/>
    <w:rsid w:val="001B02B1"/>
    <w:rsid w:val="001B0584"/>
    <w:rsid w:val="001B5070"/>
    <w:rsid w:val="001B7851"/>
    <w:rsid w:val="001C787B"/>
    <w:rsid w:val="001D0FD2"/>
    <w:rsid w:val="001D10DB"/>
    <w:rsid w:val="001D461D"/>
    <w:rsid w:val="001E3A82"/>
    <w:rsid w:val="001E3F7D"/>
    <w:rsid w:val="001E5B3E"/>
    <w:rsid w:val="001F0379"/>
    <w:rsid w:val="001F22CC"/>
    <w:rsid w:val="001F2544"/>
    <w:rsid w:val="001F5AC1"/>
    <w:rsid w:val="001F664B"/>
    <w:rsid w:val="001F6B82"/>
    <w:rsid w:val="002105BE"/>
    <w:rsid w:val="00213CED"/>
    <w:rsid w:val="00215327"/>
    <w:rsid w:val="00222EE7"/>
    <w:rsid w:val="00223263"/>
    <w:rsid w:val="00223E42"/>
    <w:rsid w:val="00234794"/>
    <w:rsid w:val="002366D8"/>
    <w:rsid w:val="002412E0"/>
    <w:rsid w:val="00241317"/>
    <w:rsid w:val="00243F2D"/>
    <w:rsid w:val="00244EE5"/>
    <w:rsid w:val="002461B1"/>
    <w:rsid w:val="002554BD"/>
    <w:rsid w:val="00256935"/>
    <w:rsid w:val="00256C10"/>
    <w:rsid w:val="00273A66"/>
    <w:rsid w:val="00274D97"/>
    <w:rsid w:val="00276525"/>
    <w:rsid w:val="00276FF5"/>
    <w:rsid w:val="00277970"/>
    <w:rsid w:val="00290B76"/>
    <w:rsid w:val="00290E93"/>
    <w:rsid w:val="00290FB2"/>
    <w:rsid w:val="0029237E"/>
    <w:rsid w:val="002A4296"/>
    <w:rsid w:val="002A5B76"/>
    <w:rsid w:val="002A7718"/>
    <w:rsid w:val="002A7E84"/>
    <w:rsid w:val="002B1C0A"/>
    <w:rsid w:val="002B3594"/>
    <w:rsid w:val="002C0EEE"/>
    <w:rsid w:val="002C2067"/>
    <w:rsid w:val="002C4C21"/>
    <w:rsid w:val="002C51A1"/>
    <w:rsid w:val="002D209C"/>
    <w:rsid w:val="002D2198"/>
    <w:rsid w:val="002D3BFF"/>
    <w:rsid w:val="002D5274"/>
    <w:rsid w:val="002D5793"/>
    <w:rsid w:val="002E3604"/>
    <w:rsid w:val="002E46E7"/>
    <w:rsid w:val="002E4951"/>
    <w:rsid w:val="002F0607"/>
    <w:rsid w:val="002F0DC4"/>
    <w:rsid w:val="002F2CDE"/>
    <w:rsid w:val="002F42BD"/>
    <w:rsid w:val="002F48F8"/>
    <w:rsid w:val="00303C12"/>
    <w:rsid w:val="00304EA9"/>
    <w:rsid w:val="00305461"/>
    <w:rsid w:val="0030562A"/>
    <w:rsid w:val="00314786"/>
    <w:rsid w:val="00325FCE"/>
    <w:rsid w:val="00332F7F"/>
    <w:rsid w:val="003335BF"/>
    <w:rsid w:val="00346FBD"/>
    <w:rsid w:val="003472D9"/>
    <w:rsid w:val="0035167F"/>
    <w:rsid w:val="0035787C"/>
    <w:rsid w:val="003635FE"/>
    <w:rsid w:val="00363962"/>
    <w:rsid w:val="00364F86"/>
    <w:rsid w:val="003675FB"/>
    <w:rsid w:val="00372761"/>
    <w:rsid w:val="003737BD"/>
    <w:rsid w:val="003811C5"/>
    <w:rsid w:val="00381AB0"/>
    <w:rsid w:val="00382CF9"/>
    <w:rsid w:val="00383B6E"/>
    <w:rsid w:val="00392628"/>
    <w:rsid w:val="00392DBE"/>
    <w:rsid w:val="00397CB4"/>
    <w:rsid w:val="003A11A0"/>
    <w:rsid w:val="003A31D9"/>
    <w:rsid w:val="003A3BF4"/>
    <w:rsid w:val="003A713B"/>
    <w:rsid w:val="003B092F"/>
    <w:rsid w:val="003B0EE6"/>
    <w:rsid w:val="003B13BC"/>
    <w:rsid w:val="003B53C8"/>
    <w:rsid w:val="003B5710"/>
    <w:rsid w:val="003D33D3"/>
    <w:rsid w:val="003D385B"/>
    <w:rsid w:val="003D4FF0"/>
    <w:rsid w:val="003E76D1"/>
    <w:rsid w:val="003F5F91"/>
    <w:rsid w:val="0040260F"/>
    <w:rsid w:val="00404740"/>
    <w:rsid w:val="00406608"/>
    <w:rsid w:val="0041651D"/>
    <w:rsid w:val="004214A5"/>
    <w:rsid w:val="00422AEB"/>
    <w:rsid w:val="004263FF"/>
    <w:rsid w:val="00426EF6"/>
    <w:rsid w:val="00430823"/>
    <w:rsid w:val="0043202C"/>
    <w:rsid w:val="00432E46"/>
    <w:rsid w:val="00435710"/>
    <w:rsid w:val="004447BE"/>
    <w:rsid w:val="004470E2"/>
    <w:rsid w:val="004529CC"/>
    <w:rsid w:val="00452A0D"/>
    <w:rsid w:val="004619A0"/>
    <w:rsid w:val="004628DE"/>
    <w:rsid w:val="0046769B"/>
    <w:rsid w:val="00471F9B"/>
    <w:rsid w:val="00473059"/>
    <w:rsid w:val="00476947"/>
    <w:rsid w:val="0048018D"/>
    <w:rsid w:val="00484CF8"/>
    <w:rsid w:val="00485C39"/>
    <w:rsid w:val="004913DA"/>
    <w:rsid w:val="00492257"/>
    <w:rsid w:val="00495D15"/>
    <w:rsid w:val="00495F81"/>
    <w:rsid w:val="004A0B3E"/>
    <w:rsid w:val="004A29E1"/>
    <w:rsid w:val="004A404C"/>
    <w:rsid w:val="004A4727"/>
    <w:rsid w:val="004A4B63"/>
    <w:rsid w:val="004A5A9B"/>
    <w:rsid w:val="004A6D8B"/>
    <w:rsid w:val="004B4511"/>
    <w:rsid w:val="004B4C1A"/>
    <w:rsid w:val="004B65EC"/>
    <w:rsid w:val="004B76E0"/>
    <w:rsid w:val="004C1535"/>
    <w:rsid w:val="004C1EAC"/>
    <w:rsid w:val="004C29E3"/>
    <w:rsid w:val="004C4226"/>
    <w:rsid w:val="004D270F"/>
    <w:rsid w:val="004E37A4"/>
    <w:rsid w:val="004F5F54"/>
    <w:rsid w:val="004F6F04"/>
    <w:rsid w:val="005039B3"/>
    <w:rsid w:val="00504F49"/>
    <w:rsid w:val="00510867"/>
    <w:rsid w:val="00526144"/>
    <w:rsid w:val="005268FC"/>
    <w:rsid w:val="00526EA5"/>
    <w:rsid w:val="00530549"/>
    <w:rsid w:val="00534BA1"/>
    <w:rsid w:val="0053675C"/>
    <w:rsid w:val="00537AAD"/>
    <w:rsid w:val="005429F2"/>
    <w:rsid w:val="00547410"/>
    <w:rsid w:val="005512A2"/>
    <w:rsid w:val="00554888"/>
    <w:rsid w:val="00556A44"/>
    <w:rsid w:val="00557FE8"/>
    <w:rsid w:val="00560CFA"/>
    <w:rsid w:val="00565DE1"/>
    <w:rsid w:val="00570BA9"/>
    <w:rsid w:val="00573B12"/>
    <w:rsid w:val="005801C1"/>
    <w:rsid w:val="00583297"/>
    <w:rsid w:val="00584DFD"/>
    <w:rsid w:val="00585258"/>
    <w:rsid w:val="005A1644"/>
    <w:rsid w:val="005A1F57"/>
    <w:rsid w:val="005A6F2F"/>
    <w:rsid w:val="005B4A8D"/>
    <w:rsid w:val="005B6F33"/>
    <w:rsid w:val="005D0989"/>
    <w:rsid w:val="005E13A8"/>
    <w:rsid w:val="005E5323"/>
    <w:rsid w:val="005E708C"/>
    <w:rsid w:val="005F2129"/>
    <w:rsid w:val="005F4554"/>
    <w:rsid w:val="005F5E3E"/>
    <w:rsid w:val="005F66C1"/>
    <w:rsid w:val="00600F3A"/>
    <w:rsid w:val="0061098B"/>
    <w:rsid w:val="00617808"/>
    <w:rsid w:val="00617D44"/>
    <w:rsid w:val="00623885"/>
    <w:rsid w:val="00646C0D"/>
    <w:rsid w:val="006526E3"/>
    <w:rsid w:val="00652F5D"/>
    <w:rsid w:val="00656B2E"/>
    <w:rsid w:val="00657F49"/>
    <w:rsid w:val="00660780"/>
    <w:rsid w:val="0066141B"/>
    <w:rsid w:val="00663560"/>
    <w:rsid w:val="006650FF"/>
    <w:rsid w:val="00673906"/>
    <w:rsid w:val="00674D39"/>
    <w:rsid w:val="00674F42"/>
    <w:rsid w:val="00676DCE"/>
    <w:rsid w:val="0068429B"/>
    <w:rsid w:val="00684A16"/>
    <w:rsid w:val="00686C38"/>
    <w:rsid w:val="00687892"/>
    <w:rsid w:val="0069539D"/>
    <w:rsid w:val="00695C09"/>
    <w:rsid w:val="00695FCE"/>
    <w:rsid w:val="0069699D"/>
    <w:rsid w:val="006A35B4"/>
    <w:rsid w:val="006A7937"/>
    <w:rsid w:val="006A7A94"/>
    <w:rsid w:val="006B544C"/>
    <w:rsid w:val="006C09A0"/>
    <w:rsid w:val="006C4A2F"/>
    <w:rsid w:val="006D1122"/>
    <w:rsid w:val="006D421A"/>
    <w:rsid w:val="006D5D36"/>
    <w:rsid w:val="006E0667"/>
    <w:rsid w:val="006E37A0"/>
    <w:rsid w:val="006E4D7A"/>
    <w:rsid w:val="006F24CB"/>
    <w:rsid w:val="006F26B6"/>
    <w:rsid w:val="006F2F5E"/>
    <w:rsid w:val="006F65E9"/>
    <w:rsid w:val="00700098"/>
    <w:rsid w:val="007026B9"/>
    <w:rsid w:val="0070358B"/>
    <w:rsid w:val="007131ED"/>
    <w:rsid w:val="00715DCE"/>
    <w:rsid w:val="00717B82"/>
    <w:rsid w:val="007207E1"/>
    <w:rsid w:val="007333F8"/>
    <w:rsid w:val="0073367C"/>
    <w:rsid w:val="00733937"/>
    <w:rsid w:val="00734030"/>
    <w:rsid w:val="00736C4F"/>
    <w:rsid w:val="00737EAA"/>
    <w:rsid w:val="00742F15"/>
    <w:rsid w:val="00743C7F"/>
    <w:rsid w:val="00744080"/>
    <w:rsid w:val="00745CD7"/>
    <w:rsid w:val="00752C2A"/>
    <w:rsid w:val="007600ED"/>
    <w:rsid w:val="00762EE0"/>
    <w:rsid w:val="0076774A"/>
    <w:rsid w:val="00767E8D"/>
    <w:rsid w:val="00772124"/>
    <w:rsid w:val="00774345"/>
    <w:rsid w:val="00781A67"/>
    <w:rsid w:val="007848F1"/>
    <w:rsid w:val="00787628"/>
    <w:rsid w:val="00787B3F"/>
    <w:rsid w:val="00790249"/>
    <w:rsid w:val="0079380D"/>
    <w:rsid w:val="007941A6"/>
    <w:rsid w:val="007956CB"/>
    <w:rsid w:val="00795D30"/>
    <w:rsid w:val="00795DAB"/>
    <w:rsid w:val="007B17FB"/>
    <w:rsid w:val="007C2084"/>
    <w:rsid w:val="007C2122"/>
    <w:rsid w:val="007C2BD5"/>
    <w:rsid w:val="007C5030"/>
    <w:rsid w:val="007C5BD7"/>
    <w:rsid w:val="007D3394"/>
    <w:rsid w:val="007D4913"/>
    <w:rsid w:val="007E64BB"/>
    <w:rsid w:val="007F266E"/>
    <w:rsid w:val="00800D83"/>
    <w:rsid w:val="008045FD"/>
    <w:rsid w:val="008059F1"/>
    <w:rsid w:val="008104AB"/>
    <w:rsid w:val="00817819"/>
    <w:rsid w:val="00822FE8"/>
    <w:rsid w:val="00823B64"/>
    <w:rsid w:val="0082795F"/>
    <w:rsid w:val="00830DFE"/>
    <w:rsid w:val="0083665C"/>
    <w:rsid w:val="0084238D"/>
    <w:rsid w:val="0084370A"/>
    <w:rsid w:val="00843D07"/>
    <w:rsid w:val="00844965"/>
    <w:rsid w:val="00844D80"/>
    <w:rsid w:val="008471B3"/>
    <w:rsid w:val="00847F5B"/>
    <w:rsid w:val="00850440"/>
    <w:rsid w:val="008532A1"/>
    <w:rsid w:val="00857EE4"/>
    <w:rsid w:val="008649DC"/>
    <w:rsid w:val="008665D2"/>
    <w:rsid w:val="00866634"/>
    <w:rsid w:val="00872EA8"/>
    <w:rsid w:val="0087303E"/>
    <w:rsid w:val="00876FD4"/>
    <w:rsid w:val="00880B78"/>
    <w:rsid w:val="00884486"/>
    <w:rsid w:val="00885C4F"/>
    <w:rsid w:val="00886721"/>
    <w:rsid w:val="00890660"/>
    <w:rsid w:val="008A3086"/>
    <w:rsid w:val="008B2303"/>
    <w:rsid w:val="008B256E"/>
    <w:rsid w:val="008B267F"/>
    <w:rsid w:val="008B2E88"/>
    <w:rsid w:val="008D34A9"/>
    <w:rsid w:val="008D57B2"/>
    <w:rsid w:val="008E2A19"/>
    <w:rsid w:val="008E713B"/>
    <w:rsid w:val="008F0552"/>
    <w:rsid w:val="008F2AB8"/>
    <w:rsid w:val="00901DE7"/>
    <w:rsid w:val="00903449"/>
    <w:rsid w:val="00903767"/>
    <w:rsid w:val="00916E4A"/>
    <w:rsid w:val="00920FCE"/>
    <w:rsid w:val="00924F86"/>
    <w:rsid w:val="009257FB"/>
    <w:rsid w:val="009265A5"/>
    <w:rsid w:val="00931B7F"/>
    <w:rsid w:val="00933483"/>
    <w:rsid w:val="0093364D"/>
    <w:rsid w:val="00933B09"/>
    <w:rsid w:val="00934788"/>
    <w:rsid w:val="009355DC"/>
    <w:rsid w:val="00943B98"/>
    <w:rsid w:val="00945CA0"/>
    <w:rsid w:val="00956EC2"/>
    <w:rsid w:val="00962EA3"/>
    <w:rsid w:val="00964C6C"/>
    <w:rsid w:val="009716CF"/>
    <w:rsid w:val="00980BAA"/>
    <w:rsid w:val="00981C39"/>
    <w:rsid w:val="00981EED"/>
    <w:rsid w:val="00991067"/>
    <w:rsid w:val="00993FE8"/>
    <w:rsid w:val="0099471E"/>
    <w:rsid w:val="009B24A2"/>
    <w:rsid w:val="009B40C5"/>
    <w:rsid w:val="009B4BB5"/>
    <w:rsid w:val="009B560D"/>
    <w:rsid w:val="009B601A"/>
    <w:rsid w:val="009B783A"/>
    <w:rsid w:val="009C0089"/>
    <w:rsid w:val="009C23C2"/>
    <w:rsid w:val="009C4B24"/>
    <w:rsid w:val="009D39D1"/>
    <w:rsid w:val="009D3B3C"/>
    <w:rsid w:val="009D4C39"/>
    <w:rsid w:val="009D5B5A"/>
    <w:rsid w:val="009D6583"/>
    <w:rsid w:val="009E100A"/>
    <w:rsid w:val="009E29A5"/>
    <w:rsid w:val="009E3979"/>
    <w:rsid w:val="009E3C30"/>
    <w:rsid w:val="009E5A54"/>
    <w:rsid w:val="009F1EAF"/>
    <w:rsid w:val="009F216C"/>
    <w:rsid w:val="009F694F"/>
    <w:rsid w:val="00A01CB7"/>
    <w:rsid w:val="00A02B9A"/>
    <w:rsid w:val="00A143A6"/>
    <w:rsid w:val="00A16F72"/>
    <w:rsid w:val="00A244CF"/>
    <w:rsid w:val="00A26B91"/>
    <w:rsid w:val="00A26E5B"/>
    <w:rsid w:val="00A27686"/>
    <w:rsid w:val="00A30B5B"/>
    <w:rsid w:val="00A51ACD"/>
    <w:rsid w:val="00A52E88"/>
    <w:rsid w:val="00A532F0"/>
    <w:rsid w:val="00A5399D"/>
    <w:rsid w:val="00A53B22"/>
    <w:rsid w:val="00A6679F"/>
    <w:rsid w:val="00A66922"/>
    <w:rsid w:val="00A66B50"/>
    <w:rsid w:val="00A67ED5"/>
    <w:rsid w:val="00A72066"/>
    <w:rsid w:val="00A72200"/>
    <w:rsid w:val="00A73D15"/>
    <w:rsid w:val="00A84EED"/>
    <w:rsid w:val="00A90C3F"/>
    <w:rsid w:val="00A911CB"/>
    <w:rsid w:val="00A91926"/>
    <w:rsid w:val="00A91C8F"/>
    <w:rsid w:val="00A9623B"/>
    <w:rsid w:val="00AA1231"/>
    <w:rsid w:val="00AB3527"/>
    <w:rsid w:val="00AB587D"/>
    <w:rsid w:val="00AC1A8A"/>
    <w:rsid w:val="00AC345A"/>
    <w:rsid w:val="00AC6852"/>
    <w:rsid w:val="00AC7FFD"/>
    <w:rsid w:val="00AE0B63"/>
    <w:rsid w:val="00AE1A78"/>
    <w:rsid w:val="00AE216F"/>
    <w:rsid w:val="00AE3B16"/>
    <w:rsid w:val="00AE4B0B"/>
    <w:rsid w:val="00AE5D4F"/>
    <w:rsid w:val="00AF091D"/>
    <w:rsid w:val="00AF471B"/>
    <w:rsid w:val="00AF566E"/>
    <w:rsid w:val="00B0064D"/>
    <w:rsid w:val="00B00898"/>
    <w:rsid w:val="00B00D15"/>
    <w:rsid w:val="00B0432B"/>
    <w:rsid w:val="00B04FF1"/>
    <w:rsid w:val="00B06ECD"/>
    <w:rsid w:val="00B101AA"/>
    <w:rsid w:val="00B15E58"/>
    <w:rsid w:val="00B220FB"/>
    <w:rsid w:val="00B240D7"/>
    <w:rsid w:val="00B242BE"/>
    <w:rsid w:val="00B24816"/>
    <w:rsid w:val="00B26C8C"/>
    <w:rsid w:val="00B30E3D"/>
    <w:rsid w:val="00B3191C"/>
    <w:rsid w:val="00B31F3D"/>
    <w:rsid w:val="00B3215C"/>
    <w:rsid w:val="00B36DF5"/>
    <w:rsid w:val="00B41615"/>
    <w:rsid w:val="00B44C88"/>
    <w:rsid w:val="00B47A98"/>
    <w:rsid w:val="00B54951"/>
    <w:rsid w:val="00B61B74"/>
    <w:rsid w:val="00B62B7F"/>
    <w:rsid w:val="00B66568"/>
    <w:rsid w:val="00B7292F"/>
    <w:rsid w:val="00B7370C"/>
    <w:rsid w:val="00B73A4F"/>
    <w:rsid w:val="00B806A4"/>
    <w:rsid w:val="00B81142"/>
    <w:rsid w:val="00B96A3D"/>
    <w:rsid w:val="00BB062F"/>
    <w:rsid w:val="00BB7632"/>
    <w:rsid w:val="00BC0DC5"/>
    <w:rsid w:val="00BC20A6"/>
    <w:rsid w:val="00BD0AFA"/>
    <w:rsid w:val="00BD2EC0"/>
    <w:rsid w:val="00BD63C6"/>
    <w:rsid w:val="00BD73EF"/>
    <w:rsid w:val="00BE393C"/>
    <w:rsid w:val="00BE7B33"/>
    <w:rsid w:val="00BF0C37"/>
    <w:rsid w:val="00C01813"/>
    <w:rsid w:val="00C02918"/>
    <w:rsid w:val="00C0552E"/>
    <w:rsid w:val="00C06812"/>
    <w:rsid w:val="00C07F11"/>
    <w:rsid w:val="00C10849"/>
    <w:rsid w:val="00C153B9"/>
    <w:rsid w:val="00C17AE7"/>
    <w:rsid w:val="00C237C0"/>
    <w:rsid w:val="00C24D86"/>
    <w:rsid w:val="00C44281"/>
    <w:rsid w:val="00C54E49"/>
    <w:rsid w:val="00C56CA2"/>
    <w:rsid w:val="00C57088"/>
    <w:rsid w:val="00C60BBC"/>
    <w:rsid w:val="00C60F2A"/>
    <w:rsid w:val="00C756F6"/>
    <w:rsid w:val="00C76A37"/>
    <w:rsid w:val="00C83E19"/>
    <w:rsid w:val="00C918D2"/>
    <w:rsid w:val="00C94F5D"/>
    <w:rsid w:val="00C95866"/>
    <w:rsid w:val="00CA2D01"/>
    <w:rsid w:val="00CA4826"/>
    <w:rsid w:val="00CA4B94"/>
    <w:rsid w:val="00CA608D"/>
    <w:rsid w:val="00CB2E8F"/>
    <w:rsid w:val="00CB7754"/>
    <w:rsid w:val="00CC0380"/>
    <w:rsid w:val="00CC329B"/>
    <w:rsid w:val="00CC4720"/>
    <w:rsid w:val="00CE348E"/>
    <w:rsid w:val="00CF0694"/>
    <w:rsid w:val="00CF0A30"/>
    <w:rsid w:val="00D130AC"/>
    <w:rsid w:val="00D24312"/>
    <w:rsid w:val="00D2669A"/>
    <w:rsid w:val="00D3004C"/>
    <w:rsid w:val="00D345B1"/>
    <w:rsid w:val="00D34ADD"/>
    <w:rsid w:val="00D36035"/>
    <w:rsid w:val="00D40BCA"/>
    <w:rsid w:val="00D45856"/>
    <w:rsid w:val="00D53521"/>
    <w:rsid w:val="00D60BD9"/>
    <w:rsid w:val="00D64EE5"/>
    <w:rsid w:val="00D67331"/>
    <w:rsid w:val="00D7363D"/>
    <w:rsid w:val="00D74FE9"/>
    <w:rsid w:val="00D828A1"/>
    <w:rsid w:val="00D97353"/>
    <w:rsid w:val="00DA3B21"/>
    <w:rsid w:val="00DA47B3"/>
    <w:rsid w:val="00DA763F"/>
    <w:rsid w:val="00DB1690"/>
    <w:rsid w:val="00DB4E95"/>
    <w:rsid w:val="00DC007E"/>
    <w:rsid w:val="00DC0AF9"/>
    <w:rsid w:val="00DC2639"/>
    <w:rsid w:val="00DC4DCB"/>
    <w:rsid w:val="00DC63AF"/>
    <w:rsid w:val="00DD0E21"/>
    <w:rsid w:val="00DE56A5"/>
    <w:rsid w:val="00DE7CCD"/>
    <w:rsid w:val="00DF0A65"/>
    <w:rsid w:val="00DF766B"/>
    <w:rsid w:val="00E000E6"/>
    <w:rsid w:val="00E000EC"/>
    <w:rsid w:val="00E001DC"/>
    <w:rsid w:val="00E005AC"/>
    <w:rsid w:val="00E1045A"/>
    <w:rsid w:val="00E10625"/>
    <w:rsid w:val="00E16E2C"/>
    <w:rsid w:val="00E3550F"/>
    <w:rsid w:val="00E36EB4"/>
    <w:rsid w:val="00E40C1C"/>
    <w:rsid w:val="00E41E0E"/>
    <w:rsid w:val="00E44B62"/>
    <w:rsid w:val="00E47E77"/>
    <w:rsid w:val="00E61670"/>
    <w:rsid w:val="00E6551D"/>
    <w:rsid w:val="00E70E65"/>
    <w:rsid w:val="00E721B9"/>
    <w:rsid w:val="00E7294A"/>
    <w:rsid w:val="00E770FD"/>
    <w:rsid w:val="00E81DE6"/>
    <w:rsid w:val="00E83308"/>
    <w:rsid w:val="00E8500F"/>
    <w:rsid w:val="00E87EC9"/>
    <w:rsid w:val="00E90ECC"/>
    <w:rsid w:val="00E922E6"/>
    <w:rsid w:val="00E935B1"/>
    <w:rsid w:val="00E94A0E"/>
    <w:rsid w:val="00E95946"/>
    <w:rsid w:val="00E95D84"/>
    <w:rsid w:val="00EA0527"/>
    <w:rsid w:val="00EA76CE"/>
    <w:rsid w:val="00EB2F25"/>
    <w:rsid w:val="00EB7730"/>
    <w:rsid w:val="00EC4E5C"/>
    <w:rsid w:val="00ED00D9"/>
    <w:rsid w:val="00ED604A"/>
    <w:rsid w:val="00EE18B9"/>
    <w:rsid w:val="00EE4A1B"/>
    <w:rsid w:val="00EE587C"/>
    <w:rsid w:val="00EF4248"/>
    <w:rsid w:val="00EF569B"/>
    <w:rsid w:val="00F00BD3"/>
    <w:rsid w:val="00F01FDA"/>
    <w:rsid w:val="00F02C44"/>
    <w:rsid w:val="00F05A09"/>
    <w:rsid w:val="00F0794F"/>
    <w:rsid w:val="00F17DD7"/>
    <w:rsid w:val="00F2470F"/>
    <w:rsid w:val="00F27261"/>
    <w:rsid w:val="00F2764E"/>
    <w:rsid w:val="00F307CA"/>
    <w:rsid w:val="00F30C6C"/>
    <w:rsid w:val="00F30CFE"/>
    <w:rsid w:val="00F351B8"/>
    <w:rsid w:val="00F3627D"/>
    <w:rsid w:val="00F36C5D"/>
    <w:rsid w:val="00F404BC"/>
    <w:rsid w:val="00F414CF"/>
    <w:rsid w:val="00F44257"/>
    <w:rsid w:val="00F46D6B"/>
    <w:rsid w:val="00F537FD"/>
    <w:rsid w:val="00F65374"/>
    <w:rsid w:val="00F720AF"/>
    <w:rsid w:val="00F72C72"/>
    <w:rsid w:val="00F7337C"/>
    <w:rsid w:val="00F76606"/>
    <w:rsid w:val="00F86123"/>
    <w:rsid w:val="00F926E4"/>
    <w:rsid w:val="00F9295D"/>
    <w:rsid w:val="00F92AD2"/>
    <w:rsid w:val="00F94461"/>
    <w:rsid w:val="00F94A1E"/>
    <w:rsid w:val="00FA6B7B"/>
    <w:rsid w:val="00FB31A9"/>
    <w:rsid w:val="00FB32D8"/>
    <w:rsid w:val="00FC01DB"/>
    <w:rsid w:val="00FC58CF"/>
    <w:rsid w:val="00FC63E4"/>
    <w:rsid w:val="00FC7519"/>
    <w:rsid w:val="00FD01D8"/>
    <w:rsid w:val="00FD4F95"/>
    <w:rsid w:val="00FE0791"/>
    <w:rsid w:val="00FE2873"/>
    <w:rsid w:val="00FE74DD"/>
    <w:rsid w:val="00FF0D5D"/>
    <w:rsid w:val="00FF0DF7"/>
    <w:rsid w:val="00FF15EC"/>
    <w:rsid w:val="00FF5E5E"/>
    <w:rsid w:val="00FF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BD7"/>
    <w:rPr>
      <w:rFonts w:eastAsiaTheme="minorEastAsia"/>
    </w:rPr>
  </w:style>
  <w:style w:type="paragraph" w:styleId="Heading1">
    <w:name w:val="heading 1"/>
    <w:basedOn w:val="Normal"/>
    <w:next w:val="Normal"/>
    <w:link w:val="Heading1Char"/>
    <w:qFormat/>
    <w:rsid w:val="00FF15EC"/>
    <w:pPr>
      <w:keepNext/>
      <w:overflowPunct w:val="0"/>
      <w:autoSpaceDE w:val="0"/>
      <w:autoSpaceDN w:val="0"/>
      <w:adjustRightInd w:val="0"/>
      <w:spacing w:after="0" w:line="240" w:lineRule="auto"/>
      <w:jc w:val="center"/>
      <w:outlineLvl w:val="0"/>
    </w:pPr>
    <w:rPr>
      <w:rFonts w:ascii="Minion Pro" w:eastAsia="Times New Roman" w:hAnsi="Minion Pro" w:cs="Times New Roman"/>
      <w:b/>
      <w:sz w:val="24"/>
      <w:szCs w:val="20"/>
    </w:rPr>
  </w:style>
  <w:style w:type="paragraph" w:styleId="Heading2">
    <w:name w:val="heading 2"/>
    <w:basedOn w:val="Normal"/>
    <w:next w:val="Normal"/>
    <w:link w:val="Heading2Char"/>
    <w:semiHidden/>
    <w:unhideWhenUsed/>
    <w:qFormat/>
    <w:rsid w:val="00FF15EC"/>
    <w:pPr>
      <w:keepNext/>
      <w:overflowPunct w:val="0"/>
      <w:autoSpaceDE w:val="0"/>
      <w:autoSpaceDN w:val="0"/>
      <w:adjustRightInd w:val="0"/>
      <w:spacing w:before="240" w:after="60" w:line="240" w:lineRule="auto"/>
      <w:jc w:val="both"/>
      <w:outlineLvl w:val="1"/>
    </w:pPr>
    <w:rPr>
      <w:rFonts w:ascii="Arial" w:eastAsia="Times New Roman" w:hAnsi="Arial" w:cs="Times New Roman"/>
      <w:b/>
      <w:i/>
      <w:sz w:val="28"/>
      <w:szCs w:val="20"/>
    </w:rPr>
  </w:style>
  <w:style w:type="paragraph" w:styleId="Heading3">
    <w:name w:val="heading 3"/>
    <w:basedOn w:val="Normal"/>
    <w:next w:val="Normal"/>
    <w:link w:val="Heading3Char"/>
    <w:semiHidden/>
    <w:unhideWhenUsed/>
    <w:qFormat/>
    <w:rsid w:val="00FF15EC"/>
    <w:pPr>
      <w:keepNext/>
      <w:overflowPunct w:val="0"/>
      <w:autoSpaceDE w:val="0"/>
      <w:autoSpaceDN w:val="0"/>
      <w:adjustRightInd w:val="0"/>
      <w:spacing w:after="0" w:line="480" w:lineRule="auto"/>
      <w:jc w:val="both"/>
      <w:outlineLvl w:val="2"/>
    </w:pPr>
    <w:rPr>
      <w:rFonts w:ascii="Minion Pro" w:eastAsia="Times New Roman" w:hAnsi="Minion Pro" w:cs="Times New Roman"/>
      <w:b/>
      <w:sz w:val="24"/>
      <w:szCs w:val="20"/>
    </w:rPr>
  </w:style>
  <w:style w:type="paragraph" w:styleId="Heading4">
    <w:name w:val="heading 4"/>
    <w:basedOn w:val="Normal"/>
    <w:next w:val="Normal"/>
    <w:link w:val="Heading4Char"/>
    <w:semiHidden/>
    <w:unhideWhenUsed/>
    <w:qFormat/>
    <w:rsid w:val="00FF15EC"/>
    <w:pPr>
      <w:keepNext/>
      <w:overflowPunct w:val="0"/>
      <w:autoSpaceDE w:val="0"/>
      <w:autoSpaceDN w:val="0"/>
      <w:adjustRightInd w:val="0"/>
      <w:spacing w:after="0" w:line="480" w:lineRule="auto"/>
      <w:outlineLvl w:val="3"/>
    </w:pPr>
    <w:rPr>
      <w:rFonts w:ascii="Minion Pro" w:eastAsia="Times New Roman" w:hAnsi="Minion Pro"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B0584"/>
    <w:pPr>
      <w:framePr w:w="7920" w:h="1980" w:hRule="exact" w:hSpace="180" w:wrap="auto" w:hAnchor="page" w:xAlign="center" w:yAlign="bottom"/>
      <w:spacing w:after="0" w:line="240" w:lineRule="auto"/>
      <w:ind w:left="2880"/>
    </w:pPr>
    <w:rPr>
      <w:rFonts w:ascii="Calibri" w:eastAsiaTheme="majorEastAsia" w:hAnsi="Calibri" w:cstheme="majorBidi"/>
      <w:color w:val="1F497D" w:themeColor="text2"/>
      <w:sz w:val="24"/>
      <w:szCs w:val="24"/>
    </w:rPr>
  </w:style>
  <w:style w:type="paragraph" w:styleId="ListParagraph">
    <w:name w:val="List Paragraph"/>
    <w:basedOn w:val="Normal"/>
    <w:uiPriority w:val="34"/>
    <w:qFormat/>
    <w:rsid w:val="00B806A4"/>
    <w:pPr>
      <w:ind w:left="720"/>
      <w:contextualSpacing/>
    </w:pPr>
  </w:style>
  <w:style w:type="paragraph" w:styleId="NoSpacing">
    <w:name w:val="No Spacing"/>
    <w:uiPriority w:val="1"/>
    <w:qFormat/>
    <w:rsid w:val="00B806A4"/>
    <w:pPr>
      <w:spacing w:after="0" w:line="240" w:lineRule="auto"/>
    </w:pPr>
  </w:style>
  <w:style w:type="paragraph" w:customStyle="1" w:styleId="PA">
    <w:name w:val="PA"/>
    <w:rsid w:val="00B806A4"/>
    <w:pPr>
      <w:overflowPunct w:val="0"/>
      <w:autoSpaceDE w:val="0"/>
      <w:autoSpaceDN w:val="0"/>
      <w:adjustRightInd w:val="0"/>
      <w:spacing w:after="240" w:line="240" w:lineRule="auto"/>
      <w:ind w:firstLine="432"/>
      <w:jc w:val="both"/>
      <w:textAlignment w:val="baseline"/>
    </w:pPr>
    <w:rPr>
      <w:rFonts w:ascii="Minion Pro" w:eastAsia="Times New Roman" w:hAnsi="Minion Pro" w:cs="Times New Roman"/>
      <w:noProof/>
      <w:sz w:val="20"/>
      <w:szCs w:val="20"/>
    </w:rPr>
  </w:style>
  <w:style w:type="character" w:styleId="EndnoteReference">
    <w:name w:val="endnote reference"/>
    <w:rsid w:val="00B806A4"/>
    <w:rPr>
      <w:vertAlign w:val="superscript"/>
    </w:rPr>
  </w:style>
  <w:style w:type="paragraph" w:customStyle="1" w:styleId="PC">
    <w:name w:val="PC"/>
    <w:rsid w:val="005429F2"/>
    <w:pPr>
      <w:tabs>
        <w:tab w:val="left" w:pos="720"/>
      </w:tabs>
      <w:overflowPunct w:val="0"/>
      <w:autoSpaceDE w:val="0"/>
      <w:autoSpaceDN w:val="0"/>
      <w:adjustRightInd w:val="0"/>
      <w:spacing w:after="240" w:line="240" w:lineRule="auto"/>
      <w:ind w:left="720" w:hanging="360"/>
      <w:jc w:val="both"/>
      <w:textAlignment w:val="baseline"/>
    </w:pPr>
    <w:rPr>
      <w:rFonts w:ascii="Minion Pro" w:eastAsia="Times New Roman" w:hAnsi="Minion Pro" w:cs="Times New Roman"/>
      <w:noProof/>
      <w:sz w:val="20"/>
      <w:szCs w:val="20"/>
    </w:rPr>
  </w:style>
  <w:style w:type="paragraph" w:customStyle="1" w:styleId="PQ">
    <w:name w:val="PQ"/>
    <w:rsid w:val="005429F2"/>
    <w:pPr>
      <w:tabs>
        <w:tab w:val="left" w:pos="432"/>
      </w:tabs>
      <w:overflowPunct w:val="0"/>
      <w:autoSpaceDE w:val="0"/>
      <w:autoSpaceDN w:val="0"/>
      <w:adjustRightInd w:val="0"/>
      <w:spacing w:after="0" w:line="240" w:lineRule="auto"/>
      <w:ind w:left="432" w:hanging="432"/>
      <w:jc w:val="both"/>
      <w:textAlignment w:val="baseline"/>
    </w:pPr>
    <w:rPr>
      <w:rFonts w:ascii="Minion Pro" w:eastAsia="Times New Roman" w:hAnsi="Minion Pro" w:cs="Times New Roman"/>
      <w:noProof/>
      <w:sz w:val="16"/>
      <w:szCs w:val="20"/>
    </w:rPr>
  </w:style>
  <w:style w:type="paragraph" w:customStyle="1" w:styleId="PCB">
    <w:name w:val="PCB"/>
    <w:rsid w:val="005429F2"/>
    <w:pPr>
      <w:numPr>
        <w:numId w:val="2"/>
      </w:numPr>
      <w:tabs>
        <w:tab w:val="left" w:pos="864"/>
      </w:tabs>
      <w:spacing w:after="240" w:line="240" w:lineRule="auto"/>
      <w:jc w:val="both"/>
    </w:pPr>
    <w:rPr>
      <w:rFonts w:ascii="Minion Pro" w:eastAsia="Times New Roman" w:hAnsi="Minion Pro" w:cs="Times New Roman"/>
      <w:sz w:val="20"/>
      <w:szCs w:val="20"/>
    </w:rPr>
  </w:style>
  <w:style w:type="paragraph" w:customStyle="1" w:styleId="PP">
    <w:name w:val="PP"/>
    <w:basedOn w:val="PA"/>
    <w:qFormat/>
    <w:rsid w:val="00981C39"/>
    <w:pPr>
      <w:pBdr>
        <w:top w:val="single" w:sz="4" w:space="1" w:color="auto"/>
        <w:left w:val="single" w:sz="4" w:space="4" w:color="auto"/>
        <w:bottom w:val="single" w:sz="4" w:space="1" w:color="auto"/>
        <w:right w:val="single" w:sz="4" w:space="4" w:color="auto"/>
      </w:pBdr>
      <w:ind w:firstLine="0"/>
      <w:textAlignment w:val="auto"/>
    </w:pPr>
    <w:rPr>
      <w:rFonts w:ascii="Calibri" w:hAnsi="Calibri"/>
    </w:rPr>
  </w:style>
  <w:style w:type="paragraph" w:customStyle="1" w:styleId="PG">
    <w:name w:val="PG"/>
    <w:rsid w:val="00173BA1"/>
    <w:pPr>
      <w:overflowPunct w:val="0"/>
      <w:autoSpaceDE w:val="0"/>
      <w:autoSpaceDN w:val="0"/>
      <w:adjustRightInd w:val="0"/>
      <w:spacing w:after="240" w:line="240" w:lineRule="auto"/>
      <w:ind w:left="432"/>
      <w:jc w:val="both"/>
      <w:textAlignment w:val="baseline"/>
    </w:pPr>
    <w:rPr>
      <w:rFonts w:ascii="Minion Pro" w:eastAsia="Times New Roman" w:hAnsi="Minion Pro" w:cs="Times New Roman"/>
      <w:noProof/>
      <w:sz w:val="20"/>
      <w:szCs w:val="20"/>
    </w:rPr>
  </w:style>
  <w:style w:type="paragraph" w:customStyle="1" w:styleId="HD">
    <w:name w:val="HD"/>
    <w:rsid w:val="00173BA1"/>
    <w:pPr>
      <w:overflowPunct w:val="0"/>
      <w:autoSpaceDE w:val="0"/>
      <w:autoSpaceDN w:val="0"/>
      <w:adjustRightInd w:val="0"/>
      <w:spacing w:after="240" w:line="240" w:lineRule="auto"/>
      <w:jc w:val="center"/>
      <w:textAlignment w:val="baseline"/>
    </w:pPr>
    <w:rPr>
      <w:rFonts w:ascii="Arial" w:eastAsia="Times New Roman" w:hAnsi="Arial" w:cs="Times New Roman"/>
      <w:b/>
      <w:noProof/>
      <w:szCs w:val="20"/>
    </w:rPr>
  </w:style>
  <w:style w:type="paragraph" w:customStyle="1" w:styleId="HE">
    <w:name w:val="HE"/>
    <w:rsid w:val="00173BA1"/>
    <w:pPr>
      <w:overflowPunct w:val="0"/>
      <w:autoSpaceDE w:val="0"/>
      <w:autoSpaceDN w:val="0"/>
      <w:adjustRightInd w:val="0"/>
      <w:spacing w:after="240" w:line="240" w:lineRule="auto"/>
      <w:jc w:val="center"/>
      <w:textAlignment w:val="baseline"/>
    </w:pPr>
    <w:rPr>
      <w:rFonts w:ascii="Times New Roman" w:eastAsia="Times New Roman" w:hAnsi="Times New Roman" w:cs="Times New Roman"/>
      <w:b/>
      <w:bCs/>
      <w:noProof/>
      <w:sz w:val="20"/>
      <w:szCs w:val="20"/>
    </w:rPr>
  </w:style>
  <w:style w:type="character" w:customStyle="1" w:styleId="st1">
    <w:name w:val="st1"/>
    <w:basedOn w:val="DefaultParagraphFont"/>
    <w:rsid w:val="00305461"/>
  </w:style>
  <w:style w:type="paragraph" w:customStyle="1" w:styleId="NoParagraphStyle">
    <w:name w:val="[No Paragraph Style]"/>
    <w:rsid w:val="00305461"/>
    <w:pPr>
      <w:widowControl w:val="0"/>
      <w:autoSpaceDE w:val="0"/>
      <w:autoSpaceDN w:val="0"/>
      <w:adjustRightInd w:val="0"/>
      <w:spacing w:after="0" w:line="288" w:lineRule="auto"/>
      <w:textAlignment w:val="center"/>
    </w:pPr>
    <w:rPr>
      <w:rFonts w:ascii="Times LT Std Regular" w:eastAsia="Times New Roman" w:hAnsi="Times LT Std Regular" w:cs="Times LT Std Regular"/>
      <w:color w:val="000000"/>
      <w:sz w:val="24"/>
      <w:szCs w:val="24"/>
    </w:rPr>
  </w:style>
  <w:style w:type="paragraph" w:customStyle="1" w:styleId="TableHead">
    <w:name w:val="Table Head"/>
    <w:basedOn w:val="NoParagraphStyle"/>
    <w:uiPriority w:val="99"/>
    <w:rsid w:val="00305461"/>
    <w:pPr>
      <w:suppressAutoHyphens/>
    </w:pPr>
    <w:rPr>
      <w:rFonts w:ascii="Helvetica LT Std Bold Condensed" w:hAnsi="Helvetica LT Std Bold Condensed" w:cs="Helvetica LT Std Bold Condensed"/>
      <w:b/>
      <w:bCs/>
      <w:color w:val="FFFFFF"/>
      <w:sz w:val="20"/>
      <w:szCs w:val="20"/>
    </w:rPr>
  </w:style>
  <w:style w:type="paragraph" w:customStyle="1" w:styleId="HC">
    <w:name w:val="HC"/>
    <w:rsid w:val="00222EE7"/>
    <w:pPr>
      <w:overflowPunct w:val="0"/>
      <w:autoSpaceDE w:val="0"/>
      <w:autoSpaceDN w:val="0"/>
      <w:adjustRightInd w:val="0"/>
      <w:spacing w:after="240" w:line="240" w:lineRule="auto"/>
      <w:jc w:val="center"/>
      <w:textAlignment w:val="baseline"/>
    </w:pPr>
    <w:rPr>
      <w:rFonts w:ascii="Arial" w:eastAsia="Times New Roman" w:hAnsi="Arial" w:cs="Times New Roman"/>
      <w:b/>
      <w:noProof/>
      <w:sz w:val="24"/>
      <w:szCs w:val="20"/>
    </w:rPr>
  </w:style>
  <w:style w:type="paragraph" w:customStyle="1" w:styleId="PD">
    <w:name w:val="PD"/>
    <w:rsid w:val="00222EE7"/>
    <w:pPr>
      <w:overflowPunct w:val="0"/>
      <w:autoSpaceDE w:val="0"/>
      <w:autoSpaceDN w:val="0"/>
      <w:adjustRightInd w:val="0"/>
      <w:spacing w:after="240" w:line="240" w:lineRule="auto"/>
      <w:ind w:left="864" w:firstLine="432"/>
      <w:jc w:val="both"/>
      <w:textAlignment w:val="baseline"/>
    </w:pPr>
    <w:rPr>
      <w:rFonts w:ascii="Minion Pro" w:eastAsia="Times New Roman" w:hAnsi="Minion Pro" w:cs="Times New Roman"/>
      <w:noProof/>
      <w:sz w:val="20"/>
      <w:szCs w:val="20"/>
    </w:rPr>
  </w:style>
  <w:style w:type="paragraph" w:customStyle="1" w:styleId="table4col">
    <w:name w:val="table 4 col"/>
    <w:basedOn w:val="NoParagraphStyle"/>
    <w:next w:val="Normal"/>
    <w:uiPriority w:val="99"/>
    <w:rsid w:val="00F0794F"/>
    <w:pPr>
      <w:tabs>
        <w:tab w:val="left" w:pos="1440"/>
        <w:tab w:val="right" w:pos="3360"/>
        <w:tab w:val="left" w:pos="4020"/>
        <w:tab w:val="right" w:pos="6360"/>
      </w:tabs>
      <w:suppressAutoHyphens/>
      <w:spacing w:before="40" w:line="260" w:lineRule="atLeast"/>
    </w:pPr>
    <w:rPr>
      <w:rFonts w:ascii="Minion Pro" w:hAnsi="Minion Pro" w:cs="Minion Pro"/>
      <w:sz w:val="20"/>
      <w:szCs w:val="20"/>
    </w:rPr>
  </w:style>
  <w:style w:type="paragraph" w:customStyle="1" w:styleId="table4colfinal">
    <w:name w:val="table 4 col final"/>
    <w:basedOn w:val="NoParagraphStyle"/>
    <w:next w:val="table4col"/>
    <w:uiPriority w:val="99"/>
    <w:rsid w:val="00F0794F"/>
    <w:pPr>
      <w:tabs>
        <w:tab w:val="left" w:pos="1440"/>
        <w:tab w:val="right" w:pos="3360"/>
        <w:tab w:val="left" w:pos="4020"/>
        <w:tab w:val="right" w:pos="6360"/>
      </w:tabs>
      <w:suppressAutoHyphens/>
      <w:spacing w:before="40" w:after="240" w:line="260" w:lineRule="atLeast"/>
    </w:pPr>
    <w:rPr>
      <w:rFonts w:ascii="Minion Pro" w:hAnsi="Minion Pro" w:cs="Minion Pro"/>
      <w:sz w:val="20"/>
      <w:szCs w:val="20"/>
    </w:rPr>
  </w:style>
  <w:style w:type="paragraph" w:customStyle="1" w:styleId="PF">
    <w:name w:val="PF"/>
    <w:rsid w:val="00660780"/>
    <w:pPr>
      <w:tabs>
        <w:tab w:val="left" w:pos="1296"/>
      </w:tabs>
      <w:overflowPunct w:val="0"/>
      <w:autoSpaceDE w:val="0"/>
      <w:autoSpaceDN w:val="0"/>
      <w:adjustRightInd w:val="0"/>
      <w:spacing w:after="240" w:line="240" w:lineRule="auto"/>
      <w:ind w:left="1296" w:hanging="432"/>
      <w:jc w:val="both"/>
      <w:textAlignment w:val="baseline"/>
    </w:pPr>
    <w:rPr>
      <w:rFonts w:ascii="Minion Pro" w:eastAsia="Times New Roman" w:hAnsi="Minion Pro" w:cs="Times New Roman"/>
      <w:sz w:val="20"/>
      <w:szCs w:val="20"/>
    </w:rPr>
  </w:style>
  <w:style w:type="paragraph" w:customStyle="1" w:styleId="PK">
    <w:name w:val="PK"/>
    <w:rsid w:val="00660780"/>
    <w:pPr>
      <w:overflowPunct w:val="0"/>
      <w:autoSpaceDE w:val="0"/>
      <w:autoSpaceDN w:val="0"/>
      <w:adjustRightInd w:val="0"/>
      <w:spacing w:after="240" w:line="240" w:lineRule="auto"/>
      <w:ind w:left="432" w:firstLine="432"/>
      <w:jc w:val="both"/>
      <w:textAlignment w:val="baseline"/>
    </w:pPr>
    <w:rPr>
      <w:rFonts w:ascii="Minion Pro" w:eastAsia="Times New Roman" w:hAnsi="Minion Pro" w:cs="Times New Roman"/>
      <w:noProof/>
      <w:sz w:val="20"/>
      <w:szCs w:val="20"/>
    </w:rPr>
  </w:style>
  <w:style w:type="character" w:customStyle="1" w:styleId="text">
    <w:name w:val="text"/>
    <w:basedOn w:val="DefaultParagraphFont"/>
    <w:rsid w:val="002F0607"/>
  </w:style>
  <w:style w:type="paragraph" w:customStyle="1" w:styleId="PB">
    <w:name w:val="PB"/>
    <w:rsid w:val="00290B76"/>
    <w:pPr>
      <w:overflowPunct w:val="0"/>
      <w:autoSpaceDE w:val="0"/>
      <w:autoSpaceDN w:val="0"/>
      <w:adjustRightInd w:val="0"/>
      <w:spacing w:after="240" w:line="240" w:lineRule="auto"/>
      <w:jc w:val="both"/>
      <w:textAlignment w:val="baseline"/>
    </w:pPr>
    <w:rPr>
      <w:rFonts w:ascii="Minion Pro" w:eastAsia="Times New Roman" w:hAnsi="Minion Pro" w:cs="Times New Roman"/>
      <w:noProof/>
      <w:sz w:val="20"/>
      <w:szCs w:val="20"/>
    </w:rPr>
  </w:style>
  <w:style w:type="paragraph" w:customStyle="1" w:styleId="PE">
    <w:name w:val="PE"/>
    <w:rsid w:val="00290B76"/>
    <w:pPr>
      <w:overflowPunct w:val="0"/>
      <w:autoSpaceDE w:val="0"/>
      <w:autoSpaceDN w:val="0"/>
      <w:adjustRightInd w:val="0"/>
      <w:spacing w:after="240" w:line="240" w:lineRule="auto"/>
      <w:ind w:left="864"/>
      <w:jc w:val="both"/>
      <w:textAlignment w:val="baseline"/>
    </w:pPr>
    <w:rPr>
      <w:rFonts w:ascii="Minion Pro" w:eastAsia="Times New Roman" w:hAnsi="Minion Pro" w:cs="Times New Roman"/>
      <w:noProof/>
      <w:sz w:val="20"/>
      <w:szCs w:val="20"/>
    </w:rPr>
  </w:style>
  <w:style w:type="paragraph" w:styleId="NormalWeb">
    <w:name w:val="Normal (Web)"/>
    <w:basedOn w:val="Normal"/>
    <w:uiPriority w:val="99"/>
    <w:semiHidden/>
    <w:unhideWhenUsed/>
    <w:rsid w:val="004529CC"/>
    <w:pPr>
      <w:spacing w:before="225"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29CC"/>
    <w:rPr>
      <w:color w:val="0000FF" w:themeColor="hyperlink"/>
      <w:u w:val="single"/>
    </w:rPr>
  </w:style>
  <w:style w:type="paragraph" w:styleId="BalloonText">
    <w:name w:val="Balloon Text"/>
    <w:basedOn w:val="Normal"/>
    <w:link w:val="BalloonTextChar"/>
    <w:semiHidden/>
    <w:unhideWhenUsed/>
    <w:rsid w:val="00830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30DFE"/>
    <w:rPr>
      <w:rFonts w:ascii="Tahoma" w:eastAsiaTheme="minorEastAsia" w:hAnsi="Tahoma" w:cs="Tahoma"/>
      <w:sz w:val="16"/>
      <w:szCs w:val="16"/>
    </w:rPr>
  </w:style>
  <w:style w:type="character" w:customStyle="1" w:styleId="Heading1Char">
    <w:name w:val="Heading 1 Char"/>
    <w:basedOn w:val="DefaultParagraphFont"/>
    <w:link w:val="Heading1"/>
    <w:rsid w:val="00FF15EC"/>
    <w:rPr>
      <w:rFonts w:ascii="Minion Pro" w:eastAsia="Times New Roman" w:hAnsi="Minion Pro" w:cs="Times New Roman"/>
      <w:b/>
      <w:sz w:val="24"/>
      <w:szCs w:val="20"/>
    </w:rPr>
  </w:style>
  <w:style w:type="character" w:customStyle="1" w:styleId="Heading2Char">
    <w:name w:val="Heading 2 Char"/>
    <w:basedOn w:val="DefaultParagraphFont"/>
    <w:link w:val="Heading2"/>
    <w:semiHidden/>
    <w:rsid w:val="00FF15EC"/>
    <w:rPr>
      <w:rFonts w:ascii="Arial" w:eastAsia="Times New Roman" w:hAnsi="Arial" w:cs="Times New Roman"/>
      <w:b/>
      <w:i/>
      <w:sz w:val="28"/>
      <w:szCs w:val="20"/>
    </w:rPr>
  </w:style>
  <w:style w:type="character" w:customStyle="1" w:styleId="Heading3Char">
    <w:name w:val="Heading 3 Char"/>
    <w:basedOn w:val="DefaultParagraphFont"/>
    <w:link w:val="Heading3"/>
    <w:semiHidden/>
    <w:rsid w:val="00FF15EC"/>
    <w:rPr>
      <w:rFonts w:ascii="Minion Pro" w:eastAsia="Times New Roman" w:hAnsi="Minion Pro" w:cs="Times New Roman"/>
      <w:b/>
      <w:sz w:val="24"/>
      <w:szCs w:val="20"/>
    </w:rPr>
  </w:style>
  <w:style w:type="character" w:customStyle="1" w:styleId="Heading4Char">
    <w:name w:val="Heading 4 Char"/>
    <w:basedOn w:val="DefaultParagraphFont"/>
    <w:link w:val="Heading4"/>
    <w:semiHidden/>
    <w:rsid w:val="00FF15EC"/>
    <w:rPr>
      <w:rFonts w:ascii="Minion Pro" w:eastAsia="Times New Roman" w:hAnsi="Minion Pro" w:cs="Times New Roman"/>
      <w:b/>
      <w:sz w:val="24"/>
      <w:szCs w:val="20"/>
    </w:rPr>
  </w:style>
  <w:style w:type="paragraph" w:styleId="FootnoteText">
    <w:name w:val="footnote text"/>
    <w:basedOn w:val="Normal"/>
    <w:link w:val="FootnoteTextChar"/>
    <w:semiHidden/>
    <w:unhideWhenUsed/>
    <w:rsid w:val="00FF15EC"/>
    <w:pPr>
      <w:overflowPunct w:val="0"/>
      <w:autoSpaceDE w:val="0"/>
      <w:autoSpaceDN w:val="0"/>
      <w:adjustRightInd w:val="0"/>
      <w:spacing w:after="0" w:line="240" w:lineRule="auto"/>
      <w:jc w:val="both"/>
    </w:pPr>
    <w:rPr>
      <w:rFonts w:ascii="Minion Pro" w:eastAsia="Times New Roman" w:hAnsi="Minion Pro" w:cs="Times New Roman"/>
      <w:sz w:val="20"/>
      <w:szCs w:val="20"/>
    </w:rPr>
  </w:style>
  <w:style w:type="character" w:customStyle="1" w:styleId="FootnoteTextChar">
    <w:name w:val="Footnote Text Char"/>
    <w:basedOn w:val="DefaultParagraphFont"/>
    <w:link w:val="FootnoteText"/>
    <w:semiHidden/>
    <w:rsid w:val="00FF15EC"/>
    <w:rPr>
      <w:rFonts w:ascii="Minion Pro" w:eastAsia="Times New Roman" w:hAnsi="Minion Pro" w:cs="Times New Roman"/>
      <w:sz w:val="20"/>
      <w:szCs w:val="20"/>
    </w:rPr>
  </w:style>
  <w:style w:type="paragraph" w:styleId="CommentText">
    <w:name w:val="annotation text"/>
    <w:basedOn w:val="Normal"/>
    <w:link w:val="CommentTextChar"/>
    <w:semiHidden/>
    <w:unhideWhenUsed/>
    <w:rsid w:val="00FF15EC"/>
    <w:pPr>
      <w:overflowPunct w:val="0"/>
      <w:autoSpaceDE w:val="0"/>
      <w:autoSpaceDN w:val="0"/>
      <w:adjustRightInd w:val="0"/>
      <w:spacing w:after="0" w:line="240" w:lineRule="auto"/>
    </w:pPr>
    <w:rPr>
      <w:rFonts w:ascii="Minion Pro" w:eastAsia="Times New Roman" w:hAnsi="Minion Pro" w:cs="Times New Roman"/>
      <w:sz w:val="20"/>
      <w:szCs w:val="20"/>
    </w:rPr>
  </w:style>
  <w:style w:type="character" w:customStyle="1" w:styleId="CommentTextChar">
    <w:name w:val="Comment Text Char"/>
    <w:basedOn w:val="DefaultParagraphFont"/>
    <w:link w:val="CommentText"/>
    <w:semiHidden/>
    <w:rsid w:val="00FF15EC"/>
    <w:rPr>
      <w:rFonts w:ascii="Minion Pro" w:eastAsia="Times New Roman" w:hAnsi="Minion Pro" w:cs="Times New Roman"/>
      <w:sz w:val="20"/>
      <w:szCs w:val="20"/>
    </w:rPr>
  </w:style>
  <w:style w:type="paragraph" w:styleId="EndnoteText">
    <w:name w:val="endnote text"/>
    <w:basedOn w:val="Normal"/>
    <w:link w:val="EndnoteTextChar"/>
    <w:semiHidden/>
    <w:unhideWhenUsed/>
    <w:rsid w:val="00FF15EC"/>
    <w:pPr>
      <w:overflowPunct w:val="0"/>
      <w:autoSpaceDE w:val="0"/>
      <w:autoSpaceDN w:val="0"/>
      <w:adjustRightInd w:val="0"/>
      <w:spacing w:after="0" w:line="240" w:lineRule="auto"/>
    </w:pPr>
    <w:rPr>
      <w:rFonts w:ascii="Minion Pro" w:eastAsia="Times New Roman" w:hAnsi="Minion Pro" w:cs="Times New Roman"/>
      <w:sz w:val="20"/>
      <w:szCs w:val="20"/>
    </w:rPr>
  </w:style>
  <w:style w:type="character" w:customStyle="1" w:styleId="EndnoteTextChar">
    <w:name w:val="Endnote Text Char"/>
    <w:basedOn w:val="DefaultParagraphFont"/>
    <w:link w:val="EndnoteText"/>
    <w:semiHidden/>
    <w:rsid w:val="00FF15EC"/>
    <w:rPr>
      <w:rFonts w:ascii="Minion Pro" w:eastAsia="Times New Roman" w:hAnsi="Minion Pro" w:cs="Times New Roman"/>
      <w:sz w:val="20"/>
      <w:szCs w:val="20"/>
    </w:rPr>
  </w:style>
  <w:style w:type="paragraph" w:styleId="CommentSubject">
    <w:name w:val="annotation subject"/>
    <w:basedOn w:val="CommentText"/>
    <w:next w:val="CommentText"/>
    <w:link w:val="CommentSubjectChar"/>
    <w:semiHidden/>
    <w:unhideWhenUsed/>
    <w:rsid w:val="00FF15EC"/>
    <w:rPr>
      <w:b/>
      <w:bCs/>
    </w:rPr>
  </w:style>
  <w:style w:type="character" w:customStyle="1" w:styleId="CommentSubjectChar">
    <w:name w:val="Comment Subject Char"/>
    <w:basedOn w:val="CommentTextChar"/>
    <w:link w:val="CommentSubject"/>
    <w:semiHidden/>
    <w:rsid w:val="00FF15EC"/>
    <w:rPr>
      <w:rFonts w:ascii="Minion Pro" w:eastAsia="Times New Roman" w:hAnsi="Minion Pro" w:cs="Times New Roman"/>
      <w:b/>
      <w:bCs/>
      <w:sz w:val="20"/>
      <w:szCs w:val="20"/>
    </w:rPr>
  </w:style>
  <w:style w:type="paragraph" w:customStyle="1" w:styleId="OUTLINE1">
    <w:name w:val="OUTLINE1"/>
    <w:rsid w:val="00FF15EC"/>
    <w:pPr>
      <w:spacing w:after="120" w:line="240" w:lineRule="auto"/>
    </w:pPr>
    <w:rPr>
      <w:rFonts w:ascii="Arial" w:eastAsia="Times New Roman" w:hAnsi="Arial" w:cs="Times New Roman"/>
      <w:noProof/>
      <w:sz w:val="20"/>
      <w:szCs w:val="20"/>
    </w:rPr>
  </w:style>
  <w:style w:type="paragraph" w:customStyle="1" w:styleId="OUTLINE2">
    <w:name w:val="OUTLINE2"/>
    <w:rsid w:val="00FF15EC"/>
    <w:pPr>
      <w:spacing w:after="120" w:line="240" w:lineRule="auto"/>
      <w:ind w:left="432"/>
    </w:pPr>
    <w:rPr>
      <w:rFonts w:ascii="Arial" w:eastAsia="Times New Roman" w:hAnsi="Arial" w:cs="Times New Roman"/>
      <w:noProof/>
      <w:sz w:val="20"/>
      <w:szCs w:val="20"/>
    </w:rPr>
  </w:style>
  <w:style w:type="paragraph" w:customStyle="1" w:styleId="Extract">
    <w:name w:val="Extract"/>
    <w:basedOn w:val="Normal"/>
    <w:uiPriority w:val="99"/>
    <w:rsid w:val="00FF15EC"/>
    <w:pPr>
      <w:suppressAutoHyphens/>
      <w:overflowPunct w:val="0"/>
      <w:autoSpaceDE w:val="0"/>
      <w:autoSpaceDN w:val="0"/>
      <w:adjustRightInd w:val="0"/>
      <w:spacing w:before="120" w:after="0" w:line="280" w:lineRule="atLeast"/>
      <w:ind w:left="360"/>
      <w:jc w:val="both"/>
    </w:pPr>
    <w:rPr>
      <w:rFonts w:ascii="Minion Pro" w:eastAsia="Times New Roman" w:hAnsi="Minion Pro" w:cs="Minion Pro"/>
      <w:sz w:val="24"/>
      <w:szCs w:val="24"/>
    </w:rPr>
  </w:style>
  <w:style w:type="paragraph" w:customStyle="1" w:styleId="TableBody">
    <w:name w:val="Table Body"/>
    <w:basedOn w:val="NoParagraphStyle"/>
    <w:uiPriority w:val="99"/>
    <w:rsid w:val="00FF15EC"/>
    <w:pPr>
      <w:suppressAutoHyphens/>
      <w:textAlignment w:val="auto"/>
    </w:pPr>
    <w:rPr>
      <w:rFonts w:ascii="Helvetica LT Std Condensed" w:hAnsi="Helvetica LT Std Condensed" w:cs="Helvetica LT Std Condensed"/>
      <w:sz w:val="20"/>
      <w:szCs w:val="20"/>
    </w:rPr>
  </w:style>
  <w:style w:type="paragraph" w:customStyle="1" w:styleId="HB">
    <w:name w:val="HB"/>
    <w:rsid w:val="00FF15EC"/>
    <w:pPr>
      <w:overflowPunct w:val="0"/>
      <w:autoSpaceDE w:val="0"/>
      <w:autoSpaceDN w:val="0"/>
      <w:adjustRightInd w:val="0"/>
      <w:spacing w:after="240" w:line="240" w:lineRule="auto"/>
      <w:jc w:val="center"/>
    </w:pPr>
    <w:rPr>
      <w:rFonts w:ascii="Arial" w:eastAsia="Times New Roman" w:hAnsi="Arial" w:cs="Times New Roman"/>
      <w:b/>
      <w:noProof/>
      <w:sz w:val="28"/>
      <w:szCs w:val="20"/>
    </w:rPr>
  </w:style>
  <w:style w:type="paragraph" w:customStyle="1" w:styleId="HA">
    <w:name w:val="HA"/>
    <w:rsid w:val="00FF15EC"/>
    <w:pPr>
      <w:overflowPunct w:val="0"/>
      <w:autoSpaceDE w:val="0"/>
      <w:autoSpaceDN w:val="0"/>
      <w:adjustRightInd w:val="0"/>
      <w:spacing w:after="120" w:line="240" w:lineRule="auto"/>
      <w:jc w:val="center"/>
    </w:pPr>
    <w:rPr>
      <w:rFonts w:ascii="Times New Roman" w:eastAsia="Times New Roman" w:hAnsi="Times New Roman" w:cs="Times New Roman"/>
      <w:b/>
      <w:noProof/>
      <w:sz w:val="36"/>
      <w:szCs w:val="20"/>
    </w:rPr>
  </w:style>
  <w:style w:type="paragraph" w:customStyle="1" w:styleId="PH">
    <w:name w:val="PH"/>
    <w:rsid w:val="00FF15EC"/>
    <w:pPr>
      <w:tabs>
        <w:tab w:val="left" w:pos="432"/>
      </w:tabs>
      <w:overflowPunct w:val="0"/>
      <w:autoSpaceDE w:val="0"/>
      <w:autoSpaceDN w:val="0"/>
      <w:adjustRightInd w:val="0"/>
      <w:spacing w:after="240" w:line="240" w:lineRule="auto"/>
      <w:ind w:left="450" w:hanging="450"/>
      <w:jc w:val="both"/>
    </w:pPr>
    <w:rPr>
      <w:rFonts w:ascii="Minion Pro" w:eastAsia="MS Mincho" w:hAnsi="Minion Pro" w:cs="Times New Roman"/>
      <w:sz w:val="20"/>
      <w:szCs w:val="20"/>
    </w:rPr>
  </w:style>
  <w:style w:type="paragraph" w:customStyle="1" w:styleId="PI">
    <w:name w:val="PI"/>
    <w:rsid w:val="00FF15EC"/>
    <w:pPr>
      <w:overflowPunct w:val="0"/>
      <w:autoSpaceDE w:val="0"/>
      <w:autoSpaceDN w:val="0"/>
      <w:adjustRightInd w:val="0"/>
      <w:spacing w:after="240" w:line="240" w:lineRule="auto"/>
      <w:ind w:left="432" w:hanging="432"/>
      <w:jc w:val="both"/>
    </w:pPr>
    <w:rPr>
      <w:rFonts w:ascii="Minion Pro" w:eastAsia="Times New Roman" w:hAnsi="Minion Pro" w:cs="Times New Roman"/>
      <w:noProof/>
      <w:sz w:val="20"/>
      <w:szCs w:val="20"/>
    </w:rPr>
  </w:style>
  <w:style w:type="paragraph" w:customStyle="1" w:styleId="PR">
    <w:name w:val="PR"/>
    <w:rsid w:val="00FF15EC"/>
    <w:pPr>
      <w:overflowPunct w:val="0"/>
      <w:autoSpaceDE w:val="0"/>
      <w:autoSpaceDN w:val="0"/>
      <w:adjustRightInd w:val="0"/>
      <w:spacing w:after="0" w:line="240" w:lineRule="auto"/>
      <w:ind w:left="432" w:firstLine="432"/>
      <w:jc w:val="both"/>
    </w:pPr>
    <w:rPr>
      <w:rFonts w:ascii="Minion Pro" w:eastAsia="Times New Roman" w:hAnsi="Minion Pro" w:cs="Times New Roman"/>
      <w:noProof/>
      <w:sz w:val="16"/>
      <w:szCs w:val="20"/>
    </w:rPr>
  </w:style>
  <w:style w:type="paragraph" w:customStyle="1" w:styleId="PL">
    <w:name w:val="PL"/>
    <w:rsid w:val="00FF15EC"/>
    <w:pPr>
      <w:overflowPunct w:val="0"/>
      <w:autoSpaceDE w:val="0"/>
      <w:autoSpaceDN w:val="0"/>
      <w:adjustRightInd w:val="0"/>
      <w:spacing w:after="240" w:line="240" w:lineRule="auto"/>
      <w:jc w:val="right"/>
    </w:pPr>
    <w:rPr>
      <w:rFonts w:ascii="Minion Pro" w:eastAsia="Times New Roman" w:hAnsi="Minion Pro" w:cs="Times New Roman"/>
      <w:sz w:val="16"/>
      <w:szCs w:val="20"/>
    </w:rPr>
  </w:style>
  <w:style w:type="paragraph" w:customStyle="1" w:styleId="EXHIBIT">
    <w:name w:val="EXHIBIT"/>
    <w:rsid w:val="00FF15EC"/>
    <w:pPr>
      <w:overflowPunct w:val="0"/>
      <w:autoSpaceDE w:val="0"/>
      <w:autoSpaceDN w:val="0"/>
      <w:adjustRightInd w:val="0"/>
      <w:spacing w:after="0" w:line="240" w:lineRule="auto"/>
    </w:pPr>
    <w:rPr>
      <w:rFonts w:ascii="Times New Roman" w:eastAsia="Times New Roman" w:hAnsi="Times New Roman" w:cs="Times New Roman"/>
      <w:sz w:val="16"/>
      <w:szCs w:val="20"/>
    </w:rPr>
  </w:style>
  <w:style w:type="paragraph" w:customStyle="1" w:styleId="FIGURE">
    <w:name w:val="FIGURE"/>
    <w:rsid w:val="00FF15EC"/>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TOC">
    <w:name w:val="TOC"/>
    <w:rsid w:val="00FF15EC"/>
    <w:pPr>
      <w:tabs>
        <w:tab w:val="left" w:pos="360"/>
        <w:tab w:val="left" w:pos="720"/>
        <w:tab w:val="right" w:leader="dot" w:pos="9360"/>
      </w:tabs>
      <w:overflowPunct w:val="0"/>
      <w:autoSpaceDE w:val="0"/>
      <w:autoSpaceDN w:val="0"/>
      <w:adjustRightInd w:val="0"/>
      <w:spacing w:after="60" w:line="240" w:lineRule="auto"/>
      <w:ind w:left="360" w:hanging="360"/>
    </w:pPr>
    <w:rPr>
      <w:rFonts w:ascii="Minion Pro" w:eastAsia="Times New Roman" w:hAnsi="Minion Pro" w:cs="Times New Roman"/>
      <w:sz w:val="20"/>
      <w:szCs w:val="20"/>
    </w:rPr>
  </w:style>
  <w:style w:type="paragraph" w:customStyle="1" w:styleId="Index">
    <w:name w:val="Index"/>
    <w:basedOn w:val="PB"/>
    <w:rsid w:val="00FF15EC"/>
    <w:pPr>
      <w:tabs>
        <w:tab w:val="left" w:pos="288"/>
        <w:tab w:val="right" w:leader="dot" w:pos="4320"/>
      </w:tabs>
      <w:spacing w:after="0"/>
      <w:textAlignment w:val="auto"/>
    </w:pPr>
  </w:style>
  <w:style w:type="paragraph" w:customStyle="1" w:styleId="Callout">
    <w:name w:val="Callout"/>
    <w:rsid w:val="00FF15EC"/>
    <w:pPr>
      <w:pBdr>
        <w:top w:val="single" w:sz="6" w:space="1" w:color="auto"/>
        <w:left w:val="single" w:sz="6" w:space="4" w:color="auto"/>
        <w:bottom w:val="single" w:sz="6" w:space="1" w:color="auto"/>
        <w:right w:val="single" w:sz="6" w:space="4" w:color="auto"/>
      </w:pBdr>
      <w:overflowPunct w:val="0"/>
      <w:autoSpaceDE w:val="0"/>
      <w:autoSpaceDN w:val="0"/>
      <w:adjustRightInd w:val="0"/>
      <w:spacing w:after="240" w:line="240" w:lineRule="auto"/>
      <w:jc w:val="both"/>
    </w:pPr>
    <w:rPr>
      <w:rFonts w:ascii="Arial" w:eastAsia="Times New Roman" w:hAnsi="Arial" w:cs="Times New Roman"/>
      <w:sz w:val="20"/>
      <w:szCs w:val="20"/>
    </w:rPr>
  </w:style>
  <w:style w:type="paragraph" w:customStyle="1" w:styleId="OUTLINE3">
    <w:name w:val="OUTLINE3"/>
    <w:rsid w:val="00FF15EC"/>
    <w:pPr>
      <w:spacing w:after="120" w:line="240" w:lineRule="auto"/>
      <w:ind w:left="864"/>
    </w:pPr>
    <w:rPr>
      <w:rFonts w:ascii="Arial" w:eastAsia="Times New Roman" w:hAnsi="Arial" w:cs="Times New Roman"/>
      <w:noProof/>
      <w:sz w:val="20"/>
      <w:szCs w:val="20"/>
    </w:rPr>
  </w:style>
  <w:style w:type="paragraph" w:customStyle="1" w:styleId="PFB">
    <w:name w:val="PFB"/>
    <w:rsid w:val="00FF15EC"/>
    <w:pPr>
      <w:numPr>
        <w:numId w:val="3"/>
      </w:numPr>
      <w:tabs>
        <w:tab w:val="left" w:pos="1296"/>
      </w:tabs>
      <w:spacing w:after="240" w:line="240" w:lineRule="auto"/>
      <w:jc w:val="both"/>
    </w:pPr>
    <w:rPr>
      <w:rFonts w:ascii="Minion Pro" w:eastAsia="Times New Roman" w:hAnsi="Minion Pro" w:cs="Times New Roman"/>
      <w:sz w:val="20"/>
      <w:szCs w:val="20"/>
    </w:rPr>
  </w:style>
  <w:style w:type="paragraph" w:customStyle="1" w:styleId="PHB">
    <w:name w:val="PHB"/>
    <w:rsid w:val="00FF15EC"/>
    <w:pPr>
      <w:numPr>
        <w:numId w:val="4"/>
      </w:numPr>
      <w:tabs>
        <w:tab w:val="left" w:pos="432"/>
      </w:tabs>
      <w:spacing w:after="240" w:line="240" w:lineRule="auto"/>
      <w:jc w:val="both"/>
    </w:pPr>
    <w:rPr>
      <w:rFonts w:ascii="Minion Pro" w:eastAsia="Times New Roman" w:hAnsi="Minion Pro" w:cs="Times New Roman"/>
      <w:sz w:val="20"/>
      <w:szCs w:val="20"/>
    </w:rPr>
  </w:style>
  <w:style w:type="paragraph" w:customStyle="1" w:styleId="IndexHeadC">
    <w:name w:val="IndexHeadC"/>
    <w:rsid w:val="00FF15EC"/>
    <w:pPr>
      <w:spacing w:before="240" w:after="120" w:line="240" w:lineRule="auto"/>
      <w:ind w:right="5040"/>
      <w:jc w:val="center"/>
    </w:pPr>
    <w:rPr>
      <w:rFonts w:ascii="Times New Roman" w:eastAsia="Times New Roman" w:hAnsi="Times New Roman" w:cs="Times New Roman"/>
      <w:b/>
      <w:noProof/>
      <w:sz w:val="20"/>
      <w:szCs w:val="20"/>
    </w:rPr>
  </w:style>
  <w:style w:type="character" w:styleId="FootnoteReference">
    <w:name w:val="footnote reference"/>
    <w:semiHidden/>
    <w:unhideWhenUsed/>
    <w:rsid w:val="00FF15EC"/>
    <w:rPr>
      <w:vertAlign w:val="superscript"/>
    </w:rPr>
  </w:style>
  <w:style w:type="character" w:styleId="CommentReference">
    <w:name w:val="annotation reference"/>
    <w:semiHidden/>
    <w:unhideWhenUsed/>
    <w:rsid w:val="00FF15EC"/>
    <w:rPr>
      <w:sz w:val="16"/>
    </w:rPr>
  </w:style>
  <w:style w:type="paragraph" w:customStyle="1" w:styleId="Default">
    <w:name w:val="Default"/>
    <w:rsid w:val="00223E42"/>
    <w:pPr>
      <w:autoSpaceDE w:val="0"/>
      <w:autoSpaceDN w:val="0"/>
      <w:adjustRightInd w:val="0"/>
      <w:spacing w:after="0" w:line="240" w:lineRule="auto"/>
    </w:pPr>
    <w:rPr>
      <w:rFonts w:ascii="Helvetica World" w:hAnsi="Helvetica World" w:cs="Helvetica World"/>
      <w:color w:val="000000"/>
      <w:sz w:val="24"/>
      <w:szCs w:val="24"/>
    </w:rPr>
  </w:style>
  <w:style w:type="paragraph" w:customStyle="1" w:styleId="Table6colhead">
    <w:name w:val="Table 6 col head"/>
    <w:basedOn w:val="NoParagraphStyle"/>
    <w:next w:val="Normal"/>
    <w:uiPriority w:val="99"/>
    <w:rsid w:val="00554888"/>
    <w:pPr>
      <w:tabs>
        <w:tab w:val="center" w:pos="1860"/>
        <w:tab w:val="center" w:pos="2820"/>
        <w:tab w:val="center" w:pos="3960"/>
        <w:tab w:val="center" w:pos="5280"/>
        <w:tab w:val="center" w:pos="6540"/>
      </w:tabs>
      <w:suppressAutoHyphens/>
      <w:spacing w:before="480" w:after="120" w:line="260" w:lineRule="atLeast"/>
    </w:pPr>
    <w:rPr>
      <w:rFonts w:ascii="Times Italic" w:hAnsi="Times Italic" w:cs="Times Italic"/>
      <w:i/>
      <w:iCs/>
      <w:sz w:val="20"/>
      <w:szCs w:val="20"/>
    </w:rPr>
  </w:style>
  <w:style w:type="paragraph" w:customStyle="1" w:styleId="table6coltext">
    <w:name w:val="table 6 col text"/>
    <w:basedOn w:val="NoParagraphStyle"/>
    <w:next w:val="table4col"/>
    <w:uiPriority w:val="99"/>
    <w:rsid w:val="00554888"/>
    <w:pPr>
      <w:tabs>
        <w:tab w:val="right" w:pos="2100"/>
        <w:tab w:val="right" w:pos="2880"/>
        <w:tab w:val="right" w:pos="4380"/>
        <w:tab w:val="right" w:pos="5640"/>
        <w:tab w:val="right" w:pos="6780"/>
      </w:tabs>
      <w:suppressAutoHyphens/>
      <w:spacing w:before="40" w:line="260" w:lineRule="atLeast"/>
    </w:pPr>
    <w:rPr>
      <w:rFonts w:ascii="Minion Pro" w:hAnsi="Minion Pro" w:cs="Minion Pro"/>
      <w:sz w:val="20"/>
      <w:szCs w:val="20"/>
    </w:rPr>
  </w:style>
  <w:style w:type="paragraph" w:customStyle="1" w:styleId="table6coltextfinal">
    <w:name w:val="table 6 col text final"/>
    <w:basedOn w:val="NoParagraphStyle"/>
    <w:next w:val="table6coltext"/>
    <w:uiPriority w:val="99"/>
    <w:rsid w:val="00554888"/>
    <w:pPr>
      <w:tabs>
        <w:tab w:val="right" w:pos="2100"/>
        <w:tab w:val="right" w:pos="2880"/>
        <w:tab w:val="right" w:pos="4380"/>
        <w:tab w:val="right" w:pos="5640"/>
        <w:tab w:val="right" w:pos="6780"/>
      </w:tabs>
      <w:suppressAutoHyphens/>
      <w:spacing w:before="40" w:after="240" w:line="260" w:lineRule="atLeast"/>
    </w:pPr>
    <w:rPr>
      <w:rFonts w:ascii="Minion Pro" w:hAnsi="Minion Pro" w:cs="Minion Pro"/>
      <w:sz w:val="20"/>
      <w:szCs w:val="20"/>
    </w:rPr>
  </w:style>
  <w:style w:type="paragraph" w:customStyle="1" w:styleId="Pa1">
    <w:name w:val="Pa1"/>
    <w:basedOn w:val="Default"/>
    <w:next w:val="Default"/>
    <w:uiPriority w:val="99"/>
    <w:rsid w:val="00B30E3D"/>
    <w:pPr>
      <w:spacing w:line="161" w:lineRule="atLeast"/>
    </w:pPr>
    <w:rPr>
      <w:rFonts w:ascii="Meta Normal LF" w:hAnsi="Meta Normal LF" w:cstheme="minorBidi"/>
      <w:color w:val="auto"/>
    </w:rPr>
  </w:style>
  <w:style w:type="character" w:customStyle="1" w:styleId="st">
    <w:name w:val="st"/>
    <w:basedOn w:val="DefaultParagraphFont"/>
    <w:rsid w:val="001A4B94"/>
  </w:style>
  <w:style w:type="character" w:styleId="Strong">
    <w:name w:val="Strong"/>
    <w:basedOn w:val="DefaultParagraphFont"/>
    <w:uiPriority w:val="22"/>
    <w:qFormat/>
    <w:rsid w:val="006238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BD7"/>
    <w:rPr>
      <w:rFonts w:eastAsiaTheme="minorEastAsia"/>
    </w:rPr>
  </w:style>
  <w:style w:type="paragraph" w:styleId="Heading1">
    <w:name w:val="heading 1"/>
    <w:basedOn w:val="Normal"/>
    <w:next w:val="Normal"/>
    <w:link w:val="Heading1Char"/>
    <w:qFormat/>
    <w:rsid w:val="00FF15EC"/>
    <w:pPr>
      <w:keepNext/>
      <w:overflowPunct w:val="0"/>
      <w:autoSpaceDE w:val="0"/>
      <w:autoSpaceDN w:val="0"/>
      <w:adjustRightInd w:val="0"/>
      <w:spacing w:after="0" w:line="240" w:lineRule="auto"/>
      <w:jc w:val="center"/>
      <w:outlineLvl w:val="0"/>
    </w:pPr>
    <w:rPr>
      <w:rFonts w:ascii="Minion Pro" w:eastAsia="Times New Roman" w:hAnsi="Minion Pro" w:cs="Times New Roman"/>
      <w:b/>
      <w:sz w:val="24"/>
      <w:szCs w:val="20"/>
    </w:rPr>
  </w:style>
  <w:style w:type="paragraph" w:styleId="Heading2">
    <w:name w:val="heading 2"/>
    <w:basedOn w:val="Normal"/>
    <w:next w:val="Normal"/>
    <w:link w:val="Heading2Char"/>
    <w:semiHidden/>
    <w:unhideWhenUsed/>
    <w:qFormat/>
    <w:rsid w:val="00FF15EC"/>
    <w:pPr>
      <w:keepNext/>
      <w:overflowPunct w:val="0"/>
      <w:autoSpaceDE w:val="0"/>
      <w:autoSpaceDN w:val="0"/>
      <w:adjustRightInd w:val="0"/>
      <w:spacing w:before="240" w:after="60" w:line="240" w:lineRule="auto"/>
      <w:jc w:val="both"/>
      <w:outlineLvl w:val="1"/>
    </w:pPr>
    <w:rPr>
      <w:rFonts w:ascii="Arial" w:eastAsia="Times New Roman" w:hAnsi="Arial" w:cs="Times New Roman"/>
      <w:b/>
      <w:i/>
      <w:sz w:val="28"/>
      <w:szCs w:val="20"/>
    </w:rPr>
  </w:style>
  <w:style w:type="paragraph" w:styleId="Heading3">
    <w:name w:val="heading 3"/>
    <w:basedOn w:val="Normal"/>
    <w:next w:val="Normal"/>
    <w:link w:val="Heading3Char"/>
    <w:semiHidden/>
    <w:unhideWhenUsed/>
    <w:qFormat/>
    <w:rsid w:val="00FF15EC"/>
    <w:pPr>
      <w:keepNext/>
      <w:overflowPunct w:val="0"/>
      <w:autoSpaceDE w:val="0"/>
      <w:autoSpaceDN w:val="0"/>
      <w:adjustRightInd w:val="0"/>
      <w:spacing w:after="0" w:line="480" w:lineRule="auto"/>
      <w:jc w:val="both"/>
      <w:outlineLvl w:val="2"/>
    </w:pPr>
    <w:rPr>
      <w:rFonts w:ascii="Minion Pro" w:eastAsia="Times New Roman" w:hAnsi="Minion Pro" w:cs="Times New Roman"/>
      <w:b/>
      <w:sz w:val="24"/>
      <w:szCs w:val="20"/>
    </w:rPr>
  </w:style>
  <w:style w:type="paragraph" w:styleId="Heading4">
    <w:name w:val="heading 4"/>
    <w:basedOn w:val="Normal"/>
    <w:next w:val="Normal"/>
    <w:link w:val="Heading4Char"/>
    <w:semiHidden/>
    <w:unhideWhenUsed/>
    <w:qFormat/>
    <w:rsid w:val="00FF15EC"/>
    <w:pPr>
      <w:keepNext/>
      <w:overflowPunct w:val="0"/>
      <w:autoSpaceDE w:val="0"/>
      <w:autoSpaceDN w:val="0"/>
      <w:adjustRightInd w:val="0"/>
      <w:spacing w:after="0" w:line="480" w:lineRule="auto"/>
      <w:outlineLvl w:val="3"/>
    </w:pPr>
    <w:rPr>
      <w:rFonts w:ascii="Minion Pro" w:eastAsia="Times New Roman" w:hAnsi="Minion Pro"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B0584"/>
    <w:pPr>
      <w:framePr w:w="7920" w:h="1980" w:hRule="exact" w:hSpace="180" w:wrap="auto" w:hAnchor="page" w:xAlign="center" w:yAlign="bottom"/>
      <w:spacing w:after="0" w:line="240" w:lineRule="auto"/>
      <w:ind w:left="2880"/>
    </w:pPr>
    <w:rPr>
      <w:rFonts w:ascii="Calibri" w:eastAsiaTheme="majorEastAsia" w:hAnsi="Calibri" w:cstheme="majorBidi"/>
      <w:color w:val="1F497D" w:themeColor="text2"/>
      <w:sz w:val="24"/>
      <w:szCs w:val="24"/>
    </w:rPr>
  </w:style>
  <w:style w:type="paragraph" w:styleId="ListParagraph">
    <w:name w:val="List Paragraph"/>
    <w:basedOn w:val="Normal"/>
    <w:uiPriority w:val="34"/>
    <w:qFormat/>
    <w:rsid w:val="00B806A4"/>
    <w:pPr>
      <w:ind w:left="720"/>
      <w:contextualSpacing/>
    </w:pPr>
  </w:style>
  <w:style w:type="paragraph" w:styleId="NoSpacing">
    <w:name w:val="No Spacing"/>
    <w:uiPriority w:val="1"/>
    <w:qFormat/>
    <w:rsid w:val="00B806A4"/>
    <w:pPr>
      <w:spacing w:after="0" w:line="240" w:lineRule="auto"/>
    </w:pPr>
  </w:style>
  <w:style w:type="paragraph" w:customStyle="1" w:styleId="PA">
    <w:name w:val="PA"/>
    <w:rsid w:val="00B806A4"/>
    <w:pPr>
      <w:overflowPunct w:val="0"/>
      <w:autoSpaceDE w:val="0"/>
      <w:autoSpaceDN w:val="0"/>
      <w:adjustRightInd w:val="0"/>
      <w:spacing w:after="240" w:line="240" w:lineRule="auto"/>
      <w:ind w:firstLine="432"/>
      <w:jc w:val="both"/>
      <w:textAlignment w:val="baseline"/>
    </w:pPr>
    <w:rPr>
      <w:rFonts w:ascii="Minion Pro" w:eastAsia="Times New Roman" w:hAnsi="Minion Pro" w:cs="Times New Roman"/>
      <w:noProof/>
      <w:sz w:val="20"/>
      <w:szCs w:val="20"/>
    </w:rPr>
  </w:style>
  <w:style w:type="character" w:styleId="EndnoteReference">
    <w:name w:val="endnote reference"/>
    <w:rsid w:val="00B806A4"/>
    <w:rPr>
      <w:vertAlign w:val="superscript"/>
    </w:rPr>
  </w:style>
  <w:style w:type="paragraph" w:customStyle="1" w:styleId="PC">
    <w:name w:val="PC"/>
    <w:rsid w:val="005429F2"/>
    <w:pPr>
      <w:tabs>
        <w:tab w:val="left" w:pos="720"/>
      </w:tabs>
      <w:overflowPunct w:val="0"/>
      <w:autoSpaceDE w:val="0"/>
      <w:autoSpaceDN w:val="0"/>
      <w:adjustRightInd w:val="0"/>
      <w:spacing w:after="240" w:line="240" w:lineRule="auto"/>
      <w:ind w:left="720" w:hanging="360"/>
      <w:jc w:val="both"/>
      <w:textAlignment w:val="baseline"/>
    </w:pPr>
    <w:rPr>
      <w:rFonts w:ascii="Minion Pro" w:eastAsia="Times New Roman" w:hAnsi="Minion Pro" w:cs="Times New Roman"/>
      <w:noProof/>
      <w:sz w:val="20"/>
      <w:szCs w:val="20"/>
    </w:rPr>
  </w:style>
  <w:style w:type="paragraph" w:customStyle="1" w:styleId="PQ">
    <w:name w:val="PQ"/>
    <w:rsid w:val="005429F2"/>
    <w:pPr>
      <w:tabs>
        <w:tab w:val="left" w:pos="432"/>
      </w:tabs>
      <w:overflowPunct w:val="0"/>
      <w:autoSpaceDE w:val="0"/>
      <w:autoSpaceDN w:val="0"/>
      <w:adjustRightInd w:val="0"/>
      <w:spacing w:after="0" w:line="240" w:lineRule="auto"/>
      <w:ind w:left="432" w:hanging="432"/>
      <w:jc w:val="both"/>
      <w:textAlignment w:val="baseline"/>
    </w:pPr>
    <w:rPr>
      <w:rFonts w:ascii="Minion Pro" w:eastAsia="Times New Roman" w:hAnsi="Minion Pro" w:cs="Times New Roman"/>
      <w:noProof/>
      <w:sz w:val="16"/>
      <w:szCs w:val="20"/>
    </w:rPr>
  </w:style>
  <w:style w:type="paragraph" w:customStyle="1" w:styleId="PCB">
    <w:name w:val="PCB"/>
    <w:rsid w:val="005429F2"/>
    <w:pPr>
      <w:numPr>
        <w:numId w:val="2"/>
      </w:numPr>
      <w:tabs>
        <w:tab w:val="left" w:pos="864"/>
      </w:tabs>
      <w:spacing w:after="240" w:line="240" w:lineRule="auto"/>
      <w:jc w:val="both"/>
    </w:pPr>
    <w:rPr>
      <w:rFonts w:ascii="Minion Pro" w:eastAsia="Times New Roman" w:hAnsi="Minion Pro" w:cs="Times New Roman"/>
      <w:sz w:val="20"/>
      <w:szCs w:val="20"/>
    </w:rPr>
  </w:style>
  <w:style w:type="paragraph" w:customStyle="1" w:styleId="PP">
    <w:name w:val="PP"/>
    <w:basedOn w:val="PA"/>
    <w:qFormat/>
    <w:rsid w:val="00981C39"/>
    <w:pPr>
      <w:pBdr>
        <w:top w:val="single" w:sz="4" w:space="1" w:color="auto"/>
        <w:left w:val="single" w:sz="4" w:space="4" w:color="auto"/>
        <w:bottom w:val="single" w:sz="4" w:space="1" w:color="auto"/>
        <w:right w:val="single" w:sz="4" w:space="4" w:color="auto"/>
      </w:pBdr>
      <w:ind w:firstLine="0"/>
      <w:textAlignment w:val="auto"/>
    </w:pPr>
    <w:rPr>
      <w:rFonts w:ascii="Calibri" w:hAnsi="Calibri"/>
    </w:rPr>
  </w:style>
  <w:style w:type="paragraph" w:customStyle="1" w:styleId="PG">
    <w:name w:val="PG"/>
    <w:rsid w:val="00173BA1"/>
    <w:pPr>
      <w:overflowPunct w:val="0"/>
      <w:autoSpaceDE w:val="0"/>
      <w:autoSpaceDN w:val="0"/>
      <w:adjustRightInd w:val="0"/>
      <w:spacing w:after="240" w:line="240" w:lineRule="auto"/>
      <w:ind w:left="432"/>
      <w:jc w:val="both"/>
      <w:textAlignment w:val="baseline"/>
    </w:pPr>
    <w:rPr>
      <w:rFonts w:ascii="Minion Pro" w:eastAsia="Times New Roman" w:hAnsi="Minion Pro" w:cs="Times New Roman"/>
      <w:noProof/>
      <w:sz w:val="20"/>
      <w:szCs w:val="20"/>
    </w:rPr>
  </w:style>
  <w:style w:type="paragraph" w:customStyle="1" w:styleId="HD">
    <w:name w:val="HD"/>
    <w:rsid w:val="00173BA1"/>
    <w:pPr>
      <w:overflowPunct w:val="0"/>
      <w:autoSpaceDE w:val="0"/>
      <w:autoSpaceDN w:val="0"/>
      <w:adjustRightInd w:val="0"/>
      <w:spacing w:after="240" w:line="240" w:lineRule="auto"/>
      <w:jc w:val="center"/>
      <w:textAlignment w:val="baseline"/>
    </w:pPr>
    <w:rPr>
      <w:rFonts w:ascii="Arial" w:eastAsia="Times New Roman" w:hAnsi="Arial" w:cs="Times New Roman"/>
      <w:b/>
      <w:noProof/>
      <w:szCs w:val="20"/>
    </w:rPr>
  </w:style>
  <w:style w:type="paragraph" w:customStyle="1" w:styleId="HE">
    <w:name w:val="HE"/>
    <w:rsid w:val="00173BA1"/>
    <w:pPr>
      <w:overflowPunct w:val="0"/>
      <w:autoSpaceDE w:val="0"/>
      <w:autoSpaceDN w:val="0"/>
      <w:adjustRightInd w:val="0"/>
      <w:spacing w:after="240" w:line="240" w:lineRule="auto"/>
      <w:jc w:val="center"/>
      <w:textAlignment w:val="baseline"/>
    </w:pPr>
    <w:rPr>
      <w:rFonts w:ascii="Times New Roman" w:eastAsia="Times New Roman" w:hAnsi="Times New Roman" w:cs="Times New Roman"/>
      <w:b/>
      <w:bCs/>
      <w:noProof/>
      <w:sz w:val="20"/>
      <w:szCs w:val="20"/>
    </w:rPr>
  </w:style>
  <w:style w:type="character" w:customStyle="1" w:styleId="st1">
    <w:name w:val="st1"/>
    <w:basedOn w:val="DefaultParagraphFont"/>
    <w:rsid w:val="00305461"/>
  </w:style>
  <w:style w:type="paragraph" w:customStyle="1" w:styleId="NoParagraphStyle">
    <w:name w:val="[No Paragraph Style]"/>
    <w:rsid w:val="00305461"/>
    <w:pPr>
      <w:widowControl w:val="0"/>
      <w:autoSpaceDE w:val="0"/>
      <w:autoSpaceDN w:val="0"/>
      <w:adjustRightInd w:val="0"/>
      <w:spacing w:after="0" w:line="288" w:lineRule="auto"/>
      <w:textAlignment w:val="center"/>
    </w:pPr>
    <w:rPr>
      <w:rFonts w:ascii="Times LT Std Regular" w:eastAsia="Times New Roman" w:hAnsi="Times LT Std Regular" w:cs="Times LT Std Regular"/>
      <w:color w:val="000000"/>
      <w:sz w:val="24"/>
      <w:szCs w:val="24"/>
    </w:rPr>
  </w:style>
  <w:style w:type="paragraph" w:customStyle="1" w:styleId="TableHead">
    <w:name w:val="Table Head"/>
    <w:basedOn w:val="NoParagraphStyle"/>
    <w:uiPriority w:val="99"/>
    <w:rsid w:val="00305461"/>
    <w:pPr>
      <w:suppressAutoHyphens/>
    </w:pPr>
    <w:rPr>
      <w:rFonts w:ascii="Helvetica LT Std Bold Condensed" w:hAnsi="Helvetica LT Std Bold Condensed" w:cs="Helvetica LT Std Bold Condensed"/>
      <w:b/>
      <w:bCs/>
      <w:color w:val="FFFFFF"/>
      <w:sz w:val="20"/>
      <w:szCs w:val="20"/>
    </w:rPr>
  </w:style>
  <w:style w:type="paragraph" w:customStyle="1" w:styleId="HC">
    <w:name w:val="HC"/>
    <w:rsid w:val="00222EE7"/>
    <w:pPr>
      <w:overflowPunct w:val="0"/>
      <w:autoSpaceDE w:val="0"/>
      <w:autoSpaceDN w:val="0"/>
      <w:adjustRightInd w:val="0"/>
      <w:spacing w:after="240" w:line="240" w:lineRule="auto"/>
      <w:jc w:val="center"/>
      <w:textAlignment w:val="baseline"/>
    </w:pPr>
    <w:rPr>
      <w:rFonts w:ascii="Arial" w:eastAsia="Times New Roman" w:hAnsi="Arial" w:cs="Times New Roman"/>
      <w:b/>
      <w:noProof/>
      <w:sz w:val="24"/>
      <w:szCs w:val="20"/>
    </w:rPr>
  </w:style>
  <w:style w:type="paragraph" w:customStyle="1" w:styleId="PD">
    <w:name w:val="PD"/>
    <w:rsid w:val="00222EE7"/>
    <w:pPr>
      <w:overflowPunct w:val="0"/>
      <w:autoSpaceDE w:val="0"/>
      <w:autoSpaceDN w:val="0"/>
      <w:adjustRightInd w:val="0"/>
      <w:spacing w:after="240" w:line="240" w:lineRule="auto"/>
      <w:ind w:left="864" w:firstLine="432"/>
      <w:jc w:val="both"/>
      <w:textAlignment w:val="baseline"/>
    </w:pPr>
    <w:rPr>
      <w:rFonts w:ascii="Minion Pro" w:eastAsia="Times New Roman" w:hAnsi="Minion Pro" w:cs="Times New Roman"/>
      <w:noProof/>
      <w:sz w:val="20"/>
      <w:szCs w:val="20"/>
    </w:rPr>
  </w:style>
  <w:style w:type="paragraph" w:customStyle="1" w:styleId="table4col">
    <w:name w:val="table 4 col"/>
    <w:basedOn w:val="NoParagraphStyle"/>
    <w:next w:val="Normal"/>
    <w:uiPriority w:val="99"/>
    <w:rsid w:val="00F0794F"/>
    <w:pPr>
      <w:tabs>
        <w:tab w:val="left" w:pos="1440"/>
        <w:tab w:val="right" w:pos="3360"/>
        <w:tab w:val="left" w:pos="4020"/>
        <w:tab w:val="right" w:pos="6360"/>
      </w:tabs>
      <w:suppressAutoHyphens/>
      <w:spacing w:before="40" w:line="260" w:lineRule="atLeast"/>
    </w:pPr>
    <w:rPr>
      <w:rFonts w:ascii="Minion Pro" w:hAnsi="Minion Pro" w:cs="Minion Pro"/>
      <w:sz w:val="20"/>
      <w:szCs w:val="20"/>
    </w:rPr>
  </w:style>
  <w:style w:type="paragraph" w:customStyle="1" w:styleId="table4colfinal">
    <w:name w:val="table 4 col final"/>
    <w:basedOn w:val="NoParagraphStyle"/>
    <w:next w:val="table4col"/>
    <w:uiPriority w:val="99"/>
    <w:rsid w:val="00F0794F"/>
    <w:pPr>
      <w:tabs>
        <w:tab w:val="left" w:pos="1440"/>
        <w:tab w:val="right" w:pos="3360"/>
        <w:tab w:val="left" w:pos="4020"/>
        <w:tab w:val="right" w:pos="6360"/>
      </w:tabs>
      <w:suppressAutoHyphens/>
      <w:spacing w:before="40" w:after="240" w:line="260" w:lineRule="atLeast"/>
    </w:pPr>
    <w:rPr>
      <w:rFonts w:ascii="Minion Pro" w:hAnsi="Minion Pro" w:cs="Minion Pro"/>
      <w:sz w:val="20"/>
      <w:szCs w:val="20"/>
    </w:rPr>
  </w:style>
  <w:style w:type="paragraph" w:customStyle="1" w:styleId="PF">
    <w:name w:val="PF"/>
    <w:rsid w:val="00660780"/>
    <w:pPr>
      <w:tabs>
        <w:tab w:val="left" w:pos="1296"/>
      </w:tabs>
      <w:overflowPunct w:val="0"/>
      <w:autoSpaceDE w:val="0"/>
      <w:autoSpaceDN w:val="0"/>
      <w:adjustRightInd w:val="0"/>
      <w:spacing w:after="240" w:line="240" w:lineRule="auto"/>
      <w:ind w:left="1296" w:hanging="432"/>
      <w:jc w:val="both"/>
      <w:textAlignment w:val="baseline"/>
    </w:pPr>
    <w:rPr>
      <w:rFonts w:ascii="Minion Pro" w:eastAsia="Times New Roman" w:hAnsi="Minion Pro" w:cs="Times New Roman"/>
      <w:sz w:val="20"/>
      <w:szCs w:val="20"/>
    </w:rPr>
  </w:style>
  <w:style w:type="paragraph" w:customStyle="1" w:styleId="PK">
    <w:name w:val="PK"/>
    <w:rsid w:val="00660780"/>
    <w:pPr>
      <w:overflowPunct w:val="0"/>
      <w:autoSpaceDE w:val="0"/>
      <w:autoSpaceDN w:val="0"/>
      <w:adjustRightInd w:val="0"/>
      <w:spacing w:after="240" w:line="240" w:lineRule="auto"/>
      <w:ind w:left="432" w:firstLine="432"/>
      <w:jc w:val="both"/>
      <w:textAlignment w:val="baseline"/>
    </w:pPr>
    <w:rPr>
      <w:rFonts w:ascii="Minion Pro" w:eastAsia="Times New Roman" w:hAnsi="Minion Pro" w:cs="Times New Roman"/>
      <w:noProof/>
      <w:sz w:val="20"/>
      <w:szCs w:val="20"/>
    </w:rPr>
  </w:style>
  <w:style w:type="character" w:customStyle="1" w:styleId="text">
    <w:name w:val="text"/>
    <w:basedOn w:val="DefaultParagraphFont"/>
    <w:rsid w:val="002F0607"/>
  </w:style>
  <w:style w:type="paragraph" w:customStyle="1" w:styleId="PB">
    <w:name w:val="PB"/>
    <w:rsid w:val="00290B76"/>
    <w:pPr>
      <w:overflowPunct w:val="0"/>
      <w:autoSpaceDE w:val="0"/>
      <w:autoSpaceDN w:val="0"/>
      <w:adjustRightInd w:val="0"/>
      <w:spacing w:after="240" w:line="240" w:lineRule="auto"/>
      <w:jc w:val="both"/>
      <w:textAlignment w:val="baseline"/>
    </w:pPr>
    <w:rPr>
      <w:rFonts w:ascii="Minion Pro" w:eastAsia="Times New Roman" w:hAnsi="Minion Pro" w:cs="Times New Roman"/>
      <w:noProof/>
      <w:sz w:val="20"/>
      <w:szCs w:val="20"/>
    </w:rPr>
  </w:style>
  <w:style w:type="paragraph" w:customStyle="1" w:styleId="PE">
    <w:name w:val="PE"/>
    <w:rsid w:val="00290B76"/>
    <w:pPr>
      <w:overflowPunct w:val="0"/>
      <w:autoSpaceDE w:val="0"/>
      <w:autoSpaceDN w:val="0"/>
      <w:adjustRightInd w:val="0"/>
      <w:spacing w:after="240" w:line="240" w:lineRule="auto"/>
      <w:ind w:left="864"/>
      <w:jc w:val="both"/>
      <w:textAlignment w:val="baseline"/>
    </w:pPr>
    <w:rPr>
      <w:rFonts w:ascii="Minion Pro" w:eastAsia="Times New Roman" w:hAnsi="Minion Pro" w:cs="Times New Roman"/>
      <w:noProof/>
      <w:sz w:val="20"/>
      <w:szCs w:val="20"/>
    </w:rPr>
  </w:style>
  <w:style w:type="paragraph" w:styleId="NormalWeb">
    <w:name w:val="Normal (Web)"/>
    <w:basedOn w:val="Normal"/>
    <w:uiPriority w:val="99"/>
    <w:semiHidden/>
    <w:unhideWhenUsed/>
    <w:rsid w:val="004529CC"/>
    <w:pPr>
      <w:spacing w:before="225"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29CC"/>
    <w:rPr>
      <w:color w:val="0000FF" w:themeColor="hyperlink"/>
      <w:u w:val="single"/>
    </w:rPr>
  </w:style>
  <w:style w:type="paragraph" w:styleId="BalloonText">
    <w:name w:val="Balloon Text"/>
    <w:basedOn w:val="Normal"/>
    <w:link w:val="BalloonTextChar"/>
    <w:semiHidden/>
    <w:unhideWhenUsed/>
    <w:rsid w:val="00830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30DFE"/>
    <w:rPr>
      <w:rFonts w:ascii="Tahoma" w:eastAsiaTheme="minorEastAsia" w:hAnsi="Tahoma" w:cs="Tahoma"/>
      <w:sz w:val="16"/>
      <w:szCs w:val="16"/>
    </w:rPr>
  </w:style>
  <w:style w:type="character" w:customStyle="1" w:styleId="Heading1Char">
    <w:name w:val="Heading 1 Char"/>
    <w:basedOn w:val="DefaultParagraphFont"/>
    <w:link w:val="Heading1"/>
    <w:rsid w:val="00FF15EC"/>
    <w:rPr>
      <w:rFonts w:ascii="Minion Pro" w:eastAsia="Times New Roman" w:hAnsi="Minion Pro" w:cs="Times New Roman"/>
      <w:b/>
      <w:sz w:val="24"/>
      <w:szCs w:val="20"/>
    </w:rPr>
  </w:style>
  <w:style w:type="character" w:customStyle="1" w:styleId="Heading2Char">
    <w:name w:val="Heading 2 Char"/>
    <w:basedOn w:val="DefaultParagraphFont"/>
    <w:link w:val="Heading2"/>
    <w:semiHidden/>
    <w:rsid w:val="00FF15EC"/>
    <w:rPr>
      <w:rFonts w:ascii="Arial" w:eastAsia="Times New Roman" w:hAnsi="Arial" w:cs="Times New Roman"/>
      <w:b/>
      <w:i/>
      <w:sz w:val="28"/>
      <w:szCs w:val="20"/>
    </w:rPr>
  </w:style>
  <w:style w:type="character" w:customStyle="1" w:styleId="Heading3Char">
    <w:name w:val="Heading 3 Char"/>
    <w:basedOn w:val="DefaultParagraphFont"/>
    <w:link w:val="Heading3"/>
    <w:semiHidden/>
    <w:rsid w:val="00FF15EC"/>
    <w:rPr>
      <w:rFonts w:ascii="Minion Pro" w:eastAsia="Times New Roman" w:hAnsi="Minion Pro" w:cs="Times New Roman"/>
      <w:b/>
      <w:sz w:val="24"/>
      <w:szCs w:val="20"/>
    </w:rPr>
  </w:style>
  <w:style w:type="character" w:customStyle="1" w:styleId="Heading4Char">
    <w:name w:val="Heading 4 Char"/>
    <w:basedOn w:val="DefaultParagraphFont"/>
    <w:link w:val="Heading4"/>
    <w:semiHidden/>
    <w:rsid w:val="00FF15EC"/>
    <w:rPr>
      <w:rFonts w:ascii="Minion Pro" w:eastAsia="Times New Roman" w:hAnsi="Minion Pro" w:cs="Times New Roman"/>
      <w:b/>
      <w:sz w:val="24"/>
      <w:szCs w:val="20"/>
    </w:rPr>
  </w:style>
  <w:style w:type="paragraph" w:styleId="FootnoteText">
    <w:name w:val="footnote text"/>
    <w:basedOn w:val="Normal"/>
    <w:link w:val="FootnoteTextChar"/>
    <w:semiHidden/>
    <w:unhideWhenUsed/>
    <w:rsid w:val="00FF15EC"/>
    <w:pPr>
      <w:overflowPunct w:val="0"/>
      <w:autoSpaceDE w:val="0"/>
      <w:autoSpaceDN w:val="0"/>
      <w:adjustRightInd w:val="0"/>
      <w:spacing w:after="0" w:line="240" w:lineRule="auto"/>
      <w:jc w:val="both"/>
    </w:pPr>
    <w:rPr>
      <w:rFonts w:ascii="Minion Pro" w:eastAsia="Times New Roman" w:hAnsi="Minion Pro" w:cs="Times New Roman"/>
      <w:sz w:val="20"/>
      <w:szCs w:val="20"/>
    </w:rPr>
  </w:style>
  <w:style w:type="character" w:customStyle="1" w:styleId="FootnoteTextChar">
    <w:name w:val="Footnote Text Char"/>
    <w:basedOn w:val="DefaultParagraphFont"/>
    <w:link w:val="FootnoteText"/>
    <w:semiHidden/>
    <w:rsid w:val="00FF15EC"/>
    <w:rPr>
      <w:rFonts w:ascii="Minion Pro" w:eastAsia="Times New Roman" w:hAnsi="Minion Pro" w:cs="Times New Roman"/>
      <w:sz w:val="20"/>
      <w:szCs w:val="20"/>
    </w:rPr>
  </w:style>
  <w:style w:type="paragraph" w:styleId="CommentText">
    <w:name w:val="annotation text"/>
    <w:basedOn w:val="Normal"/>
    <w:link w:val="CommentTextChar"/>
    <w:semiHidden/>
    <w:unhideWhenUsed/>
    <w:rsid w:val="00FF15EC"/>
    <w:pPr>
      <w:overflowPunct w:val="0"/>
      <w:autoSpaceDE w:val="0"/>
      <w:autoSpaceDN w:val="0"/>
      <w:adjustRightInd w:val="0"/>
      <w:spacing w:after="0" w:line="240" w:lineRule="auto"/>
    </w:pPr>
    <w:rPr>
      <w:rFonts w:ascii="Minion Pro" w:eastAsia="Times New Roman" w:hAnsi="Minion Pro" w:cs="Times New Roman"/>
      <w:sz w:val="20"/>
      <w:szCs w:val="20"/>
    </w:rPr>
  </w:style>
  <w:style w:type="character" w:customStyle="1" w:styleId="CommentTextChar">
    <w:name w:val="Comment Text Char"/>
    <w:basedOn w:val="DefaultParagraphFont"/>
    <w:link w:val="CommentText"/>
    <w:semiHidden/>
    <w:rsid w:val="00FF15EC"/>
    <w:rPr>
      <w:rFonts w:ascii="Minion Pro" w:eastAsia="Times New Roman" w:hAnsi="Minion Pro" w:cs="Times New Roman"/>
      <w:sz w:val="20"/>
      <w:szCs w:val="20"/>
    </w:rPr>
  </w:style>
  <w:style w:type="paragraph" w:styleId="EndnoteText">
    <w:name w:val="endnote text"/>
    <w:basedOn w:val="Normal"/>
    <w:link w:val="EndnoteTextChar"/>
    <w:semiHidden/>
    <w:unhideWhenUsed/>
    <w:rsid w:val="00FF15EC"/>
    <w:pPr>
      <w:overflowPunct w:val="0"/>
      <w:autoSpaceDE w:val="0"/>
      <w:autoSpaceDN w:val="0"/>
      <w:adjustRightInd w:val="0"/>
      <w:spacing w:after="0" w:line="240" w:lineRule="auto"/>
    </w:pPr>
    <w:rPr>
      <w:rFonts w:ascii="Minion Pro" w:eastAsia="Times New Roman" w:hAnsi="Minion Pro" w:cs="Times New Roman"/>
      <w:sz w:val="20"/>
      <w:szCs w:val="20"/>
    </w:rPr>
  </w:style>
  <w:style w:type="character" w:customStyle="1" w:styleId="EndnoteTextChar">
    <w:name w:val="Endnote Text Char"/>
    <w:basedOn w:val="DefaultParagraphFont"/>
    <w:link w:val="EndnoteText"/>
    <w:semiHidden/>
    <w:rsid w:val="00FF15EC"/>
    <w:rPr>
      <w:rFonts w:ascii="Minion Pro" w:eastAsia="Times New Roman" w:hAnsi="Minion Pro" w:cs="Times New Roman"/>
      <w:sz w:val="20"/>
      <w:szCs w:val="20"/>
    </w:rPr>
  </w:style>
  <w:style w:type="paragraph" w:styleId="CommentSubject">
    <w:name w:val="annotation subject"/>
    <w:basedOn w:val="CommentText"/>
    <w:next w:val="CommentText"/>
    <w:link w:val="CommentSubjectChar"/>
    <w:semiHidden/>
    <w:unhideWhenUsed/>
    <w:rsid w:val="00FF15EC"/>
    <w:rPr>
      <w:b/>
      <w:bCs/>
    </w:rPr>
  </w:style>
  <w:style w:type="character" w:customStyle="1" w:styleId="CommentSubjectChar">
    <w:name w:val="Comment Subject Char"/>
    <w:basedOn w:val="CommentTextChar"/>
    <w:link w:val="CommentSubject"/>
    <w:semiHidden/>
    <w:rsid w:val="00FF15EC"/>
    <w:rPr>
      <w:rFonts w:ascii="Minion Pro" w:eastAsia="Times New Roman" w:hAnsi="Minion Pro" w:cs="Times New Roman"/>
      <w:b/>
      <w:bCs/>
      <w:sz w:val="20"/>
      <w:szCs w:val="20"/>
    </w:rPr>
  </w:style>
  <w:style w:type="paragraph" w:customStyle="1" w:styleId="OUTLINE1">
    <w:name w:val="OUTLINE1"/>
    <w:rsid w:val="00FF15EC"/>
    <w:pPr>
      <w:spacing w:after="120" w:line="240" w:lineRule="auto"/>
    </w:pPr>
    <w:rPr>
      <w:rFonts w:ascii="Arial" w:eastAsia="Times New Roman" w:hAnsi="Arial" w:cs="Times New Roman"/>
      <w:noProof/>
      <w:sz w:val="20"/>
      <w:szCs w:val="20"/>
    </w:rPr>
  </w:style>
  <w:style w:type="paragraph" w:customStyle="1" w:styleId="OUTLINE2">
    <w:name w:val="OUTLINE2"/>
    <w:rsid w:val="00FF15EC"/>
    <w:pPr>
      <w:spacing w:after="120" w:line="240" w:lineRule="auto"/>
      <w:ind w:left="432"/>
    </w:pPr>
    <w:rPr>
      <w:rFonts w:ascii="Arial" w:eastAsia="Times New Roman" w:hAnsi="Arial" w:cs="Times New Roman"/>
      <w:noProof/>
      <w:sz w:val="20"/>
      <w:szCs w:val="20"/>
    </w:rPr>
  </w:style>
  <w:style w:type="paragraph" w:customStyle="1" w:styleId="Extract">
    <w:name w:val="Extract"/>
    <w:basedOn w:val="Normal"/>
    <w:uiPriority w:val="99"/>
    <w:rsid w:val="00FF15EC"/>
    <w:pPr>
      <w:suppressAutoHyphens/>
      <w:overflowPunct w:val="0"/>
      <w:autoSpaceDE w:val="0"/>
      <w:autoSpaceDN w:val="0"/>
      <w:adjustRightInd w:val="0"/>
      <w:spacing w:before="120" w:after="0" w:line="280" w:lineRule="atLeast"/>
      <w:ind w:left="360"/>
      <w:jc w:val="both"/>
    </w:pPr>
    <w:rPr>
      <w:rFonts w:ascii="Minion Pro" w:eastAsia="Times New Roman" w:hAnsi="Minion Pro" w:cs="Minion Pro"/>
      <w:sz w:val="24"/>
      <w:szCs w:val="24"/>
    </w:rPr>
  </w:style>
  <w:style w:type="paragraph" w:customStyle="1" w:styleId="TableBody">
    <w:name w:val="Table Body"/>
    <w:basedOn w:val="NoParagraphStyle"/>
    <w:uiPriority w:val="99"/>
    <w:rsid w:val="00FF15EC"/>
    <w:pPr>
      <w:suppressAutoHyphens/>
      <w:textAlignment w:val="auto"/>
    </w:pPr>
    <w:rPr>
      <w:rFonts w:ascii="Helvetica LT Std Condensed" w:hAnsi="Helvetica LT Std Condensed" w:cs="Helvetica LT Std Condensed"/>
      <w:sz w:val="20"/>
      <w:szCs w:val="20"/>
    </w:rPr>
  </w:style>
  <w:style w:type="paragraph" w:customStyle="1" w:styleId="HB">
    <w:name w:val="HB"/>
    <w:rsid w:val="00FF15EC"/>
    <w:pPr>
      <w:overflowPunct w:val="0"/>
      <w:autoSpaceDE w:val="0"/>
      <w:autoSpaceDN w:val="0"/>
      <w:adjustRightInd w:val="0"/>
      <w:spacing w:after="240" w:line="240" w:lineRule="auto"/>
      <w:jc w:val="center"/>
    </w:pPr>
    <w:rPr>
      <w:rFonts w:ascii="Arial" w:eastAsia="Times New Roman" w:hAnsi="Arial" w:cs="Times New Roman"/>
      <w:b/>
      <w:noProof/>
      <w:sz w:val="28"/>
      <w:szCs w:val="20"/>
    </w:rPr>
  </w:style>
  <w:style w:type="paragraph" w:customStyle="1" w:styleId="HA">
    <w:name w:val="HA"/>
    <w:rsid w:val="00FF15EC"/>
    <w:pPr>
      <w:overflowPunct w:val="0"/>
      <w:autoSpaceDE w:val="0"/>
      <w:autoSpaceDN w:val="0"/>
      <w:adjustRightInd w:val="0"/>
      <w:spacing w:after="120" w:line="240" w:lineRule="auto"/>
      <w:jc w:val="center"/>
    </w:pPr>
    <w:rPr>
      <w:rFonts w:ascii="Times New Roman" w:eastAsia="Times New Roman" w:hAnsi="Times New Roman" w:cs="Times New Roman"/>
      <w:b/>
      <w:noProof/>
      <w:sz w:val="36"/>
      <w:szCs w:val="20"/>
    </w:rPr>
  </w:style>
  <w:style w:type="paragraph" w:customStyle="1" w:styleId="PH">
    <w:name w:val="PH"/>
    <w:rsid w:val="00FF15EC"/>
    <w:pPr>
      <w:tabs>
        <w:tab w:val="left" w:pos="432"/>
      </w:tabs>
      <w:overflowPunct w:val="0"/>
      <w:autoSpaceDE w:val="0"/>
      <w:autoSpaceDN w:val="0"/>
      <w:adjustRightInd w:val="0"/>
      <w:spacing w:after="240" w:line="240" w:lineRule="auto"/>
      <w:ind w:left="450" w:hanging="450"/>
      <w:jc w:val="both"/>
    </w:pPr>
    <w:rPr>
      <w:rFonts w:ascii="Minion Pro" w:eastAsia="MS Mincho" w:hAnsi="Minion Pro" w:cs="Times New Roman"/>
      <w:sz w:val="20"/>
      <w:szCs w:val="20"/>
    </w:rPr>
  </w:style>
  <w:style w:type="paragraph" w:customStyle="1" w:styleId="PI">
    <w:name w:val="PI"/>
    <w:rsid w:val="00FF15EC"/>
    <w:pPr>
      <w:overflowPunct w:val="0"/>
      <w:autoSpaceDE w:val="0"/>
      <w:autoSpaceDN w:val="0"/>
      <w:adjustRightInd w:val="0"/>
      <w:spacing w:after="240" w:line="240" w:lineRule="auto"/>
      <w:ind w:left="432" w:hanging="432"/>
      <w:jc w:val="both"/>
    </w:pPr>
    <w:rPr>
      <w:rFonts w:ascii="Minion Pro" w:eastAsia="Times New Roman" w:hAnsi="Minion Pro" w:cs="Times New Roman"/>
      <w:noProof/>
      <w:sz w:val="20"/>
      <w:szCs w:val="20"/>
    </w:rPr>
  </w:style>
  <w:style w:type="paragraph" w:customStyle="1" w:styleId="PR">
    <w:name w:val="PR"/>
    <w:rsid w:val="00FF15EC"/>
    <w:pPr>
      <w:overflowPunct w:val="0"/>
      <w:autoSpaceDE w:val="0"/>
      <w:autoSpaceDN w:val="0"/>
      <w:adjustRightInd w:val="0"/>
      <w:spacing w:after="0" w:line="240" w:lineRule="auto"/>
      <w:ind w:left="432" w:firstLine="432"/>
      <w:jc w:val="both"/>
    </w:pPr>
    <w:rPr>
      <w:rFonts w:ascii="Minion Pro" w:eastAsia="Times New Roman" w:hAnsi="Minion Pro" w:cs="Times New Roman"/>
      <w:noProof/>
      <w:sz w:val="16"/>
      <w:szCs w:val="20"/>
    </w:rPr>
  </w:style>
  <w:style w:type="paragraph" w:customStyle="1" w:styleId="PL">
    <w:name w:val="PL"/>
    <w:rsid w:val="00FF15EC"/>
    <w:pPr>
      <w:overflowPunct w:val="0"/>
      <w:autoSpaceDE w:val="0"/>
      <w:autoSpaceDN w:val="0"/>
      <w:adjustRightInd w:val="0"/>
      <w:spacing w:after="240" w:line="240" w:lineRule="auto"/>
      <w:jc w:val="right"/>
    </w:pPr>
    <w:rPr>
      <w:rFonts w:ascii="Minion Pro" w:eastAsia="Times New Roman" w:hAnsi="Minion Pro" w:cs="Times New Roman"/>
      <w:sz w:val="16"/>
      <w:szCs w:val="20"/>
    </w:rPr>
  </w:style>
  <w:style w:type="paragraph" w:customStyle="1" w:styleId="EXHIBIT">
    <w:name w:val="EXHIBIT"/>
    <w:rsid w:val="00FF15EC"/>
    <w:pPr>
      <w:overflowPunct w:val="0"/>
      <w:autoSpaceDE w:val="0"/>
      <w:autoSpaceDN w:val="0"/>
      <w:adjustRightInd w:val="0"/>
      <w:spacing w:after="0" w:line="240" w:lineRule="auto"/>
    </w:pPr>
    <w:rPr>
      <w:rFonts w:ascii="Times New Roman" w:eastAsia="Times New Roman" w:hAnsi="Times New Roman" w:cs="Times New Roman"/>
      <w:sz w:val="16"/>
      <w:szCs w:val="20"/>
    </w:rPr>
  </w:style>
  <w:style w:type="paragraph" w:customStyle="1" w:styleId="FIGURE">
    <w:name w:val="FIGURE"/>
    <w:rsid w:val="00FF15EC"/>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TOC">
    <w:name w:val="TOC"/>
    <w:rsid w:val="00FF15EC"/>
    <w:pPr>
      <w:tabs>
        <w:tab w:val="left" w:pos="360"/>
        <w:tab w:val="left" w:pos="720"/>
        <w:tab w:val="right" w:leader="dot" w:pos="9360"/>
      </w:tabs>
      <w:overflowPunct w:val="0"/>
      <w:autoSpaceDE w:val="0"/>
      <w:autoSpaceDN w:val="0"/>
      <w:adjustRightInd w:val="0"/>
      <w:spacing w:after="60" w:line="240" w:lineRule="auto"/>
      <w:ind w:left="360" w:hanging="360"/>
    </w:pPr>
    <w:rPr>
      <w:rFonts w:ascii="Minion Pro" w:eastAsia="Times New Roman" w:hAnsi="Minion Pro" w:cs="Times New Roman"/>
      <w:sz w:val="20"/>
      <w:szCs w:val="20"/>
    </w:rPr>
  </w:style>
  <w:style w:type="paragraph" w:customStyle="1" w:styleId="Index">
    <w:name w:val="Index"/>
    <w:basedOn w:val="PB"/>
    <w:rsid w:val="00FF15EC"/>
    <w:pPr>
      <w:tabs>
        <w:tab w:val="left" w:pos="288"/>
        <w:tab w:val="right" w:leader="dot" w:pos="4320"/>
      </w:tabs>
      <w:spacing w:after="0"/>
      <w:textAlignment w:val="auto"/>
    </w:pPr>
  </w:style>
  <w:style w:type="paragraph" w:customStyle="1" w:styleId="Callout">
    <w:name w:val="Callout"/>
    <w:rsid w:val="00FF15EC"/>
    <w:pPr>
      <w:pBdr>
        <w:top w:val="single" w:sz="6" w:space="1" w:color="auto"/>
        <w:left w:val="single" w:sz="6" w:space="4" w:color="auto"/>
        <w:bottom w:val="single" w:sz="6" w:space="1" w:color="auto"/>
        <w:right w:val="single" w:sz="6" w:space="4" w:color="auto"/>
      </w:pBdr>
      <w:overflowPunct w:val="0"/>
      <w:autoSpaceDE w:val="0"/>
      <w:autoSpaceDN w:val="0"/>
      <w:adjustRightInd w:val="0"/>
      <w:spacing w:after="240" w:line="240" w:lineRule="auto"/>
      <w:jc w:val="both"/>
    </w:pPr>
    <w:rPr>
      <w:rFonts w:ascii="Arial" w:eastAsia="Times New Roman" w:hAnsi="Arial" w:cs="Times New Roman"/>
      <w:sz w:val="20"/>
      <w:szCs w:val="20"/>
    </w:rPr>
  </w:style>
  <w:style w:type="paragraph" w:customStyle="1" w:styleId="OUTLINE3">
    <w:name w:val="OUTLINE3"/>
    <w:rsid w:val="00FF15EC"/>
    <w:pPr>
      <w:spacing w:after="120" w:line="240" w:lineRule="auto"/>
      <w:ind w:left="864"/>
    </w:pPr>
    <w:rPr>
      <w:rFonts w:ascii="Arial" w:eastAsia="Times New Roman" w:hAnsi="Arial" w:cs="Times New Roman"/>
      <w:noProof/>
      <w:sz w:val="20"/>
      <w:szCs w:val="20"/>
    </w:rPr>
  </w:style>
  <w:style w:type="paragraph" w:customStyle="1" w:styleId="PFB">
    <w:name w:val="PFB"/>
    <w:rsid w:val="00FF15EC"/>
    <w:pPr>
      <w:numPr>
        <w:numId w:val="3"/>
      </w:numPr>
      <w:tabs>
        <w:tab w:val="left" w:pos="1296"/>
      </w:tabs>
      <w:spacing w:after="240" w:line="240" w:lineRule="auto"/>
      <w:jc w:val="both"/>
    </w:pPr>
    <w:rPr>
      <w:rFonts w:ascii="Minion Pro" w:eastAsia="Times New Roman" w:hAnsi="Minion Pro" w:cs="Times New Roman"/>
      <w:sz w:val="20"/>
      <w:szCs w:val="20"/>
    </w:rPr>
  </w:style>
  <w:style w:type="paragraph" w:customStyle="1" w:styleId="PHB">
    <w:name w:val="PHB"/>
    <w:rsid w:val="00FF15EC"/>
    <w:pPr>
      <w:numPr>
        <w:numId w:val="4"/>
      </w:numPr>
      <w:tabs>
        <w:tab w:val="left" w:pos="432"/>
      </w:tabs>
      <w:spacing w:after="240" w:line="240" w:lineRule="auto"/>
      <w:jc w:val="both"/>
    </w:pPr>
    <w:rPr>
      <w:rFonts w:ascii="Minion Pro" w:eastAsia="Times New Roman" w:hAnsi="Minion Pro" w:cs="Times New Roman"/>
      <w:sz w:val="20"/>
      <w:szCs w:val="20"/>
    </w:rPr>
  </w:style>
  <w:style w:type="paragraph" w:customStyle="1" w:styleId="IndexHeadC">
    <w:name w:val="IndexHeadC"/>
    <w:rsid w:val="00FF15EC"/>
    <w:pPr>
      <w:spacing w:before="240" w:after="120" w:line="240" w:lineRule="auto"/>
      <w:ind w:right="5040"/>
      <w:jc w:val="center"/>
    </w:pPr>
    <w:rPr>
      <w:rFonts w:ascii="Times New Roman" w:eastAsia="Times New Roman" w:hAnsi="Times New Roman" w:cs="Times New Roman"/>
      <w:b/>
      <w:noProof/>
      <w:sz w:val="20"/>
      <w:szCs w:val="20"/>
    </w:rPr>
  </w:style>
  <w:style w:type="character" w:styleId="FootnoteReference">
    <w:name w:val="footnote reference"/>
    <w:semiHidden/>
    <w:unhideWhenUsed/>
    <w:rsid w:val="00FF15EC"/>
    <w:rPr>
      <w:vertAlign w:val="superscript"/>
    </w:rPr>
  </w:style>
  <w:style w:type="character" w:styleId="CommentReference">
    <w:name w:val="annotation reference"/>
    <w:semiHidden/>
    <w:unhideWhenUsed/>
    <w:rsid w:val="00FF15EC"/>
    <w:rPr>
      <w:sz w:val="16"/>
    </w:rPr>
  </w:style>
  <w:style w:type="paragraph" w:customStyle="1" w:styleId="Default">
    <w:name w:val="Default"/>
    <w:rsid w:val="00223E42"/>
    <w:pPr>
      <w:autoSpaceDE w:val="0"/>
      <w:autoSpaceDN w:val="0"/>
      <w:adjustRightInd w:val="0"/>
      <w:spacing w:after="0" w:line="240" w:lineRule="auto"/>
    </w:pPr>
    <w:rPr>
      <w:rFonts w:ascii="Helvetica World" w:hAnsi="Helvetica World" w:cs="Helvetica World"/>
      <w:color w:val="000000"/>
      <w:sz w:val="24"/>
      <w:szCs w:val="24"/>
    </w:rPr>
  </w:style>
  <w:style w:type="paragraph" w:customStyle="1" w:styleId="Table6colhead">
    <w:name w:val="Table 6 col head"/>
    <w:basedOn w:val="NoParagraphStyle"/>
    <w:next w:val="Normal"/>
    <w:uiPriority w:val="99"/>
    <w:rsid w:val="00554888"/>
    <w:pPr>
      <w:tabs>
        <w:tab w:val="center" w:pos="1860"/>
        <w:tab w:val="center" w:pos="2820"/>
        <w:tab w:val="center" w:pos="3960"/>
        <w:tab w:val="center" w:pos="5280"/>
        <w:tab w:val="center" w:pos="6540"/>
      </w:tabs>
      <w:suppressAutoHyphens/>
      <w:spacing w:before="480" w:after="120" w:line="260" w:lineRule="atLeast"/>
    </w:pPr>
    <w:rPr>
      <w:rFonts w:ascii="Times Italic" w:hAnsi="Times Italic" w:cs="Times Italic"/>
      <w:i/>
      <w:iCs/>
      <w:sz w:val="20"/>
      <w:szCs w:val="20"/>
    </w:rPr>
  </w:style>
  <w:style w:type="paragraph" w:customStyle="1" w:styleId="table6coltext">
    <w:name w:val="table 6 col text"/>
    <w:basedOn w:val="NoParagraphStyle"/>
    <w:next w:val="table4col"/>
    <w:uiPriority w:val="99"/>
    <w:rsid w:val="00554888"/>
    <w:pPr>
      <w:tabs>
        <w:tab w:val="right" w:pos="2100"/>
        <w:tab w:val="right" w:pos="2880"/>
        <w:tab w:val="right" w:pos="4380"/>
        <w:tab w:val="right" w:pos="5640"/>
        <w:tab w:val="right" w:pos="6780"/>
      </w:tabs>
      <w:suppressAutoHyphens/>
      <w:spacing w:before="40" w:line="260" w:lineRule="atLeast"/>
    </w:pPr>
    <w:rPr>
      <w:rFonts w:ascii="Minion Pro" w:hAnsi="Minion Pro" w:cs="Minion Pro"/>
      <w:sz w:val="20"/>
      <w:szCs w:val="20"/>
    </w:rPr>
  </w:style>
  <w:style w:type="paragraph" w:customStyle="1" w:styleId="table6coltextfinal">
    <w:name w:val="table 6 col text final"/>
    <w:basedOn w:val="NoParagraphStyle"/>
    <w:next w:val="table6coltext"/>
    <w:uiPriority w:val="99"/>
    <w:rsid w:val="00554888"/>
    <w:pPr>
      <w:tabs>
        <w:tab w:val="right" w:pos="2100"/>
        <w:tab w:val="right" w:pos="2880"/>
        <w:tab w:val="right" w:pos="4380"/>
        <w:tab w:val="right" w:pos="5640"/>
        <w:tab w:val="right" w:pos="6780"/>
      </w:tabs>
      <w:suppressAutoHyphens/>
      <w:spacing w:before="40" w:after="240" w:line="260" w:lineRule="atLeast"/>
    </w:pPr>
    <w:rPr>
      <w:rFonts w:ascii="Minion Pro" w:hAnsi="Minion Pro" w:cs="Minion Pro"/>
      <w:sz w:val="20"/>
      <w:szCs w:val="20"/>
    </w:rPr>
  </w:style>
  <w:style w:type="paragraph" w:customStyle="1" w:styleId="Pa1">
    <w:name w:val="Pa1"/>
    <w:basedOn w:val="Default"/>
    <w:next w:val="Default"/>
    <w:uiPriority w:val="99"/>
    <w:rsid w:val="00B30E3D"/>
    <w:pPr>
      <w:spacing w:line="161" w:lineRule="atLeast"/>
    </w:pPr>
    <w:rPr>
      <w:rFonts w:ascii="Meta Normal LF" w:hAnsi="Meta Normal LF" w:cstheme="minorBidi"/>
      <w:color w:val="auto"/>
    </w:rPr>
  </w:style>
  <w:style w:type="character" w:customStyle="1" w:styleId="st">
    <w:name w:val="st"/>
    <w:basedOn w:val="DefaultParagraphFont"/>
    <w:rsid w:val="001A4B94"/>
  </w:style>
  <w:style w:type="character" w:styleId="Strong">
    <w:name w:val="Strong"/>
    <w:basedOn w:val="DefaultParagraphFont"/>
    <w:uiPriority w:val="22"/>
    <w:qFormat/>
    <w:rsid w:val="006238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9353">
      <w:bodyDiv w:val="1"/>
      <w:marLeft w:val="0"/>
      <w:marRight w:val="0"/>
      <w:marTop w:val="0"/>
      <w:marBottom w:val="0"/>
      <w:divBdr>
        <w:top w:val="none" w:sz="0" w:space="0" w:color="auto"/>
        <w:left w:val="none" w:sz="0" w:space="0" w:color="auto"/>
        <w:bottom w:val="none" w:sz="0" w:space="0" w:color="auto"/>
        <w:right w:val="none" w:sz="0" w:space="0" w:color="auto"/>
      </w:divBdr>
      <w:divsChild>
        <w:div w:id="716323400">
          <w:marLeft w:val="0"/>
          <w:marRight w:val="0"/>
          <w:marTop w:val="0"/>
          <w:marBottom w:val="0"/>
          <w:divBdr>
            <w:top w:val="none" w:sz="0" w:space="0" w:color="auto"/>
            <w:left w:val="none" w:sz="0" w:space="0" w:color="auto"/>
            <w:bottom w:val="none" w:sz="0" w:space="0" w:color="auto"/>
            <w:right w:val="none" w:sz="0" w:space="0" w:color="auto"/>
          </w:divBdr>
          <w:divsChild>
            <w:div w:id="789713542">
              <w:marLeft w:val="0"/>
              <w:marRight w:val="0"/>
              <w:marTop w:val="0"/>
              <w:marBottom w:val="0"/>
              <w:divBdr>
                <w:top w:val="none" w:sz="0" w:space="0" w:color="auto"/>
                <w:left w:val="none" w:sz="0" w:space="0" w:color="auto"/>
                <w:bottom w:val="none" w:sz="0" w:space="0" w:color="auto"/>
                <w:right w:val="none" w:sz="0" w:space="0" w:color="auto"/>
              </w:divBdr>
              <w:divsChild>
                <w:div w:id="239340272">
                  <w:marLeft w:val="3960"/>
                  <w:marRight w:val="240"/>
                  <w:marTop w:val="240"/>
                  <w:marBottom w:val="0"/>
                  <w:divBdr>
                    <w:top w:val="none" w:sz="0" w:space="0" w:color="auto"/>
                    <w:left w:val="none" w:sz="0" w:space="0" w:color="auto"/>
                    <w:bottom w:val="none" w:sz="0" w:space="0" w:color="auto"/>
                    <w:right w:val="none" w:sz="0" w:space="0" w:color="auto"/>
                  </w:divBdr>
                  <w:divsChild>
                    <w:div w:id="887642258">
                      <w:marLeft w:val="0"/>
                      <w:marRight w:val="0"/>
                      <w:marTop w:val="0"/>
                      <w:marBottom w:val="0"/>
                      <w:divBdr>
                        <w:top w:val="none" w:sz="0" w:space="0" w:color="auto"/>
                        <w:left w:val="none" w:sz="0" w:space="0" w:color="auto"/>
                        <w:bottom w:val="none" w:sz="0" w:space="0" w:color="auto"/>
                        <w:right w:val="none" w:sz="0" w:space="0" w:color="auto"/>
                      </w:divBdr>
                      <w:divsChild>
                        <w:div w:id="451364003">
                          <w:marLeft w:val="0"/>
                          <w:marRight w:val="0"/>
                          <w:marTop w:val="0"/>
                          <w:marBottom w:val="0"/>
                          <w:divBdr>
                            <w:top w:val="none" w:sz="0" w:space="0" w:color="auto"/>
                            <w:left w:val="none" w:sz="0" w:space="0" w:color="auto"/>
                            <w:bottom w:val="none" w:sz="0" w:space="0" w:color="auto"/>
                            <w:right w:val="none" w:sz="0" w:space="0" w:color="auto"/>
                          </w:divBdr>
                          <w:divsChild>
                            <w:div w:id="515656306">
                              <w:marLeft w:val="0"/>
                              <w:marRight w:val="0"/>
                              <w:marTop w:val="0"/>
                              <w:marBottom w:val="0"/>
                              <w:divBdr>
                                <w:top w:val="none" w:sz="0" w:space="0" w:color="auto"/>
                                <w:left w:val="none" w:sz="0" w:space="0" w:color="auto"/>
                                <w:bottom w:val="none" w:sz="0" w:space="0" w:color="auto"/>
                                <w:right w:val="none" w:sz="0" w:space="0" w:color="auto"/>
                              </w:divBdr>
                              <w:divsChild>
                                <w:div w:id="233593793">
                                  <w:marLeft w:val="0"/>
                                  <w:marRight w:val="0"/>
                                  <w:marTop w:val="0"/>
                                  <w:marBottom w:val="0"/>
                                  <w:divBdr>
                                    <w:top w:val="none" w:sz="0" w:space="0" w:color="auto"/>
                                    <w:left w:val="none" w:sz="0" w:space="0" w:color="auto"/>
                                    <w:bottom w:val="none" w:sz="0" w:space="0" w:color="auto"/>
                                    <w:right w:val="none" w:sz="0" w:space="0" w:color="auto"/>
                                  </w:divBdr>
                                  <w:divsChild>
                                    <w:div w:id="9282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060793">
      <w:bodyDiv w:val="1"/>
      <w:marLeft w:val="0"/>
      <w:marRight w:val="0"/>
      <w:marTop w:val="0"/>
      <w:marBottom w:val="0"/>
      <w:divBdr>
        <w:top w:val="none" w:sz="0" w:space="0" w:color="auto"/>
        <w:left w:val="none" w:sz="0" w:space="0" w:color="auto"/>
        <w:bottom w:val="none" w:sz="0" w:space="0" w:color="auto"/>
        <w:right w:val="none" w:sz="0" w:space="0" w:color="auto"/>
      </w:divBdr>
    </w:div>
    <w:div w:id="297298760">
      <w:bodyDiv w:val="1"/>
      <w:marLeft w:val="0"/>
      <w:marRight w:val="0"/>
      <w:marTop w:val="0"/>
      <w:marBottom w:val="0"/>
      <w:divBdr>
        <w:top w:val="none" w:sz="0" w:space="0" w:color="auto"/>
        <w:left w:val="none" w:sz="0" w:space="0" w:color="auto"/>
        <w:bottom w:val="none" w:sz="0" w:space="0" w:color="auto"/>
        <w:right w:val="none" w:sz="0" w:space="0" w:color="auto"/>
      </w:divBdr>
    </w:div>
    <w:div w:id="445806141">
      <w:bodyDiv w:val="1"/>
      <w:marLeft w:val="0"/>
      <w:marRight w:val="0"/>
      <w:marTop w:val="0"/>
      <w:marBottom w:val="0"/>
      <w:divBdr>
        <w:top w:val="none" w:sz="0" w:space="0" w:color="auto"/>
        <w:left w:val="none" w:sz="0" w:space="0" w:color="auto"/>
        <w:bottom w:val="none" w:sz="0" w:space="0" w:color="auto"/>
        <w:right w:val="none" w:sz="0" w:space="0" w:color="auto"/>
      </w:divBdr>
    </w:div>
    <w:div w:id="465320310">
      <w:bodyDiv w:val="1"/>
      <w:marLeft w:val="0"/>
      <w:marRight w:val="0"/>
      <w:marTop w:val="0"/>
      <w:marBottom w:val="0"/>
      <w:divBdr>
        <w:top w:val="none" w:sz="0" w:space="0" w:color="auto"/>
        <w:left w:val="none" w:sz="0" w:space="0" w:color="auto"/>
        <w:bottom w:val="none" w:sz="0" w:space="0" w:color="auto"/>
        <w:right w:val="none" w:sz="0" w:space="0" w:color="auto"/>
      </w:divBdr>
      <w:divsChild>
        <w:div w:id="1201549463">
          <w:marLeft w:val="0"/>
          <w:marRight w:val="0"/>
          <w:marTop w:val="0"/>
          <w:marBottom w:val="0"/>
          <w:divBdr>
            <w:top w:val="none" w:sz="0" w:space="0" w:color="auto"/>
            <w:left w:val="none" w:sz="0" w:space="0" w:color="auto"/>
            <w:bottom w:val="none" w:sz="0" w:space="0" w:color="auto"/>
            <w:right w:val="none" w:sz="0" w:space="0" w:color="auto"/>
          </w:divBdr>
          <w:divsChild>
            <w:div w:id="1669290302">
              <w:marLeft w:val="0"/>
              <w:marRight w:val="0"/>
              <w:marTop w:val="0"/>
              <w:marBottom w:val="0"/>
              <w:divBdr>
                <w:top w:val="none" w:sz="0" w:space="0" w:color="auto"/>
                <w:left w:val="none" w:sz="0" w:space="0" w:color="auto"/>
                <w:bottom w:val="none" w:sz="0" w:space="0" w:color="auto"/>
                <w:right w:val="none" w:sz="0" w:space="0" w:color="auto"/>
              </w:divBdr>
              <w:divsChild>
                <w:div w:id="102464240">
                  <w:marLeft w:val="0"/>
                  <w:marRight w:val="0"/>
                  <w:marTop w:val="0"/>
                  <w:marBottom w:val="0"/>
                  <w:divBdr>
                    <w:top w:val="none" w:sz="0" w:space="0" w:color="auto"/>
                    <w:left w:val="none" w:sz="0" w:space="0" w:color="auto"/>
                    <w:bottom w:val="none" w:sz="0" w:space="0" w:color="auto"/>
                    <w:right w:val="none" w:sz="0" w:space="0" w:color="auto"/>
                  </w:divBdr>
                  <w:divsChild>
                    <w:div w:id="325937730">
                      <w:marLeft w:val="0"/>
                      <w:marRight w:val="0"/>
                      <w:marTop w:val="0"/>
                      <w:marBottom w:val="0"/>
                      <w:divBdr>
                        <w:top w:val="none" w:sz="0" w:space="0" w:color="auto"/>
                        <w:left w:val="none" w:sz="0" w:space="0" w:color="auto"/>
                        <w:bottom w:val="none" w:sz="0" w:space="0" w:color="auto"/>
                        <w:right w:val="none" w:sz="0" w:space="0" w:color="auto"/>
                      </w:divBdr>
                      <w:divsChild>
                        <w:div w:id="1669670395">
                          <w:marLeft w:val="0"/>
                          <w:marRight w:val="0"/>
                          <w:marTop w:val="0"/>
                          <w:marBottom w:val="0"/>
                          <w:divBdr>
                            <w:top w:val="none" w:sz="0" w:space="0" w:color="auto"/>
                            <w:left w:val="none" w:sz="0" w:space="0" w:color="auto"/>
                            <w:bottom w:val="none" w:sz="0" w:space="0" w:color="auto"/>
                            <w:right w:val="none" w:sz="0" w:space="0" w:color="auto"/>
                          </w:divBdr>
                          <w:divsChild>
                            <w:div w:id="483549427">
                              <w:marLeft w:val="0"/>
                              <w:marRight w:val="75"/>
                              <w:marTop w:val="0"/>
                              <w:marBottom w:val="0"/>
                              <w:divBdr>
                                <w:top w:val="none" w:sz="0" w:space="0" w:color="auto"/>
                                <w:left w:val="none" w:sz="0" w:space="0" w:color="auto"/>
                                <w:bottom w:val="none" w:sz="0" w:space="0" w:color="auto"/>
                                <w:right w:val="none" w:sz="0" w:space="0" w:color="auto"/>
                              </w:divBdr>
                              <w:divsChild>
                                <w:div w:id="884409905">
                                  <w:marLeft w:val="0"/>
                                  <w:marRight w:val="0"/>
                                  <w:marTop w:val="0"/>
                                  <w:marBottom w:val="0"/>
                                  <w:divBdr>
                                    <w:top w:val="none" w:sz="0" w:space="0" w:color="auto"/>
                                    <w:left w:val="none" w:sz="0" w:space="0" w:color="auto"/>
                                    <w:bottom w:val="none" w:sz="0" w:space="0" w:color="auto"/>
                                    <w:right w:val="none" w:sz="0" w:space="0" w:color="auto"/>
                                  </w:divBdr>
                                  <w:divsChild>
                                    <w:div w:id="1601794744">
                                      <w:marLeft w:val="150"/>
                                      <w:marRight w:val="150"/>
                                      <w:marTop w:val="0"/>
                                      <w:marBottom w:val="0"/>
                                      <w:divBdr>
                                        <w:top w:val="none" w:sz="0" w:space="0" w:color="auto"/>
                                        <w:left w:val="none" w:sz="0" w:space="0" w:color="auto"/>
                                        <w:bottom w:val="none" w:sz="0" w:space="0" w:color="auto"/>
                                        <w:right w:val="none" w:sz="0" w:space="0" w:color="auto"/>
                                      </w:divBdr>
                                      <w:divsChild>
                                        <w:div w:id="951937464">
                                          <w:marLeft w:val="0"/>
                                          <w:marRight w:val="0"/>
                                          <w:marTop w:val="0"/>
                                          <w:marBottom w:val="0"/>
                                          <w:divBdr>
                                            <w:top w:val="none" w:sz="0" w:space="0" w:color="auto"/>
                                            <w:left w:val="none" w:sz="0" w:space="0" w:color="auto"/>
                                            <w:bottom w:val="none" w:sz="0" w:space="0" w:color="auto"/>
                                            <w:right w:val="none" w:sz="0" w:space="0" w:color="auto"/>
                                          </w:divBdr>
                                          <w:divsChild>
                                            <w:div w:id="142588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2491420">
      <w:bodyDiv w:val="1"/>
      <w:marLeft w:val="0"/>
      <w:marRight w:val="0"/>
      <w:marTop w:val="0"/>
      <w:marBottom w:val="0"/>
      <w:divBdr>
        <w:top w:val="none" w:sz="0" w:space="0" w:color="auto"/>
        <w:left w:val="none" w:sz="0" w:space="0" w:color="auto"/>
        <w:bottom w:val="none" w:sz="0" w:space="0" w:color="auto"/>
        <w:right w:val="none" w:sz="0" w:space="0" w:color="auto"/>
      </w:divBdr>
    </w:div>
    <w:div w:id="866601400">
      <w:bodyDiv w:val="1"/>
      <w:marLeft w:val="0"/>
      <w:marRight w:val="0"/>
      <w:marTop w:val="0"/>
      <w:marBottom w:val="0"/>
      <w:divBdr>
        <w:top w:val="none" w:sz="0" w:space="0" w:color="auto"/>
        <w:left w:val="none" w:sz="0" w:space="0" w:color="auto"/>
        <w:bottom w:val="none" w:sz="0" w:space="0" w:color="auto"/>
        <w:right w:val="none" w:sz="0" w:space="0" w:color="auto"/>
      </w:divBdr>
    </w:div>
    <w:div w:id="945775735">
      <w:bodyDiv w:val="1"/>
      <w:marLeft w:val="0"/>
      <w:marRight w:val="0"/>
      <w:marTop w:val="0"/>
      <w:marBottom w:val="0"/>
      <w:divBdr>
        <w:top w:val="none" w:sz="0" w:space="0" w:color="auto"/>
        <w:left w:val="none" w:sz="0" w:space="0" w:color="auto"/>
        <w:bottom w:val="none" w:sz="0" w:space="0" w:color="auto"/>
        <w:right w:val="none" w:sz="0" w:space="0" w:color="auto"/>
      </w:divBdr>
    </w:div>
    <w:div w:id="1335180468">
      <w:bodyDiv w:val="1"/>
      <w:marLeft w:val="0"/>
      <w:marRight w:val="0"/>
      <w:marTop w:val="0"/>
      <w:marBottom w:val="0"/>
      <w:divBdr>
        <w:top w:val="none" w:sz="0" w:space="0" w:color="auto"/>
        <w:left w:val="none" w:sz="0" w:space="0" w:color="auto"/>
        <w:bottom w:val="none" w:sz="0" w:space="0" w:color="auto"/>
        <w:right w:val="none" w:sz="0" w:space="0" w:color="auto"/>
      </w:divBdr>
    </w:div>
    <w:div w:id="1980962865">
      <w:bodyDiv w:val="1"/>
      <w:marLeft w:val="0"/>
      <w:marRight w:val="0"/>
      <w:marTop w:val="0"/>
      <w:marBottom w:val="0"/>
      <w:divBdr>
        <w:top w:val="none" w:sz="0" w:space="0" w:color="auto"/>
        <w:left w:val="none" w:sz="0" w:space="0" w:color="auto"/>
        <w:bottom w:val="none" w:sz="0" w:space="0" w:color="auto"/>
        <w:right w:val="none" w:sz="0" w:space="0" w:color="auto"/>
      </w:divBdr>
    </w:div>
    <w:div w:id="209180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D6339-9128-440B-A8B4-416D11D24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3557</Words>
  <Characters>20275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rcline</cp:lastModifiedBy>
  <cp:revision>2</cp:revision>
  <dcterms:created xsi:type="dcterms:W3CDTF">2014-08-08T01:46:00Z</dcterms:created>
  <dcterms:modified xsi:type="dcterms:W3CDTF">2014-08-08T01:46:00Z</dcterms:modified>
</cp:coreProperties>
</file>