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BEC" w:rsidRDefault="000E5E99" w:rsidP="00DD79A4">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Chapter </w:t>
      </w:r>
      <w:r w:rsidR="00900266">
        <w:rPr>
          <w:rFonts w:ascii="Times New Roman" w:hAnsi="Times New Roman" w:cs="Times New Roman"/>
          <w:b/>
          <w:sz w:val="24"/>
          <w:szCs w:val="24"/>
        </w:rPr>
        <w:t>5</w:t>
      </w:r>
      <w:r>
        <w:rPr>
          <w:rFonts w:ascii="Times New Roman" w:hAnsi="Times New Roman" w:cs="Times New Roman"/>
          <w:b/>
          <w:sz w:val="24"/>
          <w:szCs w:val="24"/>
        </w:rPr>
        <w:t xml:space="preserve">:  </w:t>
      </w:r>
      <w:r w:rsidR="00900266">
        <w:rPr>
          <w:rFonts w:ascii="Times New Roman" w:hAnsi="Times New Roman" w:cs="Times New Roman"/>
          <w:b/>
          <w:sz w:val="24"/>
          <w:szCs w:val="24"/>
        </w:rPr>
        <w:t>Top</w:t>
      </w:r>
      <w:r w:rsidR="00B77222">
        <w:rPr>
          <w:rFonts w:ascii="Times New Roman" w:hAnsi="Times New Roman" w:cs="Times New Roman"/>
          <w:b/>
          <w:sz w:val="24"/>
          <w:szCs w:val="24"/>
        </w:rPr>
        <w:t>-</w:t>
      </w:r>
      <w:r w:rsidR="00900266">
        <w:rPr>
          <w:rFonts w:ascii="Times New Roman" w:hAnsi="Times New Roman" w:cs="Times New Roman"/>
          <w:b/>
          <w:sz w:val="24"/>
          <w:szCs w:val="24"/>
        </w:rPr>
        <w:t>Heavy Plans</w:t>
      </w:r>
    </w:p>
    <w:p w:rsidR="00DD79A4" w:rsidRDefault="00DD79A4" w:rsidP="00DD79A4">
      <w:pPr>
        <w:pStyle w:val="NoSpacing"/>
        <w:rPr>
          <w:rFonts w:ascii="Times New Roman" w:hAnsi="Times New Roman" w:cs="Times New Roman"/>
          <w:b/>
          <w:sz w:val="24"/>
          <w:szCs w:val="24"/>
        </w:rPr>
      </w:pPr>
    </w:p>
    <w:p w:rsidR="00DD79A4" w:rsidRPr="00AE6419" w:rsidRDefault="00DD79A4" w:rsidP="002A7C66">
      <w:pPr>
        <w:pStyle w:val="NoSpacing"/>
        <w:rPr>
          <w:rFonts w:ascii="Times New Roman" w:hAnsi="Times New Roman" w:cs="Times New Roman"/>
          <w:b/>
          <w:sz w:val="24"/>
          <w:szCs w:val="24"/>
        </w:rPr>
      </w:pPr>
    </w:p>
    <w:p w:rsidR="00DD79A4" w:rsidRPr="00AE6419" w:rsidRDefault="00DD79A4" w:rsidP="00DD79A4">
      <w:pPr>
        <w:pStyle w:val="NoSpacing"/>
        <w:ind w:left="720"/>
        <w:rPr>
          <w:rFonts w:ascii="Times New Roman" w:hAnsi="Times New Roman" w:cs="Times New Roman"/>
          <w:b/>
          <w:sz w:val="24"/>
          <w:szCs w:val="24"/>
        </w:rPr>
      </w:pPr>
    </w:p>
    <w:p w:rsidR="00DD79A4" w:rsidRPr="00AE6419" w:rsidRDefault="00083D57" w:rsidP="00DD79A4">
      <w:pPr>
        <w:pStyle w:val="NoSpacing"/>
        <w:ind w:left="720"/>
        <w:rPr>
          <w:rFonts w:ascii="Times New Roman" w:hAnsi="Times New Roman" w:cs="Times New Roman"/>
          <w:b/>
          <w:sz w:val="24"/>
          <w:szCs w:val="24"/>
        </w:rPr>
      </w:pPr>
      <w:r>
        <w:rPr>
          <w:rFonts w:ascii="Times New Roman" w:hAnsi="Times New Roman" w:cs="Times New Roman"/>
          <w:b/>
          <w:sz w:val="24"/>
          <w:szCs w:val="24"/>
        </w:rPr>
        <w:t xml:space="preserve">Q. </w:t>
      </w:r>
      <w:r w:rsidR="00B77222">
        <w:rPr>
          <w:rFonts w:ascii="Times New Roman" w:hAnsi="Times New Roman" w:cs="Times New Roman"/>
          <w:b/>
          <w:sz w:val="24"/>
          <w:szCs w:val="24"/>
        </w:rPr>
        <w:t>5</w:t>
      </w:r>
      <w:r w:rsidR="000E5E99">
        <w:rPr>
          <w:rFonts w:ascii="Times New Roman" w:hAnsi="Times New Roman" w:cs="Times New Roman"/>
          <w:b/>
          <w:sz w:val="24"/>
          <w:szCs w:val="24"/>
        </w:rPr>
        <w:t xml:space="preserve">.01:  </w:t>
      </w:r>
      <w:r w:rsidR="000E5E99" w:rsidRPr="000E5E99">
        <w:rPr>
          <w:rFonts w:ascii="Times New Roman" w:hAnsi="Times New Roman" w:cs="Times New Roman"/>
          <w:b/>
          <w:sz w:val="24"/>
          <w:szCs w:val="24"/>
        </w:rPr>
        <w:t xml:space="preserve">What </w:t>
      </w:r>
      <w:r w:rsidR="00B77222">
        <w:rPr>
          <w:rFonts w:ascii="Times New Roman" w:hAnsi="Times New Roman" w:cs="Times New Roman"/>
          <w:b/>
          <w:sz w:val="24"/>
          <w:szCs w:val="24"/>
        </w:rPr>
        <w:t>is</w:t>
      </w:r>
      <w:r w:rsidR="000E5E99" w:rsidRPr="000E5E99">
        <w:rPr>
          <w:rFonts w:ascii="Times New Roman" w:hAnsi="Times New Roman" w:cs="Times New Roman"/>
          <w:b/>
          <w:sz w:val="24"/>
          <w:szCs w:val="24"/>
        </w:rPr>
        <w:t xml:space="preserve"> the </w:t>
      </w:r>
      <w:r w:rsidR="00B77222">
        <w:rPr>
          <w:rFonts w:ascii="Times New Roman" w:hAnsi="Times New Roman" w:cs="Times New Roman"/>
          <w:b/>
          <w:sz w:val="24"/>
          <w:szCs w:val="24"/>
        </w:rPr>
        <w:t>definition of a top-heavy plan</w:t>
      </w:r>
      <w:r w:rsidR="000E5E99" w:rsidRPr="000E5E99">
        <w:rPr>
          <w:rFonts w:ascii="Times New Roman" w:hAnsi="Times New Roman" w:cs="Times New Roman"/>
          <w:b/>
          <w:sz w:val="24"/>
          <w:szCs w:val="24"/>
        </w:rPr>
        <w:t>?</w:t>
      </w:r>
    </w:p>
    <w:p w:rsidR="00DD79A4" w:rsidRDefault="00DD79A4" w:rsidP="00DD79A4">
      <w:pPr>
        <w:pStyle w:val="NoSpacing"/>
        <w:ind w:left="720"/>
        <w:rPr>
          <w:rFonts w:ascii="Times New Roman" w:hAnsi="Times New Roman" w:cs="Times New Roman"/>
          <w:sz w:val="24"/>
          <w:szCs w:val="24"/>
        </w:rPr>
      </w:pPr>
    </w:p>
    <w:p w:rsidR="00B77222" w:rsidRDefault="00B77222" w:rsidP="00B77222">
      <w:pPr>
        <w:pStyle w:val="NoSpacing"/>
        <w:ind w:left="720"/>
        <w:rPr>
          <w:rFonts w:ascii="Times New Roman" w:hAnsi="Times New Roman" w:cs="Times New Roman"/>
          <w:sz w:val="24"/>
          <w:szCs w:val="24"/>
        </w:rPr>
      </w:pPr>
      <w:r w:rsidRPr="00B77222">
        <w:rPr>
          <w:rFonts w:ascii="Times New Roman" w:hAnsi="Times New Roman" w:cs="Times New Roman"/>
          <w:sz w:val="24"/>
          <w:szCs w:val="24"/>
        </w:rPr>
        <w:t>Code Section 416(</w:t>
      </w:r>
      <w:r>
        <w:rPr>
          <w:rFonts w:ascii="Times New Roman" w:hAnsi="Times New Roman" w:cs="Times New Roman"/>
          <w:sz w:val="24"/>
          <w:szCs w:val="24"/>
        </w:rPr>
        <w:t>g) defines a top-heavy plan as:</w:t>
      </w:r>
    </w:p>
    <w:p w:rsidR="006B435C" w:rsidRPr="00B77222" w:rsidRDefault="006B435C" w:rsidP="00B77222">
      <w:pPr>
        <w:pStyle w:val="NoSpacing"/>
        <w:ind w:left="720"/>
        <w:rPr>
          <w:rFonts w:ascii="Times New Roman" w:hAnsi="Times New Roman" w:cs="Times New Roman"/>
          <w:sz w:val="24"/>
          <w:szCs w:val="24"/>
        </w:rPr>
      </w:pPr>
    </w:p>
    <w:p w:rsidR="00A81E29" w:rsidRDefault="00B77222" w:rsidP="00A81E29">
      <w:pPr>
        <w:pStyle w:val="ListParagraph"/>
        <w:widowControl w:val="0"/>
        <w:numPr>
          <w:ilvl w:val="0"/>
          <w:numId w:val="6"/>
        </w:numPr>
        <w:tabs>
          <w:tab w:val="decimal" w:pos="680"/>
          <w:tab w:val="left" w:pos="840"/>
        </w:tabs>
        <w:autoSpaceDE w:val="0"/>
        <w:autoSpaceDN w:val="0"/>
        <w:adjustRightInd w:val="0"/>
        <w:spacing w:line="240" w:lineRule="exact"/>
        <w:jc w:val="both"/>
      </w:pPr>
      <w:r w:rsidRPr="00B77222">
        <w:t>Any defined benefit plan if, as of the determination date, the present value of the cumulative accrued benefits under the plan for key employees exceeds 60 percent of the present value of the cumulative accrued benefits under the plan for all employees; and</w:t>
      </w:r>
    </w:p>
    <w:p w:rsidR="00A81E29" w:rsidRDefault="00B77222" w:rsidP="00A81E29">
      <w:pPr>
        <w:pStyle w:val="ListParagraph"/>
        <w:widowControl w:val="0"/>
        <w:numPr>
          <w:ilvl w:val="0"/>
          <w:numId w:val="6"/>
        </w:numPr>
        <w:tabs>
          <w:tab w:val="decimal" w:pos="680"/>
          <w:tab w:val="left" w:pos="840"/>
        </w:tabs>
        <w:autoSpaceDE w:val="0"/>
        <w:autoSpaceDN w:val="0"/>
        <w:adjustRightInd w:val="0"/>
        <w:spacing w:line="240" w:lineRule="exact"/>
        <w:jc w:val="both"/>
      </w:pPr>
      <w:r w:rsidRPr="00B77222">
        <w:t>Any defined contribution plan if, as of the determination date, the aggregate of the accounts of key employees under the plan exceeds 60 percent of the aggregate of accounts of all employees under such plan.</w:t>
      </w:r>
      <w:r w:rsidR="006B435C">
        <w:rPr>
          <w:rStyle w:val="FootnoteReference"/>
        </w:rPr>
        <w:footnoteReference w:id="1"/>
      </w:r>
    </w:p>
    <w:p w:rsidR="00A81E29" w:rsidRDefault="00A81E29" w:rsidP="00A81E29">
      <w:pPr>
        <w:pStyle w:val="NoSpacing"/>
        <w:ind w:left="720"/>
        <w:rPr>
          <w:rFonts w:ascii="Times New Roman" w:eastAsia="Times New Roman" w:hAnsi="Times New Roman" w:cs="Times New Roman"/>
          <w:sz w:val="24"/>
          <w:szCs w:val="24"/>
        </w:rPr>
      </w:pPr>
    </w:p>
    <w:p w:rsidR="006C7178" w:rsidRDefault="006C7178" w:rsidP="00A81E29">
      <w:pPr>
        <w:pStyle w:val="NoSpacing"/>
        <w:ind w:left="720"/>
        <w:rPr>
          <w:rFonts w:ascii="Times New Roman" w:eastAsia="Times New Roman" w:hAnsi="Times New Roman" w:cs="Times New Roman"/>
          <w:sz w:val="24"/>
          <w:szCs w:val="24"/>
        </w:rPr>
      </w:pPr>
    </w:p>
    <w:p w:rsidR="007721B0" w:rsidRPr="00AE6419" w:rsidRDefault="007721B0" w:rsidP="007721B0">
      <w:pPr>
        <w:pStyle w:val="NoSpacing"/>
        <w:ind w:left="720"/>
        <w:rPr>
          <w:rFonts w:ascii="Times New Roman" w:hAnsi="Times New Roman" w:cs="Times New Roman"/>
          <w:b/>
          <w:sz w:val="24"/>
          <w:szCs w:val="24"/>
        </w:rPr>
      </w:pPr>
      <w:r>
        <w:rPr>
          <w:rFonts w:ascii="Times New Roman" w:hAnsi="Times New Roman" w:cs="Times New Roman"/>
          <w:b/>
          <w:sz w:val="24"/>
          <w:szCs w:val="24"/>
        </w:rPr>
        <w:t xml:space="preserve">Q. 5.02:  How often must a plan </w:t>
      </w:r>
      <w:proofErr w:type="gramStart"/>
      <w:r>
        <w:rPr>
          <w:rFonts w:ascii="Times New Roman" w:hAnsi="Times New Roman" w:cs="Times New Roman"/>
          <w:b/>
          <w:sz w:val="24"/>
          <w:szCs w:val="24"/>
        </w:rPr>
        <w:t>be</w:t>
      </w:r>
      <w:proofErr w:type="gramEnd"/>
      <w:r>
        <w:rPr>
          <w:rFonts w:ascii="Times New Roman" w:hAnsi="Times New Roman" w:cs="Times New Roman"/>
          <w:b/>
          <w:sz w:val="24"/>
          <w:szCs w:val="24"/>
        </w:rPr>
        <w:t xml:space="preserve"> tested for top-heavy status</w:t>
      </w:r>
      <w:r w:rsidRPr="000E5E99">
        <w:rPr>
          <w:rFonts w:ascii="Times New Roman" w:hAnsi="Times New Roman" w:cs="Times New Roman"/>
          <w:b/>
          <w:sz w:val="24"/>
          <w:szCs w:val="24"/>
        </w:rPr>
        <w:t>?</w:t>
      </w:r>
    </w:p>
    <w:p w:rsidR="007721B0" w:rsidRDefault="007721B0" w:rsidP="007721B0">
      <w:pPr>
        <w:pStyle w:val="NoSpacing"/>
        <w:ind w:left="720"/>
        <w:rPr>
          <w:rFonts w:ascii="Times New Roman" w:hAnsi="Times New Roman" w:cs="Times New Roman"/>
          <w:sz w:val="24"/>
          <w:szCs w:val="24"/>
        </w:rPr>
      </w:pPr>
    </w:p>
    <w:p w:rsidR="00F20725" w:rsidRDefault="007721B0" w:rsidP="007721B0">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 plan must be tested every plan year.  A </w:t>
      </w:r>
      <w:r w:rsidRPr="007721B0">
        <w:rPr>
          <w:rFonts w:ascii="Times New Roman" w:eastAsia="Times New Roman" w:hAnsi="Times New Roman" w:cs="Times New Roman"/>
          <w:sz w:val="24"/>
          <w:szCs w:val="24"/>
        </w:rPr>
        <w:t>plan year is identified by the year in which the plan</w:t>
      </w:r>
      <w:r>
        <w:rPr>
          <w:rFonts w:ascii="Times New Roman" w:eastAsia="Times New Roman" w:hAnsi="Times New Roman" w:cs="Times New Roman"/>
          <w:sz w:val="24"/>
          <w:szCs w:val="24"/>
        </w:rPr>
        <w:t xml:space="preserve"> year begins.</w:t>
      </w:r>
      <w:r w:rsidR="00624EFF">
        <w:rPr>
          <w:rStyle w:val="FootnoteReference"/>
          <w:rFonts w:ascii="Times New Roman" w:eastAsia="Times New Roman" w:hAnsi="Times New Roman" w:cs="Times New Roman"/>
          <w:sz w:val="24"/>
          <w:szCs w:val="24"/>
        </w:rPr>
        <w:footnoteReference w:id="2"/>
      </w:r>
      <w:r w:rsidR="00972A15">
        <w:rPr>
          <w:rFonts w:ascii="Times New Roman" w:eastAsia="Times New Roman" w:hAnsi="Times New Roman" w:cs="Times New Roman"/>
          <w:sz w:val="24"/>
          <w:szCs w:val="24"/>
        </w:rPr>
        <w:t xml:space="preserve"> </w:t>
      </w:r>
      <w:r w:rsidR="00F20725">
        <w:rPr>
          <w:rFonts w:ascii="Times New Roman" w:hAnsi="Times New Roman" w:cs="Times New Roman"/>
          <w:sz w:val="24"/>
          <w:szCs w:val="24"/>
        </w:rPr>
        <w:br/>
      </w:r>
    </w:p>
    <w:p w:rsidR="00B77222" w:rsidRPr="00AE6419" w:rsidRDefault="00B77222" w:rsidP="00B77222">
      <w:pPr>
        <w:pStyle w:val="NoSpacing"/>
        <w:ind w:left="720"/>
        <w:rPr>
          <w:rFonts w:ascii="Times New Roman" w:hAnsi="Times New Roman" w:cs="Times New Roman"/>
          <w:b/>
          <w:sz w:val="24"/>
          <w:szCs w:val="24"/>
        </w:rPr>
      </w:pPr>
      <w:r>
        <w:rPr>
          <w:rFonts w:ascii="Times New Roman" w:hAnsi="Times New Roman" w:cs="Times New Roman"/>
          <w:b/>
          <w:sz w:val="24"/>
          <w:szCs w:val="24"/>
        </w:rPr>
        <w:t>Q. 5.0</w:t>
      </w:r>
      <w:r w:rsidR="007721B0">
        <w:rPr>
          <w:rFonts w:ascii="Times New Roman" w:hAnsi="Times New Roman" w:cs="Times New Roman"/>
          <w:b/>
          <w:sz w:val="24"/>
          <w:szCs w:val="24"/>
        </w:rPr>
        <w:t>3</w:t>
      </w:r>
      <w:r>
        <w:rPr>
          <w:rFonts w:ascii="Times New Roman" w:hAnsi="Times New Roman" w:cs="Times New Roman"/>
          <w:b/>
          <w:sz w:val="24"/>
          <w:szCs w:val="24"/>
        </w:rPr>
        <w:t xml:space="preserve">:  </w:t>
      </w:r>
      <w:r w:rsidRPr="000E5E99">
        <w:rPr>
          <w:rFonts w:ascii="Times New Roman" w:hAnsi="Times New Roman" w:cs="Times New Roman"/>
          <w:b/>
          <w:sz w:val="24"/>
          <w:szCs w:val="24"/>
        </w:rPr>
        <w:t xml:space="preserve">What </w:t>
      </w:r>
      <w:r>
        <w:rPr>
          <w:rFonts w:ascii="Times New Roman" w:hAnsi="Times New Roman" w:cs="Times New Roman"/>
          <w:b/>
          <w:sz w:val="24"/>
          <w:szCs w:val="24"/>
        </w:rPr>
        <w:t>is</w:t>
      </w:r>
      <w:r w:rsidRPr="000E5E99">
        <w:rPr>
          <w:rFonts w:ascii="Times New Roman" w:hAnsi="Times New Roman" w:cs="Times New Roman"/>
          <w:b/>
          <w:sz w:val="24"/>
          <w:szCs w:val="24"/>
        </w:rPr>
        <w:t xml:space="preserve"> the </w:t>
      </w:r>
      <w:r w:rsidR="004F1606">
        <w:rPr>
          <w:rFonts w:ascii="Times New Roman" w:hAnsi="Times New Roman" w:cs="Times New Roman"/>
          <w:b/>
          <w:sz w:val="24"/>
          <w:szCs w:val="24"/>
        </w:rPr>
        <w:t>accrued benefit</w:t>
      </w:r>
      <w:r w:rsidRPr="000E5E99">
        <w:rPr>
          <w:rFonts w:ascii="Times New Roman" w:hAnsi="Times New Roman" w:cs="Times New Roman"/>
          <w:b/>
          <w:sz w:val="24"/>
          <w:szCs w:val="24"/>
        </w:rPr>
        <w:t>?</w:t>
      </w:r>
    </w:p>
    <w:p w:rsidR="00B77222" w:rsidRDefault="00B77222" w:rsidP="00B77222">
      <w:pPr>
        <w:pStyle w:val="NoSpacing"/>
        <w:ind w:left="720"/>
        <w:rPr>
          <w:rFonts w:ascii="Times New Roman" w:hAnsi="Times New Roman" w:cs="Times New Roman"/>
          <w:sz w:val="24"/>
          <w:szCs w:val="24"/>
        </w:rPr>
      </w:pPr>
    </w:p>
    <w:p w:rsidR="004F1606" w:rsidRDefault="004F1606" w:rsidP="00B77222">
      <w:pPr>
        <w:pStyle w:val="NoSpacing"/>
        <w:ind w:left="720"/>
        <w:rPr>
          <w:rFonts w:ascii="Times New Roman" w:hAnsi="Times New Roman" w:cs="Times New Roman"/>
          <w:sz w:val="24"/>
          <w:szCs w:val="24"/>
        </w:rPr>
      </w:pPr>
      <w:r>
        <w:rPr>
          <w:rFonts w:ascii="Times New Roman" w:hAnsi="Times New Roman" w:cs="Times New Roman"/>
          <w:sz w:val="24"/>
          <w:szCs w:val="24"/>
        </w:rPr>
        <w:t xml:space="preserve">In a </w:t>
      </w:r>
      <w:r w:rsidRPr="00F648A8">
        <w:rPr>
          <w:rFonts w:ascii="Times New Roman" w:hAnsi="Times New Roman" w:cs="Times New Roman"/>
          <w:sz w:val="24"/>
          <w:szCs w:val="24"/>
        </w:rPr>
        <w:t>defined benefit plan</w:t>
      </w:r>
      <w:r>
        <w:rPr>
          <w:rFonts w:ascii="Times New Roman" w:hAnsi="Times New Roman" w:cs="Times New Roman"/>
          <w:sz w:val="24"/>
          <w:szCs w:val="24"/>
        </w:rPr>
        <w:t>, the accrued benefit is t</w:t>
      </w:r>
      <w:r w:rsidRPr="004F1606">
        <w:rPr>
          <w:rFonts w:ascii="Times New Roman" w:hAnsi="Times New Roman" w:cs="Times New Roman"/>
          <w:sz w:val="24"/>
          <w:szCs w:val="24"/>
        </w:rPr>
        <w:t>he portion of the total retirement benefit earned based on years of service or years of participation as of a specific date</w:t>
      </w:r>
      <w:r>
        <w:rPr>
          <w:rFonts w:ascii="Times New Roman" w:hAnsi="Times New Roman" w:cs="Times New Roman"/>
          <w:sz w:val="24"/>
          <w:szCs w:val="24"/>
        </w:rPr>
        <w:t>.</w:t>
      </w:r>
    </w:p>
    <w:p w:rsidR="00F322AC" w:rsidRDefault="00F322AC" w:rsidP="00B77222">
      <w:pPr>
        <w:pStyle w:val="NoSpacing"/>
        <w:ind w:left="720"/>
        <w:rPr>
          <w:rFonts w:ascii="Times New Roman" w:hAnsi="Times New Roman" w:cs="Times New Roman"/>
          <w:sz w:val="24"/>
          <w:szCs w:val="24"/>
        </w:rPr>
      </w:pPr>
    </w:p>
    <w:p w:rsidR="00B77222" w:rsidRDefault="004F1606" w:rsidP="00B77222">
      <w:pPr>
        <w:pStyle w:val="NoSpacing"/>
        <w:ind w:left="720"/>
        <w:rPr>
          <w:rFonts w:ascii="Times New Roman" w:eastAsia="Times New Roman" w:hAnsi="Times New Roman" w:cs="Times New Roman"/>
          <w:sz w:val="24"/>
          <w:szCs w:val="24"/>
        </w:rPr>
      </w:pPr>
      <w:r>
        <w:rPr>
          <w:rFonts w:ascii="Times New Roman" w:hAnsi="Times New Roman" w:cs="Times New Roman"/>
          <w:sz w:val="24"/>
          <w:szCs w:val="24"/>
        </w:rPr>
        <w:t>In a defined contribution plan, the accrued benefit is</w:t>
      </w:r>
      <w:r w:rsidRPr="004F1606">
        <w:rPr>
          <w:rFonts w:ascii="Times New Roman" w:hAnsi="Times New Roman" w:cs="Times New Roman"/>
          <w:sz w:val="24"/>
          <w:szCs w:val="24"/>
        </w:rPr>
        <w:t xml:space="preserve"> the account balance in a defined contribution plan as of a specific date</w:t>
      </w:r>
      <w:r>
        <w:rPr>
          <w:rFonts w:ascii="Times New Roman" w:hAnsi="Times New Roman" w:cs="Times New Roman"/>
          <w:sz w:val="24"/>
          <w:szCs w:val="24"/>
        </w:rPr>
        <w:t>.</w:t>
      </w:r>
    </w:p>
    <w:p w:rsidR="00B77222" w:rsidRDefault="00B77222" w:rsidP="00A81E29">
      <w:pPr>
        <w:pStyle w:val="NoSpacing"/>
        <w:ind w:left="720"/>
        <w:rPr>
          <w:rFonts w:ascii="Times New Roman" w:eastAsia="Times New Roman" w:hAnsi="Times New Roman" w:cs="Times New Roman"/>
          <w:sz w:val="24"/>
          <w:szCs w:val="24"/>
        </w:rPr>
      </w:pPr>
    </w:p>
    <w:p w:rsidR="00000660" w:rsidRPr="00AE6419" w:rsidRDefault="00000660" w:rsidP="00000660">
      <w:pPr>
        <w:pStyle w:val="NoSpacing"/>
        <w:ind w:left="720"/>
        <w:rPr>
          <w:rFonts w:ascii="Times New Roman" w:hAnsi="Times New Roman" w:cs="Times New Roman"/>
          <w:b/>
          <w:sz w:val="24"/>
          <w:szCs w:val="24"/>
        </w:rPr>
      </w:pPr>
      <w:r>
        <w:rPr>
          <w:rFonts w:ascii="Times New Roman" w:hAnsi="Times New Roman" w:cs="Times New Roman"/>
          <w:b/>
          <w:sz w:val="24"/>
          <w:szCs w:val="24"/>
        </w:rPr>
        <w:t>Q. 5.0</w:t>
      </w:r>
      <w:r w:rsidR="007721B0">
        <w:rPr>
          <w:rFonts w:ascii="Times New Roman" w:hAnsi="Times New Roman" w:cs="Times New Roman"/>
          <w:b/>
          <w:sz w:val="24"/>
          <w:szCs w:val="24"/>
        </w:rPr>
        <w:t>4</w:t>
      </w:r>
      <w:r>
        <w:rPr>
          <w:rFonts w:ascii="Times New Roman" w:hAnsi="Times New Roman" w:cs="Times New Roman"/>
          <w:b/>
          <w:sz w:val="24"/>
          <w:szCs w:val="24"/>
        </w:rPr>
        <w:t>:  What is the determination date for purposes of top-heavy status</w:t>
      </w:r>
      <w:r w:rsidRPr="000E5E99">
        <w:rPr>
          <w:rFonts w:ascii="Times New Roman" w:hAnsi="Times New Roman" w:cs="Times New Roman"/>
          <w:b/>
          <w:sz w:val="24"/>
          <w:szCs w:val="24"/>
        </w:rPr>
        <w:t>?</w:t>
      </w:r>
    </w:p>
    <w:p w:rsidR="00000660" w:rsidRDefault="00000660" w:rsidP="00000660">
      <w:pPr>
        <w:pStyle w:val="NoSpacing"/>
        <w:ind w:left="720"/>
        <w:rPr>
          <w:rFonts w:ascii="Times New Roman" w:hAnsi="Times New Roman" w:cs="Times New Roman"/>
          <w:sz w:val="24"/>
          <w:szCs w:val="24"/>
        </w:rPr>
      </w:pPr>
    </w:p>
    <w:p w:rsidR="007721B0" w:rsidRDefault="00000660" w:rsidP="00000660">
      <w:pPr>
        <w:pStyle w:val="NoSpacing"/>
        <w:ind w:left="720"/>
        <w:rPr>
          <w:rFonts w:ascii="Times New Roman" w:hAnsi="Times New Roman" w:cs="Times New Roman"/>
          <w:sz w:val="24"/>
          <w:szCs w:val="24"/>
        </w:rPr>
      </w:pPr>
      <w:r w:rsidRPr="00000660">
        <w:rPr>
          <w:rFonts w:ascii="Times New Roman" w:hAnsi="Times New Roman" w:cs="Times New Roman"/>
          <w:sz w:val="24"/>
          <w:szCs w:val="24"/>
        </w:rPr>
        <w:t>The determination date is the last day of the preceding plan year or, in the case of the first plan year, the last day of the first plan year.</w:t>
      </w:r>
      <w:r w:rsidR="00F648A8">
        <w:rPr>
          <w:rStyle w:val="FootnoteReference"/>
          <w:rFonts w:ascii="Times New Roman" w:hAnsi="Times New Roman" w:cs="Times New Roman"/>
          <w:sz w:val="24"/>
          <w:szCs w:val="24"/>
        </w:rPr>
        <w:footnoteReference w:id="3"/>
      </w:r>
      <w:r w:rsidRPr="00000660">
        <w:rPr>
          <w:rFonts w:ascii="Times New Roman" w:hAnsi="Times New Roman" w:cs="Times New Roman"/>
          <w:sz w:val="24"/>
          <w:szCs w:val="24"/>
        </w:rPr>
        <w:t xml:space="preserve"> </w:t>
      </w:r>
    </w:p>
    <w:p w:rsidR="00F648A8" w:rsidRDefault="00F648A8" w:rsidP="00000660">
      <w:pPr>
        <w:pStyle w:val="NoSpacing"/>
        <w:ind w:left="720"/>
        <w:rPr>
          <w:rFonts w:ascii="Times New Roman" w:hAnsi="Times New Roman" w:cs="Times New Roman"/>
          <w:sz w:val="24"/>
          <w:szCs w:val="24"/>
        </w:rPr>
      </w:pPr>
    </w:p>
    <w:p w:rsidR="00000660" w:rsidRDefault="00822202" w:rsidP="002A7C66">
      <w:pPr>
        <w:pStyle w:val="NoSpacing"/>
        <w:ind w:left="720"/>
        <w:rPr>
          <w:rFonts w:ascii="Times New Roman" w:hAnsi="Times New Roman" w:cs="Times New Roman"/>
          <w:sz w:val="24"/>
          <w:szCs w:val="24"/>
        </w:rPr>
      </w:pPr>
      <w:r>
        <w:rPr>
          <w:rFonts w:ascii="Times New Roman" w:hAnsi="Times New Roman" w:cs="Times New Roman"/>
          <w:sz w:val="24"/>
          <w:szCs w:val="24"/>
        </w:rPr>
        <w:t>If</w:t>
      </w:r>
      <w:r w:rsidR="00000660" w:rsidRPr="00000660">
        <w:rPr>
          <w:rFonts w:ascii="Times New Roman" w:hAnsi="Times New Roman" w:cs="Times New Roman"/>
          <w:sz w:val="24"/>
          <w:szCs w:val="24"/>
        </w:rPr>
        <w:t xml:space="preserve"> a plan </w:t>
      </w:r>
      <w:r>
        <w:rPr>
          <w:rFonts w:ascii="Times New Roman" w:hAnsi="Times New Roman" w:cs="Times New Roman"/>
          <w:sz w:val="24"/>
          <w:szCs w:val="24"/>
        </w:rPr>
        <w:t xml:space="preserve">is top-heavy </w:t>
      </w:r>
      <w:r w:rsidR="00000660" w:rsidRPr="00000660">
        <w:rPr>
          <w:rFonts w:ascii="Times New Roman" w:hAnsi="Times New Roman" w:cs="Times New Roman"/>
          <w:sz w:val="24"/>
          <w:szCs w:val="24"/>
        </w:rPr>
        <w:t xml:space="preserve">in its first plan year, </w:t>
      </w:r>
      <w:r>
        <w:rPr>
          <w:rFonts w:ascii="Times New Roman" w:hAnsi="Times New Roman" w:cs="Times New Roman"/>
          <w:sz w:val="24"/>
          <w:szCs w:val="24"/>
        </w:rPr>
        <w:t xml:space="preserve">then </w:t>
      </w:r>
      <w:r w:rsidR="00000660" w:rsidRPr="00000660">
        <w:rPr>
          <w:rFonts w:ascii="Times New Roman" w:hAnsi="Times New Roman" w:cs="Times New Roman"/>
          <w:sz w:val="24"/>
          <w:szCs w:val="24"/>
        </w:rPr>
        <w:t xml:space="preserve">the plan </w:t>
      </w:r>
      <w:r>
        <w:rPr>
          <w:rFonts w:ascii="Times New Roman" w:hAnsi="Times New Roman" w:cs="Times New Roman"/>
          <w:sz w:val="24"/>
          <w:szCs w:val="24"/>
        </w:rPr>
        <w:t xml:space="preserve">is considered </w:t>
      </w:r>
      <w:r w:rsidR="00000660" w:rsidRPr="00000660">
        <w:rPr>
          <w:rFonts w:ascii="Times New Roman" w:hAnsi="Times New Roman" w:cs="Times New Roman"/>
          <w:sz w:val="24"/>
          <w:szCs w:val="24"/>
        </w:rPr>
        <w:t>top-h</w:t>
      </w:r>
      <w:r w:rsidR="00000660">
        <w:rPr>
          <w:rFonts w:ascii="Times New Roman" w:hAnsi="Times New Roman" w:cs="Times New Roman"/>
          <w:sz w:val="24"/>
          <w:szCs w:val="24"/>
        </w:rPr>
        <w:t>eavy for the first two years.</w:t>
      </w:r>
    </w:p>
    <w:p w:rsidR="004F1606" w:rsidRDefault="004F1606" w:rsidP="004F1606">
      <w:pPr>
        <w:pStyle w:val="NoSpacing"/>
        <w:ind w:left="720"/>
        <w:rPr>
          <w:rFonts w:ascii="Times New Roman" w:eastAsia="Times New Roman" w:hAnsi="Times New Roman" w:cs="Times New Roman"/>
          <w:sz w:val="24"/>
          <w:szCs w:val="24"/>
        </w:rPr>
      </w:pPr>
    </w:p>
    <w:p w:rsidR="006C7178" w:rsidRDefault="006C7178" w:rsidP="00000660">
      <w:pPr>
        <w:pStyle w:val="NoSpacing"/>
        <w:ind w:left="720"/>
        <w:rPr>
          <w:rFonts w:ascii="Times New Roman" w:hAnsi="Times New Roman" w:cs="Times New Roman"/>
          <w:b/>
          <w:sz w:val="24"/>
          <w:szCs w:val="24"/>
        </w:rPr>
      </w:pPr>
    </w:p>
    <w:p w:rsidR="00000660" w:rsidRPr="00AE6419" w:rsidRDefault="00000660" w:rsidP="00000660">
      <w:pPr>
        <w:pStyle w:val="NoSpacing"/>
        <w:ind w:left="720"/>
        <w:rPr>
          <w:rFonts w:ascii="Times New Roman" w:hAnsi="Times New Roman" w:cs="Times New Roman"/>
          <w:b/>
          <w:sz w:val="24"/>
          <w:szCs w:val="24"/>
        </w:rPr>
      </w:pPr>
      <w:r>
        <w:rPr>
          <w:rFonts w:ascii="Times New Roman" w:hAnsi="Times New Roman" w:cs="Times New Roman"/>
          <w:b/>
          <w:sz w:val="24"/>
          <w:szCs w:val="24"/>
        </w:rPr>
        <w:t>Q. 5.0</w:t>
      </w:r>
      <w:r w:rsidR="007721B0">
        <w:rPr>
          <w:rFonts w:ascii="Times New Roman" w:hAnsi="Times New Roman" w:cs="Times New Roman"/>
          <w:b/>
          <w:sz w:val="24"/>
          <w:szCs w:val="24"/>
        </w:rPr>
        <w:t>5</w:t>
      </w:r>
      <w:r>
        <w:rPr>
          <w:rFonts w:ascii="Times New Roman" w:hAnsi="Times New Roman" w:cs="Times New Roman"/>
          <w:b/>
          <w:sz w:val="24"/>
          <w:szCs w:val="24"/>
        </w:rPr>
        <w:t xml:space="preserve">:  What is the present value of </w:t>
      </w:r>
      <w:r w:rsidR="00377F1B">
        <w:rPr>
          <w:rFonts w:ascii="Times New Roman" w:hAnsi="Times New Roman" w:cs="Times New Roman"/>
          <w:b/>
          <w:sz w:val="24"/>
          <w:szCs w:val="24"/>
        </w:rPr>
        <w:t xml:space="preserve">the </w:t>
      </w:r>
      <w:r>
        <w:rPr>
          <w:rFonts w:ascii="Times New Roman" w:hAnsi="Times New Roman" w:cs="Times New Roman"/>
          <w:b/>
          <w:sz w:val="24"/>
          <w:szCs w:val="24"/>
        </w:rPr>
        <w:t>accrued benefit for purposes of top-heavy status</w:t>
      </w:r>
      <w:r w:rsidRPr="000E5E99">
        <w:rPr>
          <w:rFonts w:ascii="Times New Roman" w:hAnsi="Times New Roman" w:cs="Times New Roman"/>
          <w:b/>
          <w:sz w:val="24"/>
          <w:szCs w:val="24"/>
        </w:rPr>
        <w:t>?</w:t>
      </w:r>
    </w:p>
    <w:p w:rsidR="00000660" w:rsidRDefault="00000660" w:rsidP="00000660">
      <w:pPr>
        <w:pStyle w:val="NoSpacing"/>
        <w:ind w:left="720"/>
        <w:rPr>
          <w:rFonts w:ascii="Times New Roman" w:hAnsi="Times New Roman" w:cs="Times New Roman"/>
          <w:sz w:val="24"/>
          <w:szCs w:val="24"/>
        </w:rPr>
      </w:pPr>
    </w:p>
    <w:p w:rsidR="006C7178" w:rsidRDefault="00377F1B" w:rsidP="00000660">
      <w:pPr>
        <w:pStyle w:val="NoSpacing"/>
        <w:ind w:left="720"/>
        <w:rPr>
          <w:rFonts w:ascii="Times New Roman" w:hAnsi="Times New Roman" w:cs="Times New Roman"/>
          <w:sz w:val="24"/>
          <w:szCs w:val="24"/>
        </w:rPr>
      </w:pPr>
      <w:r>
        <w:rPr>
          <w:rFonts w:ascii="Times New Roman" w:hAnsi="Times New Roman" w:cs="Times New Roman"/>
          <w:sz w:val="24"/>
          <w:szCs w:val="24"/>
        </w:rPr>
        <w:t>The present value of the accrued benefit in a d</w:t>
      </w:r>
      <w:r w:rsidRPr="00377F1B">
        <w:rPr>
          <w:rFonts w:ascii="Times New Roman" w:hAnsi="Times New Roman" w:cs="Times New Roman"/>
          <w:sz w:val="24"/>
          <w:szCs w:val="24"/>
        </w:rPr>
        <w:t>efined benefit plan</w:t>
      </w:r>
      <w:r>
        <w:rPr>
          <w:rFonts w:ascii="Times New Roman" w:hAnsi="Times New Roman" w:cs="Times New Roman"/>
          <w:sz w:val="24"/>
          <w:szCs w:val="24"/>
        </w:rPr>
        <w:t xml:space="preserve"> is the lump sum equivalent equal to the current value of the accrued benefit</w:t>
      </w:r>
      <w:r w:rsidR="00116870">
        <w:rPr>
          <w:rFonts w:ascii="Times New Roman" w:hAnsi="Times New Roman" w:cs="Times New Roman"/>
          <w:sz w:val="24"/>
          <w:szCs w:val="24"/>
        </w:rPr>
        <w:t>,</w:t>
      </w:r>
      <w:r>
        <w:rPr>
          <w:rFonts w:ascii="Times New Roman" w:hAnsi="Times New Roman" w:cs="Times New Roman"/>
          <w:sz w:val="24"/>
          <w:szCs w:val="24"/>
        </w:rPr>
        <w:t xml:space="preserve"> assuming it is paid starting at </w:t>
      </w:r>
      <w:proofErr w:type="gramStart"/>
      <w:r>
        <w:rPr>
          <w:rFonts w:ascii="Times New Roman" w:hAnsi="Times New Roman" w:cs="Times New Roman"/>
          <w:sz w:val="24"/>
          <w:szCs w:val="24"/>
        </w:rPr>
        <w:lastRenderedPageBreak/>
        <w:t>retirement</w:t>
      </w:r>
      <w:proofErr w:type="gramEnd"/>
      <w:r>
        <w:rPr>
          <w:rFonts w:ascii="Times New Roman" w:hAnsi="Times New Roman" w:cs="Times New Roman"/>
          <w:sz w:val="24"/>
          <w:szCs w:val="24"/>
        </w:rPr>
        <w:t xml:space="preserve"> age, considering the time value of money and</w:t>
      </w:r>
      <w:r w:rsidR="00116870">
        <w:rPr>
          <w:rFonts w:ascii="Times New Roman" w:hAnsi="Times New Roman" w:cs="Times New Roman"/>
          <w:sz w:val="24"/>
          <w:szCs w:val="24"/>
        </w:rPr>
        <w:t xml:space="preserve"> the</w:t>
      </w:r>
      <w:r>
        <w:rPr>
          <w:rFonts w:ascii="Times New Roman" w:hAnsi="Times New Roman" w:cs="Times New Roman"/>
          <w:sz w:val="24"/>
          <w:szCs w:val="24"/>
        </w:rPr>
        <w:t xml:space="preserve"> life expectancy of the participant.</w:t>
      </w:r>
      <w:r w:rsidR="00F648A8">
        <w:rPr>
          <w:rStyle w:val="FootnoteReference"/>
          <w:rFonts w:ascii="Times New Roman" w:hAnsi="Times New Roman" w:cs="Times New Roman"/>
          <w:sz w:val="24"/>
          <w:szCs w:val="24"/>
        </w:rPr>
        <w:footnoteReference w:id="4"/>
      </w:r>
      <w:r w:rsidR="00972A15">
        <w:rPr>
          <w:rFonts w:ascii="Times New Roman" w:hAnsi="Times New Roman" w:cs="Times New Roman"/>
          <w:sz w:val="24"/>
          <w:szCs w:val="24"/>
        </w:rPr>
        <w:t xml:space="preserve"> </w:t>
      </w:r>
    </w:p>
    <w:p w:rsidR="00000660" w:rsidRDefault="00000660" w:rsidP="00000660">
      <w:pPr>
        <w:pStyle w:val="NoSpacing"/>
        <w:ind w:left="720"/>
        <w:rPr>
          <w:rFonts w:ascii="Times New Roman" w:eastAsia="Times New Roman" w:hAnsi="Times New Roman" w:cs="Times New Roman"/>
          <w:sz w:val="24"/>
          <w:szCs w:val="24"/>
        </w:rPr>
      </w:pPr>
    </w:p>
    <w:p w:rsidR="00844B81" w:rsidRPr="00844B81" w:rsidRDefault="00844B81" w:rsidP="00043488">
      <w:pPr>
        <w:pStyle w:val="PG"/>
        <w:suppressAutoHyphens/>
        <w:ind w:left="720"/>
        <w:rPr>
          <w:rFonts w:ascii="Times New Roman" w:hAnsi="Times New Roman"/>
          <w:sz w:val="24"/>
          <w:szCs w:val="24"/>
        </w:rPr>
      </w:pPr>
      <w:r w:rsidRPr="00844B81">
        <w:rPr>
          <w:rFonts w:ascii="Times New Roman" w:hAnsi="Times New Roman"/>
          <w:b/>
          <w:bCs/>
          <w:sz w:val="24"/>
          <w:szCs w:val="24"/>
        </w:rPr>
        <w:t xml:space="preserve">Example </w:t>
      </w:r>
      <w:r>
        <w:rPr>
          <w:rFonts w:ascii="Times New Roman" w:hAnsi="Times New Roman"/>
          <w:b/>
          <w:bCs/>
          <w:sz w:val="24"/>
          <w:szCs w:val="24"/>
        </w:rPr>
        <w:t>1</w:t>
      </w:r>
      <w:r w:rsidRPr="00844B81">
        <w:rPr>
          <w:rFonts w:ascii="Times New Roman" w:hAnsi="Times New Roman"/>
          <w:b/>
          <w:bCs/>
          <w:sz w:val="24"/>
          <w:szCs w:val="24"/>
        </w:rPr>
        <w:t>.</w:t>
      </w:r>
      <w:r w:rsidRPr="00844B81">
        <w:rPr>
          <w:rFonts w:ascii="Times New Roman" w:hAnsi="Times New Roman"/>
          <w:sz w:val="24"/>
          <w:szCs w:val="24"/>
        </w:rPr>
        <w:t> Following are data for an employee as of December 31, 201</w:t>
      </w:r>
      <w:r>
        <w:rPr>
          <w:rFonts w:ascii="Times New Roman" w:hAnsi="Times New Roman"/>
          <w:sz w:val="24"/>
          <w:szCs w:val="24"/>
        </w:rPr>
        <w:t>3</w:t>
      </w:r>
      <w:r w:rsidRPr="00844B81">
        <w:rPr>
          <w:rFonts w:ascii="Times New Roman" w:hAnsi="Times New Roman"/>
          <w:sz w:val="24"/>
          <w:szCs w:val="24"/>
        </w:rPr>
        <w:t>:</w:t>
      </w:r>
    </w:p>
    <w:tbl>
      <w:tblPr>
        <w:tblW w:w="0" w:type="auto"/>
        <w:jc w:val="center"/>
        <w:tblLayout w:type="fixed"/>
        <w:tblCellMar>
          <w:left w:w="0" w:type="dxa"/>
          <w:right w:w="0" w:type="dxa"/>
        </w:tblCellMar>
        <w:tblLook w:val="0000" w:firstRow="0" w:lastRow="0" w:firstColumn="0" w:lastColumn="0" w:noHBand="0" w:noVBand="0"/>
      </w:tblPr>
      <w:tblGrid>
        <w:gridCol w:w="3865"/>
        <w:gridCol w:w="3865"/>
      </w:tblGrid>
      <w:tr w:rsidR="00844B81" w:rsidRPr="00844B81" w:rsidTr="000F42B7">
        <w:trPr>
          <w:trHeight w:val="354"/>
          <w:jc w:val="center"/>
        </w:trPr>
        <w:tc>
          <w:tcPr>
            <w:tcW w:w="3865"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844B81" w:rsidRPr="00844B81" w:rsidRDefault="00844B81" w:rsidP="000F42B7">
            <w:pPr>
              <w:suppressAutoHyphens/>
            </w:pPr>
            <w:r w:rsidRPr="00844B81">
              <w:t>Salary:</w:t>
            </w:r>
          </w:p>
        </w:tc>
        <w:tc>
          <w:tcPr>
            <w:tcW w:w="3865"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844B81" w:rsidRPr="00844B81" w:rsidRDefault="00844B81" w:rsidP="000F42B7">
            <w:pPr>
              <w:suppressAutoHyphens/>
            </w:pPr>
            <w:r w:rsidRPr="00844B81">
              <w:t>$30,000</w:t>
            </w:r>
          </w:p>
        </w:tc>
      </w:tr>
      <w:tr w:rsidR="00844B81" w:rsidRPr="00844B81" w:rsidTr="000F42B7">
        <w:trPr>
          <w:trHeight w:val="354"/>
          <w:jc w:val="center"/>
        </w:trPr>
        <w:tc>
          <w:tcPr>
            <w:tcW w:w="3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44B81" w:rsidRPr="00844B81" w:rsidRDefault="00844B81" w:rsidP="000F42B7">
            <w:pPr>
              <w:suppressAutoHyphens/>
            </w:pPr>
            <w:r w:rsidRPr="00844B81">
              <w:t>Date of hire:</w:t>
            </w:r>
          </w:p>
        </w:tc>
        <w:tc>
          <w:tcPr>
            <w:tcW w:w="3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44B81" w:rsidRPr="00844B81" w:rsidRDefault="00844B81" w:rsidP="00F648A8">
            <w:pPr>
              <w:suppressAutoHyphens/>
            </w:pPr>
            <w:r w:rsidRPr="00844B81">
              <w:t>January 1, 200</w:t>
            </w:r>
            <w:r>
              <w:t>3</w:t>
            </w:r>
          </w:p>
        </w:tc>
      </w:tr>
      <w:tr w:rsidR="00844B81" w:rsidRPr="00844B81" w:rsidTr="000F42B7">
        <w:trPr>
          <w:trHeight w:val="354"/>
          <w:jc w:val="center"/>
        </w:trPr>
        <w:tc>
          <w:tcPr>
            <w:tcW w:w="3865"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844B81" w:rsidRPr="00844B81" w:rsidRDefault="00844B81" w:rsidP="000F42B7">
            <w:pPr>
              <w:suppressAutoHyphens/>
            </w:pPr>
            <w:r w:rsidRPr="00844B81">
              <w:t>Date of plan participation:</w:t>
            </w:r>
          </w:p>
        </w:tc>
        <w:tc>
          <w:tcPr>
            <w:tcW w:w="3865"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844B81" w:rsidRPr="00844B81" w:rsidRDefault="00844B81" w:rsidP="00F648A8">
            <w:pPr>
              <w:suppressAutoHyphens/>
            </w:pPr>
            <w:r w:rsidRPr="00844B81">
              <w:t>January 1, 200</w:t>
            </w:r>
            <w:r>
              <w:t>4</w:t>
            </w:r>
          </w:p>
        </w:tc>
      </w:tr>
      <w:tr w:rsidR="00844B81" w:rsidRPr="00844B81" w:rsidTr="000F42B7">
        <w:trPr>
          <w:trHeight w:val="354"/>
          <w:jc w:val="center"/>
        </w:trPr>
        <w:tc>
          <w:tcPr>
            <w:tcW w:w="3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44B81" w:rsidRPr="00844B81" w:rsidRDefault="00844B81" w:rsidP="000F42B7">
            <w:pPr>
              <w:suppressAutoHyphens/>
            </w:pPr>
            <w:r w:rsidRPr="00844B81">
              <w:t>Date of birth:</w:t>
            </w:r>
          </w:p>
        </w:tc>
        <w:tc>
          <w:tcPr>
            <w:tcW w:w="3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44B81" w:rsidRPr="00844B81" w:rsidRDefault="00844B81" w:rsidP="00F648A8">
            <w:pPr>
              <w:suppressAutoHyphens/>
            </w:pPr>
            <w:r w:rsidRPr="00844B81">
              <w:t>January 1, 19</w:t>
            </w:r>
            <w:r>
              <w:t>69</w:t>
            </w:r>
          </w:p>
        </w:tc>
      </w:tr>
      <w:tr w:rsidR="00844B81" w:rsidRPr="00844B81" w:rsidTr="000F42B7">
        <w:trPr>
          <w:trHeight w:val="354"/>
          <w:jc w:val="center"/>
        </w:trPr>
        <w:tc>
          <w:tcPr>
            <w:tcW w:w="3865"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844B81" w:rsidRPr="00844B81" w:rsidRDefault="00844B81" w:rsidP="000F42B7">
            <w:pPr>
              <w:suppressAutoHyphens/>
            </w:pPr>
            <w:r w:rsidRPr="00844B81">
              <w:t>Date of retirement:</w:t>
            </w:r>
          </w:p>
        </w:tc>
        <w:tc>
          <w:tcPr>
            <w:tcW w:w="3865"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844B81" w:rsidRPr="00844B81" w:rsidRDefault="00844B81" w:rsidP="00F648A8">
            <w:pPr>
              <w:suppressAutoHyphens/>
            </w:pPr>
            <w:r w:rsidRPr="00844B81">
              <w:t>January 1, 203</w:t>
            </w:r>
            <w:r>
              <w:t>4</w:t>
            </w:r>
            <w:r w:rsidRPr="00844B81">
              <w:t xml:space="preserve"> (age 65)</w:t>
            </w:r>
          </w:p>
        </w:tc>
      </w:tr>
      <w:tr w:rsidR="00844B81" w:rsidRPr="00844B81" w:rsidTr="000F42B7">
        <w:trPr>
          <w:trHeight w:val="354"/>
          <w:jc w:val="center"/>
        </w:trPr>
        <w:tc>
          <w:tcPr>
            <w:tcW w:w="3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44B81" w:rsidRPr="00844B81" w:rsidRDefault="00844B81" w:rsidP="000F42B7">
            <w:pPr>
              <w:suppressAutoHyphens/>
            </w:pPr>
            <w:r w:rsidRPr="00844B81">
              <w:t>Plan benefit:</w:t>
            </w:r>
          </w:p>
        </w:tc>
        <w:tc>
          <w:tcPr>
            <w:tcW w:w="3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44B81" w:rsidRPr="00844B81" w:rsidRDefault="00844B81" w:rsidP="000F42B7">
            <w:pPr>
              <w:suppressAutoHyphens/>
            </w:pPr>
            <w:r w:rsidRPr="00844B81">
              <w:t>60% of average compensation</w:t>
            </w:r>
          </w:p>
        </w:tc>
      </w:tr>
    </w:tbl>
    <w:p w:rsidR="00844B81" w:rsidRPr="00844B81" w:rsidRDefault="00844B81" w:rsidP="00844B81">
      <w:pPr>
        <w:pStyle w:val="NoParagraphStyle"/>
        <w:suppressAutoHyphens/>
        <w:rPr>
          <w:rFonts w:ascii="Times New Roman" w:hAnsi="Times New Roman" w:cs="Times New Roman"/>
        </w:rPr>
      </w:pPr>
    </w:p>
    <w:p w:rsidR="007C40E9" w:rsidRDefault="00844B81" w:rsidP="00043488">
      <w:pPr>
        <w:pStyle w:val="NoSpacing"/>
        <w:ind w:left="720"/>
        <w:rPr>
          <w:rFonts w:ascii="Times New Roman" w:hAnsi="Times New Roman" w:cs="Times New Roman"/>
          <w:sz w:val="24"/>
          <w:szCs w:val="24"/>
        </w:rPr>
      </w:pPr>
      <w:r w:rsidRPr="00043488">
        <w:rPr>
          <w:rFonts w:ascii="Times New Roman" w:hAnsi="Times New Roman" w:cs="Times New Roman"/>
          <w:sz w:val="24"/>
          <w:szCs w:val="24"/>
        </w:rPr>
        <w:t>Assuming level compensation to retirement age, this employee’s retirement benefit at age 65 will be $1,500 per month for life ($30,000 × 60% / 12 months). The funding calculations of this plan determine that $206,275 will be needed at age 65 to be able to provide the promised benefit (based on 5</w:t>
      </w:r>
      <w:r w:rsidR="00D93726">
        <w:rPr>
          <w:rFonts w:ascii="Times New Roman" w:hAnsi="Times New Roman" w:cs="Times New Roman"/>
          <w:sz w:val="24"/>
          <w:szCs w:val="24"/>
        </w:rPr>
        <w:t xml:space="preserve"> percent</w:t>
      </w:r>
      <w:r w:rsidR="00D93726" w:rsidRPr="00043488">
        <w:rPr>
          <w:rFonts w:ascii="Times New Roman" w:hAnsi="Times New Roman" w:cs="Times New Roman"/>
          <w:sz w:val="24"/>
          <w:szCs w:val="24"/>
        </w:rPr>
        <w:t xml:space="preserve"> </w:t>
      </w:r>
      <w:r w:rsidRPr="00043488">
        <w:rPr>
          <w:rFonts w:ascii="Times New Roman" w:hAnsi="Times New Roman" w:cs="Times New Roman"/>
          <w:sz w:val="24"/>
          <w:szCs w:val="24"/>
        </w:rPr>
        <w:t xml:space="preserve">interest and individual annuity male mortality). </w:t>
      </w:r>
      <w:r w:rsidR="006A4414">
        <w:rPr>
          <w:rFonts w:ascii="Times New Roman" w:hAnsi="Times New Roman" w:cs="Times New Roman"/>
          <w:sz w:val="24"/>
          <w:szCs w:val="24"/>
        </w:rPr>
        <w:t>In other words</w:t>
      </w:r>
      <w:r w:rsidRPr="00043488">
        <w:rPr>
          <w:rFonts w:ascii="Times New Roman" w:hAnsi="Times New Roman" w:cs="Times New Roman"/>
          <w:sz w:val="24"/>
          <w:szCs w:val="24"/>
        </w:rPr>
        <w:t xml:space="preserve">, the plan needs $137.52 at age 65 to fund each dollar of monthly benefit promised ($206,275 / $1,500). </w:t>
      </w:r>
    </w:p>
    <w:p w:rsidR="007C40E9" w:rsidRDefault="007C40E9" w:rsidP="00043488">
      <w:pPr>
        <w:pStyle w:val="NoSpacing"/>
        <w:ind w:left="720"/>
        <w:rPr>
          <w:rFonts w:ascii="Times New Roman" w:hAnsi="Times New Roman" w:cs="Times New Roman"/>
          <w:sz w:val="24"/>
          <w:szCs w:val="24"/>
        </w:rPr>
      </w:pPr>
    </w:p>
    <w:p w:rsidR="00844B81" w:rsidRDefault="00844B81" w:rsidP="00043488">
      <w:pPr>
        <w:pStyle w:val="NoSpacing"/>
        <w:ind w:left="720"/>
        <w:rPr>
          <w:rFonts w:ascii="Times New Roman" w:hAnsi="Times New Roman" w:cs="Times New Roman"/>
          <w:sz w:val="24"/>
          <w:szCs w:val="24"/>
        </w:rPr>
      </w:pPr>
      <w:r w:rsidRPr="00043488">
        <w:rPr>
          <w:rFonts w:ascii="Times New Roman" w:hAnsi="Times New Roman" w:cs="Times New Roman"/>
          <w:sz w:val="24"/>
          <w:szCs w:val="24"/>
        </w:rPr>
        <w:t>Further assume that benefit accruals are based on participation; therefore, the</w:t>
      </w:r>
      <w:r w:rsidRPr="00844B81">
        <w:rPr>
          <w:rFonts w:ascii="Times New Roman" w:hAnsi="Times New Roman" w:cs="Times New Roman"/>
          <w:sz w:val="24"/>
          <w:szCs w:val="24"/>
        </w:rPr>
        <w:t xml:space="preserve"> employee’s accrued benefit would be:</w:t>
      </w:r>
    </w:p>
    <w:p w:rsidR="00043488" w:rsidRDefault="00844B81" w:rsidP="00844B81">
      <w:pPr>
        <w:suppressAutoHyphens/>
        <w:jc w:val="center"/>
      </w:pPr>
      <w:r w:rsidRPr="00844B81">
        <w:t xml:space="preserve">Retirement benefit × </w:t>
      </w:r>
    </w:p>
    <w:p w:rsidR="00844B81" w:rsidRDefault="00844B81" w:rsidP="00844B81">
      <w:pPr>
        <w:suppressAutoHyphens/>
        <w:jc w:val="center"/>
      </w:pPr>
      <w:r w:rsidRPr="00844B81">
        <w:t>(</w:t>
      </w:r>
      <w:proofErr w:type="gramStart"/>
      <w:r w:rsidRPr="00844B81">
        <w:t>years</w:t>
      </w:r>
      <w:proofErr w:type="gramEnd"/>
      <w:r w:rsidRPr="00844B81">
        <w:t xml:space="preserve"> of participation to 12/31/1</w:t>
      </w:r>
      <w:r>
        <w:t>3</w:t>
      </w:r>
      <w:r w:rsidRPr="00844B81">
        <w:t xml:space="preserve"> ÷ years of participation to 1/1/203</w:t>
      </w:r>
      <w:r>
        <w:t>4</w:t>
      </w:r>
      <w:r w:rsidRPr="00844B81">
        <w:t>)</w:t>
      </w:r>
    </w:p>
    <w:p w:rsidR="00D93726" w:rsidRPr="00844B81" w:rsidRDefault="00D93726" w:rsidP="00844B81">
      <w:pPr>
        <w:suppressAutoHyphens/>
        <w:jc w:val="center"/>
      </w:pPr>
    </w:p>
    <w:p w:rsidR="00844B81" w:rsidRPr="00844B81" w:rsidRDefault="00844B81" w:rsidP="00844B81">
      <w:pPr>
        <w:suppressAutoHyphens/>
        <w:jc w:val="center"/>
      </w:pPr>
      <w:r w:rsidRPr="00844B81">
        <w:t>$1,500/month × (10 / 30) = $500/month</w:t>
      </w:r>
    </w:p>
    <w:p w:rsidR="00844B81" w:rsidRPr="00844B81" w:rsidRDefault="00844B81" w:rsidP="00844B81">
      <w:pPr>
        <w:suppressAutoHyphens/>
        <w:jc w:val="center"/>
      </w:pPr>
    </w:p>
    <w:p w:rsidR="003E1272" w:rsidRDefault="00844B81" w:rsidP="00043488">
      <w:pPr>
        <w:pStyle w:val="NoSpacing"/>
        <w:ind w:left="720"/>
        <w:rPr>
          <w:rFonts w:ascii="Times New Roman" w:hAnsi="Times New Roman" w:cs="Times New Roman"/>
          <w:sz w:val="24"/>
          <w:szCs w:val="24"/>
        </w:rPr>
      </w:pPr>
      <w:r w:rsidRPr="00844B81">
        <w:rPr>
          <w:rFonts w:ascii="Times New Roman" w:hAnsi="Times New Roman" w:cs="Times New Roman"/>
          <w:sz w:val="24"/>
          <w:szCs w:val="24"/>
        </w:rPr>
        <w:t xml:space="preserve">The lump sum necessary to fund the accrued benefit, i.e., the amount necessary to pay the accrued benefit of $500 per month beginning at age 65, for life, would be $68,760 ($500 per month × $137.52). The next question is how much is necessary </w:t>
      </w:r>
      <w:r w:rsidR="003E1272">
        <w:rPr>
          <w:rFonts w:ascii="Times New Roman" w:hAnsi="Times New Roman" w:cs="Times New Roman"/>
          <w:sz w:val="24"/>
          <w:szCs w:val="24"/>
        </w:rPr>
        <w:t>as of</w:t>
      </w:r>
      <w:r w:rsidRPr="00844B81">
        <w:rPr>
          <w:rFonts w:ascii="Times New Roman" w:hAnsi="Times New Roman" w:cs="Times New Roman"/>
          <w:sz w:val="24"/>
          <w:szCs w:val="24"/>
        </w:rPr>
        <w:t xml:space="preserve"> December 31, 201</w:t>
      </w:r>
      <w:r w:rsidRPr="00043488">
        <w:rPr>
          <w:rFonts w:ascii="Times New Roman" w:hAnsi="Times New Roman" w:cs="Times New Roman"/>
          <w:sz w:val="24"/>
          <w:szCs w:val="24"/>
        </w:rPr>
        <w:t>3</w:t>
      </w:r>
      <w:r w:rsidRPr="00844B81">
        <w:rPr>
          <w:rFonts w:ascii="Times New Roman" w:hAnsi="Times New Roman" w:cs="Times New Roman"/>
          <w:sz w:val="24"/>
          <w:szCs w:val="24"/>
        </w:rPr>
        <w:t>, so that if invested at x percent, that amount will grow to $68,760 at the employee’s age 65? A financial calculator will show that the answer is $16,187</w:t>
      </w:r>
      <w:r w:rsidR="00DD2DF2" w:rsidRPr="00043488">
        <w:rPr>
          <w:rFonts w:ascii="Times New Roman" w:hAnsi="Times New Roman" w:cs="Times New Roman"/>
          <w:sz w:val="24"/>
          <w:szCs w:val="24"/>
        </w:rPr>
        <w:t xml:space="preserve"> (based on 7.5</w:t>
      </w:r>
      <w:r w:rsidR="00D93726">
        <w:rPr>
          <w:rFonts w:ascii="Times New Roman" w:hAnsi="Times New Roman" w:cs="Times New Roman"/>
          <w:sz w:val="24"/>
          <w:szCs w:val="24"/>
        </w:rPr>
        <w:t xml:space="preserve"> percent</w:t>
      </w:r>
      <w:r w:rsidR="00D93726" w:rsidRPr="00043488">
        <w:rPr>
          <w:rFonts w:ascii="Times New Roman" w:hAnsi="Times New Roman" w:cs="Times New Roman"/>
          <w:sz w:val="24"/>
          <w:szCs w:val="24"/>
        </w:rPr>
        <w:t xml:space="preserve"> </w:t>
      </w:r>
      <w:r w:rsidR="00DD2DF2" w:rsidRPr="00043488">
        <w:rPr>
          <w:rFonts w:ascii="Times New Roman" w:hAnsi="Times New Roman" w:cs="Times New Roman"/>
          <w:sz w:val="24"/>
          <w:szCs w:val="24"/>
        </w:rPr>
        <w:t>interest)</w:t>
      </w:r>
      <w:proofErr w:type="gramStart"/>
      <w:r w:rsidRPr="00844B81">
        <w:rPr>
          <w:rFonts w:ascii="Times New Roman" w:hAnsi="Times New Roman" w:cs="Times New Roman"/>
          <w:sz w:val="24"/>
          <w:szCs w:val="24"/>
        </w:rPr>
        <w:t>,</w:t>
      </w:r>
      <w:proofErr w:type="gramEnd"/>
      <w:r w:rsidRPr="00844B81">
        <w:rPr>
          <w:rFonts w:ascii="Times New Roman" w:hAnsi="Times New Roman" w:cs="Times New Roman"/>
          <w:sz w:val="24"/>
          <w:szCs w:val="24"/>
        </w:rPr>
        <w:t xml:space="preserve"> the present value of the participant’s accrued benefit as of December 31, 201</w:t>
      </w:r>
      <w:r w:rsidR="00043488" w:rsidRPr="00043488">
        <w:rPr>
          <w:rFonts w:ascii="Times New Roman" w:hAnsi="Times New Roman" w:cs="Times New Roman"/>
          <w:sz w:val="24"/>
          <w:szCs w:val="24"/>
        </w:rPr>
        <w:t>3</w:t>
      </w:r>
      <w:r w:rsidRPr="00844B81">
        <w:rPr>
          <w:rFonts w:ascii="Times New Roman" w:hAnsi="Times New Roman" w:cs="Times New Roman"/>
          <w:sz w:val="24"/>
          <w:szCs w:val="24"/>
        </w:rPr>
        <w:t xml:space="preserve">. </w:t>
      </w:r>
    </w:p>
    <w:p w:rsidR="003E1272" w:rsidRDefault="003E1272" w:rsidP="00043488">
      <w:pPr>
        <w:pStyle w:val="NoSpacing"/>
        <w:ind w:left="720"/>
        <w:rPr>
          <w:rFonts w:ascii="Times New Roman" w:hAnsi="Times New Roman" w:cs="Times New Roman"/>
          <w:sz w:val="24"/>
          <w:szCs w:val="24"/>
        </w:rPr>
      </w:pPr>
    </w:p>
    <w:p w:rsidR="00844B81" w:rsidRPr="00844B81" w:rsidRDefault="00844B81" w:rsidP="00043488">
      <w:pPr>
        <w:pStyle w:val="NoSpacing"/>
        <w:ind w:left="720"/>
        <w:rPr>
          <w:rFonts w:ascii="Times New Roman" w:hAnsi="Times New Roman" w:cs="Times New Roman"/>
          <w:sz w:val="24"/>
          <w:szCs w:val="24"/>
        </w:rPr>
      </w:pPr>
      <w:r w:rsidRPr="00844B81">
        <w:rPr>
          <w:rFonts w:ascii="Times New Roman" w:hAnsi="Times New Roman" w:cs="Times New Roman"/>
          <w:sz w:val="24"/>
          <w:szCs w:val="24"/>
        </w:rPr>
        <w:t>The determination of top-heavy status in a defined benefit plan follows the same procedure for each employee.</w:t>
      </w:r>
    </w:p>
    <w:p w:rsidR="00844B81" w:rsidRDefault="00844B81" w:rsidP="00000660">
      <w:pPr>
        <w:pStyle w:val="NoSpacing"/>
        <w:ind w:left="720"/>
        <w:rPr>
          <w:rFonts w:ascii="Times New Roman" w:eastAsia="Times New Roman" w:hAnsi="Times New Roman" w:cs="Times New Roman"/>
          <w:sz w:val="24"/>
          <w:szCs w:val="24"/>
        </w:rPr>
      </w:pPr>
    </w:p>
    <w:p w:rsidR="00377F1B" w:rsidRPr="00AE6419" w:rsidRDefault="00377F1B" w:rsidP="00377F1B">
      <w:pPr>
        <w:pStyle w:val="NoSpacing"/>
        <w:ind w:left="720"/>
        <w:rPr>
          <w:rFonts w:ascii="Times New Roman" w:hAnsi="Times New Roman" w:cs="Times New Roman"/>
          <w:b/>
          <w:sz w:val="24"/>
          <w:szCs w:val="24"/>
        </w:rPr>
      </w:pPr>
      <w:r>
        <w:rPr>
          <w:rFonts w:ascii="Times New Roman" w:hAnsi="Times New Roman" w:cs="Times New Roman"/>
          <w:b/>
          <w:sz w:val="24"/>
          <w:szCs w:val="24"/>
        </w:rPr>
        <w:t>Q. 5.0</w:t>
      </w:r>
      <w:r w:rsidR="00C535E9">
        <w:rPr>
          <w:rFonts w:ascii="Times New Roman" w:hAnsi="Times New Roman" w:cs="Times New Roman"/>
          <w:b/>
          <w:sz w:val="24"/>
          <w:szCs w:val="24"/>
        </w:rPr>
        <w:t>6</w:t>
      </w:r>
      <w:r>
        <w:rPr>
          <w:rFonts w:ascii="Times New Roman" w:hAnsi="Times New Roman" w:cs="Times New Roman"/>
          <w:b/>
          <w:sz w:val="24"/>
          <w:szCs w:val="24"/>
        </w:rPr>
        <w:t xml:space="preserve">:  </w:t>
      </w:r>
      <w:r w:rsidR="003E1272">
        <w:rPr>
          <w:rFonts w:ascii="Times New Roman" w:hAnsi="Times New Roman" w:cs="Times New Roman"/>
          <w:b/>
          <w:sz w:val="24"/>
          <w:szCs w:val="24"/>
        </w:rPr>
        <w:t xml:space="preserve">Who </w:t>
      </w:r>
      <w:r>
        <w:rPr>
          <w:rFonts w:ascii="Times New Roman" w:hAnsi="Times New Roman" w:cs="Times New Roman"/>
          <w:b/>
          <w:sz w:val="24"/>
          <w:szCs w:val="24"/>
        </w:rPr>
        <w:t>is a key employee for purposes of top-heavy status</w:t>
      </w:r>
      <w:r w:rsidRPr="000E5E99">
        <w:rPr>
          <w:rFonts w:ascii="Times New Roman" w:hAnsi="Times New Roman" w:cs="Times New Roman"/>
          <w:b/>
          <w:sz w:val="24"/>
          <w:szCs w:val="24"/>
        </w:rPr>
        <w:t>?</w:t>
      </w:r>
    </w:p>
    <w:p w:rsidR="00377F1B" w:rsidRDefault="00377F1B" w:rsidP="00377F1B">
      <w:pPr>
        <w:pStyle w:val="NoSpacing"/>
        <w:ind w:left="720"/>
        <w:rPr>
          <w:rFonts w:ascii="Times New Roman" w:hAnsi="Times New Roman" w:cs="Times New Roman"/>
          <w:sz w:val="24"/>
          <w:szCs w:val="24"/>
        </w:rPr>
      </w:pPr>
    </w:p>
    <w:p w:rsidR="00377F1B" w:rsidRDefault="00377F1B" w:rsidP="00377F1B">
      <w:pPr>
        <w:pStyle w:val="NoSpacing"/>
        <w:ind w:left="720"/>
        <w:rPr>
          <w:rFonts w:ascii="Times New Roman" w:hAnsi="Times New Roman" w:cs="Times New Roman"/>
          <w:sz w:val="24"/>
          <w:szCs w:val="24"/>
        </w:rPr>
      </w:pPr>
      <w:r w:rsidRPr="00377F1B">
        <w:rPr>
          <w:rFonts w:ascii="Times New Roman" w:hAnsi="Times New Roman" w:cs="Times New Roman"/>
          <w:sz w:val="24"/>
          <w:szCs w:val="24"/>
        </w:rPr>
        <w:t>A key employee is any employee who, at any time during the plan year contain</w:t>
      </w:r>
      <w:r>
        <w:rPr>
          <w:rFonts w:ascii="Times New Roman" w:hAnsi="Times New Roman" w:cs="Times New Roman"/>
          <w:sz w:val="24"/>
          <w:szCs w:val="24"/>
        </w:rPr>
        <w:t>ing the determination date, is:</w:t>
      </w:r>
      <w:r w:rsidR="003E1272">
        <w:rPr>
          <w:rStyle w:val="FootnoteReference"/>
          <w:rFonts w:ascii="Times New Roman" w:hAnsi="Times New Roman" w:cs="Times New Roman"/>
          <w:sz w:val="24"/>
          <w:szCs w:val="24"/>
        </w:rPr>
        <w:footnoteReference w:id="5"/>
      </w:r>
    </w:p>
    <w:p w:rsidR="00377F1B" w:rsidRDefault="00D93726" w:rsidP="00377F1B">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a</w:t>
      </w:r>
      <w:r w:rsidRPr="00377F1B">
        <w:rPr>
          <w:rFonts w:ascii="Times New Roman" w:hAnsi="Times New Roman" w:cs="Times New Roman"/>
          <w:sz w:val="24"/>
          <w:szCs w:val="24"/>
        </w:rPr>
        <w:t xml:space="preserve">n </w:t>
      </w:r>
      <w:r w:rsidR="00377F1B" w:rsidRPr="00377F1B">
        <w:rPr>
          <w:rFonts w:ascii="Times New Roman" w:hAnsi="Times New Roman" w:cs="Times New Roman"/>
          <w:sz w:val="24"/>
          <w:szCs w:val="24"/>
        </w:rPr>
        <w:t>officer of the employer having an annual compensation greater than $1</w:t>
      </w:r>
      <w:r w:rsidR="00CF31E6">
        <w:rPr>
          <w:rFonts w:ascii="Times New Roman" w:hAnsi="Times New Roman" w:cs="Times New Roman"/>
          <w:sz w:val="24"/>
          <w:szCs w:val="24"/>
        </w:rPr>
        <w:t>7</w:t>
      </w:r>
      <w:r w:rsidR="00377F1B" w:rsidRPr="00377F1B">
        <w:rPr>
          <w:rFonts w:ascii="Times New Roman" w:hAnsi="Times New Roman" w:cs="Times New Roman"/>
          <w:sz w:val="24"/>
          <w:szCs w:val="24"/>
        </w:rPr>
        <w:t>0,000 (for 201</w:t>
      </w:r>
      <w:r w:rsidR="00CF31E6">
        <w:rPr>
          <w:rFonts w:ascii="Times New Roman" w:hAnsi="Times New Roman" w:cs="Times New Roman"/>
          <w:sz w:val="24"/>
          <w:szCs w:val="24"/>
        </w:rPr>
        <w:t>4</w:t>
      </w:r>
      <w:r w:rsidR="00377F1B" w:rsidRPr="00377F1B">
        <w:rPr>
          <w:rFonts w:ascii="Times New Roman" w:hAnsi="Times New Roman" w:cs="Times New Roman"/>
          <w:sz w:val="24"/>
          <w:szCs w:val="24"/>
        </w:rPr>
        <w:t>), adjusted for inflation in $5,000 increments;</w:t>
      </w:r>
    </w:p>
    <w:p w:rsidR="00377F1B" w:rsidRDefault="00D93726" w:rsidP="00377F1B">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lastRenderedPageBreak/>
        <w:t>a</w:t>
      </w:r>
      <w:r w:rsidRPr="00377F1B">
        <w:rPr>
          <w:rFonts w:ascii="Times New Roman" w:hAnsi="Times New Roman" w:cs="Times New Roman"/>
          <w:sz w:val="24"/>
          <w:szCs w:val="24"/>
        </w:rPr>
        <w:t xml:space="preserve"> </w:t>
      </w:r>
      <w:r w:rsidR="00377F1B" w:rsidRPr="00377F1B">
        <w:rPr>
          <w:rFonts w:ascii="Times New Roman" w:hAnsi="Times New Roman" w:cs="Times New Roman"/>
          <w:sz w:val="24"/>
          <w:szCs w:val="24"/>
        </w:rPr>
        <w:t>5</w:t>
      </w:r>
      <w:r w:rsidR="003E1272">
        <w:rPr>
          <w:rFonts w:ascii="Times New Roman" w:hAnsi="Times New Roman" w:cs="Times New Roman"/>
          <w:sz w:val="24"/>
          <w:szCs w:val="24"/>
        </w:rPr>
        <w:t xml:space="preserve"> </w:t>
      </w:r>
      <w:r w:rsidR="00377F1B" w:rsidRPr="00377F1B">
        <w:rPr>
          <w:rFonts w:ascii="Times New Roman" w:hAnsi="Times New Roman" w:cs="Times New Roman"/>
          <w:sz w:val="24"/>
          <w:szCs w:val="24"/>
        </w:rPr>
        <w:t>percent owner of the employer; or</w:t>
      </w:r>
    </w:p>
    <w:p w:rsidR="00822202" w:rsidRPr="00822202" w:rsidRDefault="00D93726" w:rsidP="00377F1B">
      <w:pPr>
        <w:pStyle w:val="NoSpacing"/>
        <w:numPr>
          <w:ilvl w:val="0"/>
          <w:numId w:val="19"/>
        </w:numPr>
        <w:rPr>
          <w:rFonts w:ascii="Times New Roman" w:eastAsia="Times New Roman" w:hAnsi="Times New Roman" w:cs="Times New Roman"/>
          <w:sz w:val="24"/>
          <w:szCs w:val="24"/>
        </w:rPr>
      </w:pPr>
      <w:proofErr w:type="gramStart"/>
      <w:r>
        <w:rPr>
          <w:rFonts w:ascii="Times New Roman" w:hAnsi="Times New Roman" w:cs="Times New Roman"/>
          <w:sz w:val="24"/>
          <w:szCs w:val="24"/>
        </w:rPr>
        <w:t>a</w:t>
      </w:r>
      <w:proofErr w:type="gramEnd"/>
      <w:r w:rsidRPr="00377F1B">
        <w:rPr>
          <w:rFonts w:ascii="Times New Roman" w:hAnsi="Times New Roman" w:cs="Times New Roman"/>
          <w:sz w:val="24"/>
          <w:szCs w:val="24"/>
        </w:rPr>
        <w:t xml:space="preserve"> </w:t>
      </w:r>
      <w:r w:rsidR="00377F1B" w:rsidRPr="00377F1B">
        <w:rPr>
          <w:rFonts w:ascii="Times New Roman" w:hAnsi="Times New Roman" w:cs="Times New Roman"/>
          <w:sz w:val="24"/>
          <w:szCs w:val="24"/>
        </w:rPr>
        <w:t>1</w:t>
      </w:r>
      <w:r w:rsidR="003E1272">
        <w:rPr>
          <w:rFonts w:ascii="Times New Roman" w:hAnsi="Times New Roman" w:cs="Times New Roman"/>
          <w:sz w:val="24"/>
          <w:szCs w:val="24"/>
        </w:rPr>
        <w:t xml:space="preserve"> </w:t>
      </w:r>
      <w:r w:rsidR="00377F1B" w:rsidRPr="00377F1B">
        <w:rPr>
          <w:rFonts w:ascii="Times New Roman" w:hAnsi="Times New Roman" w:cs="Times New Roman"/>
          <w:sz w:val="24"/>
          <w:szCs w:val="24"/>
        </w:rPr>
        <w:t>percent owner of the employer having an annual compensation from the employer of more than $1</w:t>
      </w:r>
      <w:r w:rsidR="00CF31E6">
        <w:rPr>
          <w:rFonts w:ascii="Times New Roman" w:hAnsi="Times New Roman" w:cs="Times New Roman"/>
          <w:sz w:val="24"/>
          <w:szCs w:val="24"/>
        </w:rPr>
        <w:t>7</w:t>
      </w:r>
      <w:r w:rsidR="00377F1B" w:rsidRPr="00377F1B">
        <w:rPr>
          <w:rFonts w:ascii="Times New Roman" w:hAnsi="Times New Roman" w:cs="Times New Roman"/>
          <w:sz w:val="24"/>
          <w:szCs w:val="24"/>
        </w:rPr>
        <w:t>0,000</w:t>
      </w:r>
      <w:r w:rsidR="003E1272">
        <w:rPr>
          <w:rFonts w:ascii="Times New Roman" w:hAnsi="Times New Roman" w:cs="Times New Roman"/>
          <w:sz w:val="24"/>
          <w:szCs w:val="24"/>
        </w:rPr>
        <w:t>.</w:t>
      </w:r>
    </w:p>
    <w:p w:rsidR="00377F1B" w:rsidRDefault="00377F1B" w:rsidP="00822202">
      <w:pPr>
        <w:pStyle w:val="NoSpacing"/>
        <w:ind w:left="720"/>
        <w:rPr>
          <w:rFonts w:ascii="Times New Roman" w:eastAsia="Times New Roman" w:hAnsi="Times New Roman" w:cs="Times New Roman"/>
          <w:sz w:val="24"/>
          <w:szCs w:val="24"/>
        </w:rPr>
      </w:pPr>
    </w:p>
    <w:p w:rsidR="006C3817" w:rsidRDefault="006C3817" w:rsidP="00822202">
      <w:pPr>
        <w:pStyle w:val="NoSpacing"/>
        <w:ind w:left="720"/>
        <w:rPr>
          <w:rFonts w:ascii="Times New Roman" w:eastAsia="Times New Roman" w:hAnsi="Times New Roman" w:cs="Times New Roman"/>
          <w:sz w:val="24"/>
          <w:szCs w:val="24"/>
        </w:rPr>
      </w:pPr>
    </w:p>
    <w:p w:rsidR="00822202" w:rsidRDefault="00822202" w:rsidP="00822202">
      <w:pPr>
        <w:pStyle w:val="NoSpacing"/>
        <w:ind w:left="720"/>
        <w:rPr>
          <w:rFonts w:ascii="Times New Roman" w:eastAsia="Times New Roman" w:hAnsi="Times New Roman" w:cs="Times New Roman"/>
          <w:sz w:val="24"/>
          <w:szCs w:val="24"/>
        </w:rPr>
      </w:pPr>
      <w:r w:rsidRPr="00822202">
        <w:rPr>
          <w:rFonts w:ascii="Times New Roman" w:eastAsia="Times New Roman" w:hAnsi="Times New Roman" w:cs="Times New Roman"/>
          <w:sz w:val="24"/>
          <w:szCs w:val="24"/>
        </w:rPr>
        <w:t xml:space="preserve">When identifying key employees under items 2 and 3, the ownership attribution rules of </w:t>
      </w:r>
      <w:r w:rsidR="003E1272">
        <w:rPr>
          <w:rFonts w:ascii="Times New Roman" w:eastAsia="Times New Roman" w:hAnsi="Times New Roman" w:cs="Times New Roman"/>
          <w:sz w:val="24"/>
          <w:szCs w:val="24"/>
        </w:rPr>
        <w:t>Code</w:t>
      </w:r>
      <w:r w:rsidR="003E1272" w:rsidRPr="00822202">
        <w:rPr>
          <w:rFonts w:ascii="Times New Roman" w:eastAsia="Times New Roman" w:hAnsi="Times New Roman" w:cs="Times New Roman"/>
          <w:sz w:val="24"/>
          <w:szCs w:val="24"/>
        </w:rPr>
        <w:t xml:space="preserve"> </w:t>
      </w:r>
      <w:r w:rsidRPr="00822202">
        <w:rPr>
          <w:rFonts w:ascii="Times New Roman" w:eastAsia="Times New Roman" w:hAnsi="Times New Roman" w:cs="Times New Roman"/>
          <w:sz w:val="24"/>
          <w:szCs w:val="24"/>
        </w:rPr>
        <w:t>Section 318(a) apply</w:t>
      </w:r>
      <w:r>
        <w:rPr>
          <w:rFonts w:ascii="Times New Roman" w:eastAsia="Times New Roman" w:hAnsi="Times New Roman" w:cs="Times New Roman"/>
          <w:sz w:val="24"/>
          <w:szCs w:val="24"/>
        </w:rPr>
        <w:t>.</w:t>
      </w:r>
    </w:p>
    <w:p w:rsidR="004C6A04" w:rsidRDefault="004C6A04" w:rsidP="00822202">
      <w:pPr>
        <w:pStyle w:val="NoSpacing"/>
        <w:ind w:left="720"/>
        <w:rPr>
          <w:rFonts w:ascii="Times New Roman" w:eastAsia="Times New Roman" w:hAnsi="Times New Roman" w:cs="Times New Roman"/>
          <w:sz w:val="24"/>
          <w:szCs w:val="24"/>
        </w:rPr>
      </w:pPr>
    </w:p>
    <w:p w:rsidR="000F6036" w:rsidRPr="00AE6419" w:rsidRDefault="000F6036" w:rsidP="000F6036">
      <w:pPr>
        <w:pStyle w:val="NoSpacing"/>
        <w:ind w:left="720"/>
        <w:rPr>
          <w:rFonts w:ascii="Times New Roman" w:hAnsi="Times New Roman" w:cs="Times New Roman"/>
          <w:b/>
          <w:sz w:val="24"/>
          <w:szCs w:val="24"/>
        </w:rPr>
      </w:pPr>
      <w:r>
        <w:rPr>
          <w:rFonts w:ascii="Times New Roman" w:hAnsi="Times New Roman" w:cs="Times New Roman"/>
          <w:b/>
          <w:sz w:val="24"/>
          <w:szCs w:val="24"/>
        </w:rPr>
        <w:t>Q. 5.0</w:t>
      </w:r>
      <w:r w:rsidR="00C535E9">
        <w:rPr>
          <w:rFonts w:ascii="Times New Roman" w:hAnsi="Times New Roman" w:cs="Times New Roman"/>
          <w:b/>
          <w:sz w:val="24"/>
          <w:szCs w:val="24"/>
        </w:rPr>
        <w:t>7</w:t>
      </w:r>
      <w:r>
        <w:rPr>
          <w:rFonts w:ascii="Times New Roman" w:hAnsi="Times New Roman" w:cs="Times New Roman"/>
          <w:b/>
          <w:sz w:val="24"/>
          <w:szCs w:val="24"/>
        </w:rPr>
        <w:t xml:space="preserve">:  </w:t>
      </w:r>
      <w:r w:rsidR="003E1272">
        <w:rPr>
          <w:rFonts w:ascii="Times New Roman" w:hAnsi="Times New Roman" w:cs="Times New Roman"/>
          <w:b/>
          <w:sz w:val="24"/>
          <w:szCs w:val="24"/>
        </w:rPr>
        <w:t xml:space="preserve">Who </w:t>
      </w:r>
      <w:r>
        <w:rPr>
          <w:rFonts w:ascii="Times New Roman" w:hAnsi="Times New Roman" w:cs="Times New Roman"/>
          <w:b/>
          <w:sz w:val="24"/>
          <w:szCs w:val="24"/>
        </w:rPr>
        <w:t>is an officer for purposes of top-heavy status</w:t>
      </w:r>
      <w:r w:rsidRPr="000E5E99">
        <w:rPr>
          <w:rFonts w:ascii="Times New Roman" w:hAnsi="Times New Roman" w:cs="Times New Roman"/>
          <w:b/>
          <w:sz w:val="24"/>
          <w:szCs w:val="24"/>
        </w:rPr>
        <w:t>?</w:t>
      </w:r>
    </w:p>
    <w:p w:rsidR="000F6036" w:rsidRDefault="000F6036" w:rsidP="000F6036">
      <w:pPr>
        <w:pStyle w:val="NoSpacing"/>
        <w:ind w:left="720"/>
        <w:rPr>
          <w:rFonts w:ascii="Times New Roman" w:hAnsi="Times New Roman" w:cs="Times New Roman"/>
          <w:sz w:val="24"/>
          <w:szCs w:val="24"/>
        </w:rPr>
      </w:pPr>
    </w:p>
    <w:p w:rsidR="00377F1B" w:rsidRDefault="000F6036" w:rsidP="000F6036">
      <w:pPr>
        <w:pStyle w:val="NoSpacing"/>
        <w:ind w:left="720"/>
        <w:rPr>
          <w:rFonts w:ascii="Times New Roman" w:hAnsi="Times New Roman" w:cs="Times New Roman"/>
          <w:sz w:val="24"/>
          <w:szCs w:val="24"/>
        </w:rPr>
      </w:pPr>
      <w:r w:rsidRPr="000F6036">
        <w:rPr>
          <w:rFonts w:ascii="Times New Roman" w:hAnsi="Times New Roman" w:cs="Times New Roman"/>
          <w:sz w:val="24"/>
          <w:szCs w:val="24"/>
        </w:rPr>
        <w:t xml:space="preserve">The determination about whether </w:t>
      </w:r>
      <w:r w:rsidR="006F30E1">
        <w:rPr>
          <w:rFonts w:ascii="Times New Roman" w:hAnsi="Times New Roman" w:cs="Times New Roman"/>
          <w:sz w:val="24"/>
          <w:szCs w:val="24"/>
        </w:rPr>
        <w:t>a key</w:t>
      </w:r>
      <w:r w:rsidR="00A07F25">
        <w:rPr>
          <w:rFonts w:ascii="Times New Roman" w:hAnsi="Times New Roman" w:cs="Times New Roman"/>
          <w:sz w:val="24"/>
          <w:szCs w:val="24"/>
        </w:rPr>
        <w:t xml:space="preserve"> </w:t>
      </w:r>
      <w:r w:rsidRPr="000F6036">
        <w:rPr>
          <w:rFonts w:ascii="Times New Roman" w:hAnsi="Times New Roman" w:cs="Times New Roman"/>
          <w:sz w:val="24"/>
          <w:szCs w:val="24"/>
        </w:rPr>
        <w:t>employee</w:t>
      </w:r>
      <w:r w:rsidR="00A07F25">
        <w:rPr>
          <w:rFonts w:ascii="Times New Roman" w:hAnsi="Times New Roman" w:cs="Times New Roman"/>
          <w:sz w:val="24"/>
          <w:szCs w:val="24"/>
        </w:rPr>
        <w:t xml:space="preserve"> is an</w:t>
      </w:r>
      <w:r w:rsidRPr="000F6036">
        <w:rPr>
          <w:rFonts w:ascii="Times New Roman" w:hAnsi="Times New Roman" w:cs="Times New Roman"/>
          <w:sz w:val="24"/>
          <w:szCs w:val="24"/>
        </w:rPr>
        <w:t xml:space="preserve"> officer is based on the facts, including the source of </w:t>
      </w:r>
      <w:r w:rsidR="003E1272">
        <w:rPr>
          <w:rFonts w:ascii="Times New Roman" w:hAnsi="Times New Roman" w:cs="Times New Roman"/>
          <w:sz w:val="24"/>
          <w:szCs w:val="24"/>
        </w:rPr>
        <w:t>the employee’s</w:t>
      </w:r>
      <w:r w:rsidR="003E1272" w:rsidRPr="000F6036">
        <w:rPr>
          <w:rFonts w:ascii="Times New Roman" w:hAnsi="Times New Roman" w:cs="Times New Roman"/>
          <w:sz w:val="24"/>
          <w:szCs w:val="24"/>
        </w:rPr>
        <w:t xml:space="preserve"> </w:t>
      </w:r>
      <w:r w:rsidRPr="000F6036">
        <w:rPr>
          <w:rFonts w:ascii="Times New Roman" w:hAnsi="Times New Roman" w:cs="Times New Roman"/>
          <w:sz w:val="24"/>
          <w:szCs w:val="24"/>
        </w:rPr>
        <w:t xml:space="preserve">authority, the term for which </w:t>
      </w:r>
      <w:r w:rsidR="00D93726">
        <w:rPr>
          <w:rFonts w:ascii="Times New Roman" w:hAnsi="Times New Roman" w:cs="Times New Roman"/>
          <w:sz w:val="24"/>
          <w:szCs w:val="24"/>
        </w:rPr>
        <w:t>the employee</w:t>
      </w:r>
      <w:r w:rsidR="003E1272" w:rsidRPr="000F6036">
        <w:rPr>
          <w:rFonts w:ascii="Times New Roman" w:hAnsi="Times New Roman" w:cs="Times New Roman"/>
          <w:sz w:val="24"/>
          <w:szCs w:val="24"/>
        </w:rPr>
        <w:t xml:space="preserve"> </w:t>
      </w:r>
      <w:r w:rsidR="003E1272">
        <w:rPr>
          <w:rFonts w:ascii="Times New Roman" w:hAnsi="Times New Roman" w:cs="Times New Roman"/>
          <w:sz w:val="24"/>
          <w:szCs w:val="24"/>
        </w:rPr>
        <w:t>is</w:t>
      </w:r>
      <w:r w:rsidR="003E1272" w:rsidRPr="000F6036">
        <w:rPr>
          <w:rFonts w:ascii="Times New Roman" w:hAnsi="Times New Roman" w:cs="Times New Roman"/>
          <w:sz w:val="24"/>
          <w:szCs w:val="24"/>
        </w:rPr>
        <w:t xml:space="preserve"> </w:t>
      </w:r>
      <w:r w:rsidRPr="000F6036">
        <w:rPr>
          <w:rFonts w:ascii="Times New Roman" w:hAnsi="Times New Roman" w:cs="Times New Roman"/>
          <w:sz w:val="24"/>
          <w:szCs w:val="24"/>
        </w:rPr>
        <w:t xml:space="preserve">serving in the position, whether elected or appointed, and the nature and extent of </w:t>
      </w:r>
      <w:r w:rsidR="00D93726">
        <w:rPr>
          <w:rFonts w:ascii="Times New Roman" w:hAnsi="Times New Roman" w:cs="Times New Roman"/>
          <w:sz w:val="24"/>
          <w:szCs w:val="24"/>
        </w:rPr>
        <w:t>the employee’s</w:t>
      </w:r>
      <w:r w:rsidR="003E1272" w:rsidRPr="000F6036">
        <w:rPr>
          <w:rFonts w:ascii="Times New Roman" w:hAnsi="Times New Roman" w:cs="Times New Roman"/>
          <w:sz w:val="24"/>
          <w:szCs w:val="24"/>
        </w:rPr>
        <w:t xml:space="preserve"> </w:t>
      </w:r>
      <w:r w:rsidRPr="000F6036">
        <w:rPr>
          <w:rFonts w:ascii="Times New Roman" w:hAnsi="Times New Roman" w:cs="Times New Roman"/>
          <w:sz w:val="24"/>
          <w:szCs w:val="24"/>
        </w:rPr>
        <w:t>duties.</w:t>
      </w:r>
      <w:r w:rsidR="00F430B0">
        <w:rPr>
          <w:rStyle w:val="FootnoteReference"/>
          <w:rFonts w:ascii="Times New Roman" w:hAnsi="Times New Roman" w:cs="Times New Roman"/>
          <w:sz w:val="24"/>
          <w:szCs w:val="24"/>
        </w:rPr>
        <w:footnoteReference w:id="6"/>
      </w:r>
      <w:r w:rsidR="0036416B">
        <w:rPr>
          <w:rFonts w:ascii="Times New Roman" w:hAnsi="Times New Roman" w:cs="Times New Roman"/>
          <w:sz w:val="24"/>
          <w:szCs w:val="24"/>
        </w:rPr>
        <w:t xml:space="preserve">  </w:t>
      </w:r>
      <w:r w:rsidRPr="000F6036">
        <w:rPr>
          <w:rFonts w:ascii="Times New Roman" w:hAnsi="Times New Roman" w:cs="Times New Roman"/>
          <w:sz w:val="24"/>
          <w:szCs w:val="24"/>
        </w:rPr>
        <w:t>There is a limit on the number of officers who must be taken into account depending on the number of employees in the group being tested for top-heavy status.</w:t>
      </w:r>
      <w:r w:rsidR="0036416B">
        <w:rPr>
          <w:rFonts w:ascii="Times New Roman" w:hAnsi="Times New Roman" w:cs="Times New Roman"/>
          <w:sz w:val="24"/>
          <w:szCs w:val="24"/>
        </w:rPr>
        <w:t xml:space="preserve">  </w:t>
      </w:r>
      <w:r w:rsidRPr="000F6036">
        <w:rPr>
          <w:rFonts w:ascii="Times New Roman" w:hAnsi="Times New Roman" w:cs="Times New Roman"/>
          <w:sz w:val="24"/>
          <w:szCs w:val="24"/>
        </w:rPr>
        <w:t>Keeping in mind that the term “officer” refers to the facts and circumstances and not the title, entities other than corporations can have officers for purposes of top-heavy status. A partner in a partnership with the authority of an officer would be considered an officer for top-heavy purposes.</w:t>
      </w:r>
    </w:p>
    <w:p w:rsidR="004C6A04" w:rsidRDefault="004C6A04" w:rsidP="000F6036">
      <w:pPr>
        <w:pStyle w:val="NoSpacing"/>
        <w:ind w:left="720"/>
        <w:rPr>
          <w:rFonts w:ascii="Times New Roman" w:hAnsi="Times New Roman" w:cs="Times New Roman"/>
          <w:sz w:val="24"/>
          <w:szCs w:val="24"/>
        </w:rPr>
      </w:pPr>
    </w:p>
    <w:p w:rsidR="00641BCA" w:rsidRPr="00AE6419" w:rsidRDefault="00641BCA" w:rsidP="00641BCA">
      <w:pPr>
        <w:pStyle w:val="NoSpacing"/>
        <w:ind w:left="720"/>
        <w:rPr>
          <w:rFonts w:ascii="Times New Roman" w:hAnsi="Times New Roman" w:cs="Times New Roman"/>
          <w:b/>
          <w:sz w:val="24"/>
          <w:szCs w:val="24"/>
        </w:rPr>
      </w:pPr>
      <w:r>
        <w:rPr>
          <w:rFonts w:ascii="Times New Roman" w:hAnsi="Times New Roman" w:cs="Times New Roman"/>
          <w:b/>
          <w:sz w:val="24"/>
          <w:szCs w:val="24"/>
        </w:rPr>
        <w:t>Q. 5.0</w:t>
      </w:r>
      <w:r w:rsidR="00C535E9">
        <w:rPr>
          <w:rFonts w:ascii="Times New Roman" w:hAnsi="Times New Roman" w:cs="Times New Roman"/>
          <w:b/>
          <w:sz w:val="24"/>
          <w:szCs w:val="24"/>
        </w:rPr>
        <w:t>8</w:t>
      </w:r>
      <w:r>
        <w:rPr>
          <w:rFonts w:ascii="Times New Roman" w:hAnsi="Times New Roman" w:cs="Times New Roman"/>
          <w:b/>
          <w:sz w:val="24"/>
          <w:szCs w:val="24"/>
        </w:rPr>
        <w:t>:  What is an aggregation group</w:t>
      </w:r>
      <w:r w:rsidRPr="000E5E99">
        <w:rPr>
          <w:rFonts w:ascii="Times New Roman" w:hAnsi="Times New Roman" w:cs="Times New Roman"/>
          <w:b/>
          <w:sz w:val="24"/>
          <w:szCs w:val="24"/>
        </w:rPr>
        <w:t>?</w:t>
      </w:r>
    </w:p>
    <w:p w:rsidR="00641BCA" w:rsidRDefault="00641BCA" w:rsidP="00641BCA">
      <w:pPr>
        <w:pStyle w:val="NoSpacing"/>
        <w:ind w:left="720"/>
        <w:rPr>
          <w:rFonts w:ascii="Times New Roman" w:hAnsi="Times New Roman" w:cs="Times New Roman"/>
          <w:sz w:val="24"/>
          <w:szCs w:val="24"/>
        </w:rPr>
      </w:pPr>
    </w:p>
    <w:p w:rsidR="00AE0EF5" w:rsidRDefault="00641BCA" w:rsidP="00641BCA">
      <w:pPr>
        <w:pStyle w:val="NoSpacing"/>
        <w:ind w:left="720"/>
        <w:rPr>
          <w:rFonts w:ascii="Times New Roman" w:hAnsi="Times New Roman" w:cs="Times New Roman"/>
          <w:sz w:val="24"/>
          <w:szCs w:val="24"/>
        </w:rPr>
      </w:pPr>
      <w:r>
        <w:rPr>
          <w:rFonts w:ascii="Times New Roman" w:hAnsi="Times New Roman" w:cs="Times New Roman"/>
          <w:sz w:val="24"/>
          <w:szCs w:val="24"/>
        </w:rPr>
        <w:t>An aggregation group is a combination of an employer’s qualified retirement plans (both defined benefit and defined contribution plans) for purposes of determining top-heavy status.</w:t>
      </w:r>
      <w:r w:rsidR="008F001E">
        <w:rPr>
          <w:rFonts w:ascii="Times New Roman" w:hAnsi="Times New Roman" w:cs="Times New Roman"/>
          <w:sz w:val="24"/>
          <w:szCs w:val="24"/>
        </w:rPr>
        <w:t xml:space="preserve">  </w:t>
      </w:r>
    </w:p>
    <w:p w:rsidR="00F430B0" w:rsidRDefault="00F430B0" w:rsidP="002A7C66">
      <w:pPr>
        <w:pStyle w:val="NoSpacing"/>
        <w:ind w:left="1080"/>
        <w:rPr>
          <w:rFonts w:ascii="Times New Roman" w:hAnsi="Times New Roman" w:cs="Times New Roman"/>
          <w:sz w:val="24"/>
          <w:szCs w:val="24"/>
        </w:rPr>
      </w:pPr>
    </w:p>
    <w:p w:rsidR="00641BCA" w:rsidRDefault="008F001E" w:rsidP="002A7C66">
      <w:pPr>
        <w:pStyle w:val="NoSpacing"/>
        <w:ind w:left="720"/>
        <w:rPr>
          <w:rFonts w:ascii="Times New Roman" w:hAnsi="Times New Roman" w:cs="Times New Roman"/>
          <w:sz w:val="24"/>
          <w:szCs w:val="24"/>
        </w:rPr>
      </w:pPr>
      <w:r w:rsidRPr="008F001E">
        <w:rPr>
          <w:rFonts w:ascii="Times New Roman" w:hAnsi="Times New Roman" w:cs="Times New Roman"/>
          <w:sz w:val="24"/>
          <w:szCs w:val="24"/>
        </w:rPr>
        <w:t>Each plan in an aggregation group is treated as a top-heavy plan if the group is a top-heavy group.</w:t>
      </w:r>
      <w:r w:rsidR="00F430B0">
        <w:rPr>
          <w:rStyle w:val="FootnoteReference"/>
          <w:rFonts w:ascii="Times New Roman" w:hAnsi="Times New Roman" w:cs="Times New Roman"/>
          <w:sz w:val="24"/>
          <w:szCs w:val="24"/>
        </w:rPr>
        <w:footnoteReference w:id="7"/>
      </w:r>
      <w:r w:rsidR="00844844">
        <w:rPr>
          <w:rFonts w:ascii="Times New Roman" w:hAnsi="Times New Roman" w:cs="Times New Roman"/>
          <w:sz w:val="24"/>
          <w:szCs w:val="24"/>
        </w:rPr>
        <w:t xml:space="preserve"> </w:t>
      </w:r>
    </w:p>
    <w:p w:rsidR="00641BCA" w:rsidRDefault="00641BCA" w:rsidP="00641BCA">
      <w:pPr>
        <w:pStyle w:val="NoSpacing"/>
        <w:ind w:left="720"/>
        <w:rPr>
          <w:rFonts w:ascii="Times New Roman" w:hAnsi="Times New Roman" w:cs="Times New Roman"/>
          <w:sz w:val="24"/>
          <w:szCs w:val="24"/>
        </w:rPr>
      </w:pPr>
    </w:p>
    <w:p w:rsidR="008F001E" w:rsidRDefault="00641BCA" w:rsidP="00641BCA">
      <w:pPr>
        <w:pStyle w:val="NoSpacing"/>
        <w:ind w:left="720"/>
        <w:rPr>
          <w:rFonts w:ascii="Times New Roman" w:hAnsi="Times New Roman" w:cs="Times New Roman"/>
          <w:sz w:val="24"/>
          <w:szCs w:val="24"/>
        </w:rPr>
      </w:pPr>
      <w:r w:rsidRPr="00641BCA">
        <w:rPr>
          <w:rFonts w:ascii="Times New Roman" w:hAnsi="Times New Roman" w:cs="Times New Roman"/>
          <w:sz w:val="24"/>
          <w:szCs w:val="24"/>
        </w:rPr>
        <w:t xml:space="preserve">A required aggregation group includes each plan of the employer in which a key employee is a participant, and each other plan of the employer that enables any other plan to meet the requirements of </w:t>
      </w:r>
      <w:r w:rsidR="00F430B0">
        <w:rPr>
          <w:rFonts w:ascii="Times New Roman" w:hAnsi="Times New Roman" w:cs="Times New Roman"/>
          <w:sz w:val="24"/>
          <w:szCs w:val="24"/>
        </w:rPr>
        <w:t>Code</w:t>
      </w:r>
      <w:r w:rsidR="00F430B0" w:rsidRPr="00641BCA">
        <w:rPr>
          <w:rFonts w:ascii="Times New Roman" w:hAnsi="Times New Roman" w:cs="Times New Roman"/>
          <w:sz w:val="24"/>
          <w:szCs w:val="24"/>
        </w:rPr>
        <w:t xml:space="preserve"> </w:t>
      </w:r>
      <w:r w:rsidRPr="00641BCA">
        <w:rPr>
          <w:rFonts w:ascii="Times New Roman" w:hAnsi="Times New Roman" w:cs="Times New Roman"/>
          <w:sz w:val="24"/>
          <w:szCs w:val="24"/>
        </w:rPr>
        <w:t>Section 401(a)(4) or</w:t>
      </w:r>
      <w:r w:rsidR="00D93726">
        <w:rPr>
          <w:rFonts w:ascii="Times New Roman" w:hAnsi="Times New Roman" w:cs="Times New Roman"/>
          <w:sz w:val="24"/>
          <w:szCs w:val="24"/>
        </w:rPr>
        <w:t xml:space="preserve"> Code</w:t>
      </w:r>
      <w:r w:rsidR="00D93726" w:rsidRPr="00641BCA">
        <w:rPr>
          <w:rFonts w:ascii="Times New Roman" w:hAnsi="Times New Roman" w:cs="Times New Roman"/>
          <w:sz w:val="24"/>
          <w:szCs w:val="24"/>
        </w:rPr>
        <w:t xml:space="preserve"> Section</w:t>
      </w:r>
      <w:r w:rsidR="00D93726" w:rsidRPr="00641BCA" w:rsidDel="00D93726">
        <w:rPr>
          <w:rFonts w:ascii="Times New Roman" w:hAnsi="Times New Roman" w:cs="Times New Roman"/>
          <w:sz w:val="24"/>
          <w:szCs w:val="24"/>
        </w:rPr>
        <w:t xml:space="preserve"> </w:t>
      </w:r>
      <w:r w:rsidRPr="00641BCA">
        <w:rPr>
          <w:rFonts w:ascii="Times New Roman" w:hAnsi="Times New Roman" w:cs="Times New Roman"/>
          <w:sz w:val="24"/>
          <w:szCs w:val="24"/>
        </w:rPr>
        <w:t>410(b).</w:t>
      </w:r>
      <w:r w:rsidR="00F430B0">
        <w:rPr>
          <w:rStyle w:val="FootnoteReference"/>
          <w:rFonts w:ascii="Times New Roman" w:hAnsi="Times New Roman" w:cs="Times New Roman"/>
          <w:sz w:val="24"/>
          <w:szCs w:val="24"/>
        </w:rPr>
        <w:footnoteReference w:id="8"/>
      </w:r>
      <w:r w:rsidR="00844844">
        <w:rPr>
          <w:rFonts w:ascii="Times New Roman" w:hAnsi="Times New Roman" w:cs="Times New Roman"/>
          <w:sz w:val="24"/>
          <w:szCs w:val="24"/>
        </w:rPr>
        <w:t xml:space="preserve"> </w:t>
      </w:r>
    </w:p>
    <w:p w:rsidR="00641BCA" w:rsidRPr="00641BCA" w:rsidRDefault="00641BCA" w:rsidP="00641BCA">
      <w:pPr>
        <w:pStyle w:val="NoSpacing"/>
        <w:ind w:left="720"/>
        <w:rPr>
          <w:rFonts w:ascii="Times New Roman" w:hAnsi="Times New Roman" w:cs="Times New Roman"/>
          <w:sz w:val="24"/>
          <w:szCs w:val="24"/>
        </w:rPr>
      </w:pPr>
      <w:r w:rsidRPr="00641BCA">
        <w:rPr>
          <w:rFonts w:ascii="Times New Roman" w:hAnsi="Times New Roman" w:cs="Times New Roman"/>
          <w:sz w:val="24"/>
          <w:szCs w:val="24"/>
        </w:rPr>
        <w:t xml:space="preserve"> </w:t>
      </w:r>
    </w:p>
    <w:p w:rsidR="00641BCA" w:rsidRDefault="00641BCA" w:rsidP="00641BCA">
      <w:pPr>
        <w:pStyle w:val="NoSpacing"/>
        <w:ind w:left="720"/>
        <w:rPr>
          <w:rFonts w:ascii="Times New Roman" w:hAnsi="Times New Roman" w:cs="Times New Roman"/>
          <w:sz w:val="24"/>
          <w:szCs w:val="24"/>
        </w:rPr>
      </w:pPr>
      <w:r w:rsidRPr="00641BCA">
        <w:rPr>
          <w:rFonts w:ascii="Times New Roman" w:hAnsi="Times New Roman" w:cs="Times New Roman"/>
          <w:sz w:val="24"/>
          <w:szCs w:val="24"/>
        </w:rPr>
        <w:t xml:space="preserve">Permissive aggregation means the employer may treat any plan not required to be included in an aggregation group as being part of that group if that group would continue to meet the requirements of </w:t>
      </w:r>
      <w:r w:rsidR="00444EB9">
        <w:rPr>
          <w:rFonts w:ascii="Times New Roman" w:hAnsi="Times New Roman" w:cs="Times New Roman"/>
          <w:sz w:val="24"/>
          <w:szCs w:val="24"/>
        </w:rPr>
        <w:t>Code</w:t>
      </w:r>
      <w:r w:rsidR="00444EB9" w:rsidRPr="00641BCA">
        <w:rPr>
          <w:rFonts w:ascii="Times New Roman" w:hAnsi="Times New Roman" w:cs="Times New Roman"/>
          <w:sz w:val="24"/>
          <w:szCs w:val="24"/>
        </w:rPr>
        <w:t xml:space="preserve"> </w:t>
      </w:r>
      <w:r w:rsidRPr="00641BCA">
        <w:rPr>
          <w:rFonts w:ascii="Times New Roman" w:hAnsi="Times New Roman" w:cs="Times New Roman"/>
          <w:sz w:val="24"/>
          <w:szCs w:val="24"/>
        </w:rPr>
        <w:t xml:space="preserve">Section 401(a)(4) and </w:t>
      </w:r>
      <w:r w:rsidR="00444EB9">
        <w:rPr>
          <w:rFonts w:ascii="Times New Roman" w:hAnsi="Times New Roman" w:cs="Times New Roman"/>
          <w:sz w:val="24"/>
          <w:szCs w:val="24"/>
        </w:rPr>
        <w:t xml:space="preserve">Code Section </w:t>
      </w:r>
      <w:r w:rsidRPr="00641BCA">
        <w:rPr>
          <w:rFonts w:ascii="Times New Roman" w:hAnsi="Times New Roman" w:cs="Times New Roman"/>
          <w:sz w:val="24"/>
          <w:szCs w:val="24"/>
        </w:rPr>
        <w:t>410(b) with that plan being taken into account.</w:t>
      </w:r>
      <w:r w:rsidR="00444EB9">
        <w:rPr>
          <w:rStyle w:val="FootnoteReference"/>
          <w:rFonts w:ascii="Times New Roman" w:hAnsi="Times New Roman" w:cs="Times New Roman"/>
          <w:sz w:val="24"/>
          <w:szCs w:val="24"/>
        </w:rPr>
        <w:footnoteReference w:id="9"/>
      </w:r>
    </w:p>
    <w:p w:rsidR="00967FD5" w:rsidRDefault="00967FD5" w:rsidP="00641BCA">
      <w:pPr>
        <w:pStyle w:val="NoSpacing"/>
        <w:ind w:left="720"/>
        <w:rPr>
          <w:rFonts w:ascii="Times New Roman" w:hAnsi="Times New Roman" w:cs="Times New Roman"/>
          <w:sz w:val="24"/>
          <w:szCs w:val="24"/>
        </w:rPr>
      </w:pPr>
    </w:p>
    <w:p w:rsidR="00967FD5" w:rsidRDefault="00967FD5" w:rsidP="00641BCA">
      <w:pPr>
        <w:pStyle w:val="NoSpacing"/>
        <w:ind w:left="720"/>
        <w:rPr>
          <w:rFonts w:ascii="Times New Roman" w:hAnsi="Times New Roman" w:cs="Times New Roman"/>
          <w:sz w:val="24"/>
          <w:szCs w:val="24"/>
        </w:rPr>
      </w:pPr>
    </w:p>
    <w:p w:rsidR="004C6A04" w:rsidRDefault="004C6A04" w:rsidP="00641BCA">
      <w:pPr>
        <w:pStyle w:val="NoSpacing"/>
        <w:ind w:left="720"/>
        <w:rPr>
          <w:rFonts w:ascii="Times New Roman" w:hAnsi="Times New Roman" w:cs="Times New Roman"/>
          <w:sz w:val="24"/>
          <w:szCs w:val="24"/>
        </w:rPr>
      </w:pPr>
    </w:p>
    <w:p w:rsidR="00706062" w:rsidRPr="006F1778" w:rsidRDefault="00706062" w:rsidP="006F1778">
      <w:pPr>
        <w:pStyle w:val="PG"/>
        <w:suppressAutoHyphens/>
        <w:ind w:left="720"/>
        <w:rPr>
          <w:rFonts w:ascii="Times New Roman" w:eastAsiaTheme="minorHAnsi" w:hAnsi="Times New Roman"/>
          <w:noProof w:val="0"/>
          <w:sz w:val="24"/>
          <w:szCs w:val="24"/>
        </w:rPr>
      </w:pPr>
      <w:proofErr w:type="gramStart"/>
      <w:r w:rsidRPr="006F1778">
        <w:rPr>
          <w:rFonts w:ascii="Times New Roman" w:eastAsiaTheme="minorHAnsi" w:hAnsi="Times New Roman"/>
          <w:b/>
          <w:noProof w:val="0"/>
          <w:sz w:val="24"/>
          <w:szCs w:val="24"/>
        </w:rPr>
        <w:t xml:space="preserve">Example </w:t>
      </w:r>
      <w:r w:rsidR="00EA1FC0">
        <w:rPr>
          <w:rFonts w:ascii="Times New Roman" w:eastAsiaTheme="minorHAnsi" w:hAnsi="Times New Roman"/>
          <w:b/>
          <w:noProof w:val="0"/>
          <w:sz w:val="24"/>
          <w:szCs w:val="24"/>
        </w:rPr>
        <w:t>2</w:t>
      </w:r>
      <w:r w:rsidRPr="006F1778">
        <w:rPr>
          <w:rFonts w:ascii="Times New Roman" w:eastAsiaTheme="minorHAnsi" w:hAnsi="Times New Roman"/>
          <w:b/>
          <w:noProof w:val="0"/>
          <w:sz w:val="24"/>
          <w:szCs w:val="24"/>
        </w:rPr>
        <w:t>.</w:t>
      </w:r>
      <w:proofErr w:type="gramEnd"/>
      <w:r w:rsidRPr="006F1778">
        <w:rPr>
          <w:rFonts w:ascii="Times New Roman" w:eastAsiaTheme="minorHAnsi" w:hAnsi="Times New Roman"/>
          <w:noProof w:val="0"/>
          <w:sz w:val="24"/>
          <w:szCs w:val="24"/>
        </w:rPr>
        <w:t xml:space="preserve"> Employer X sponsors Plans A, B, and C. Assume the plans individually satisfy all requirements of </w:t>
      </w:r>
      <w:r w:rsidR="004B3E29">
        <w:rPr>
          <w:rFonts w:ascii="Times New Roman" w:eastAsiaTheme="minorHAnsi" w:hAnsi="Times New Roman"/>
          <w:noProof w:val="0"/>
          <w:sz w:val="24"/>
          <w:szCs w:val="24"/>
        </w:rPr>
        <w:t>Code</w:t>
      </w:r>
      <w:r w:rsidR="004B3E29" w:rsidRPr="006F1778">
        <w:rPr>
          <w:rFonts w:ascii="Times New Roman" w:eastAsiaTheme="minorHAnsi" w:hAnsi="Times New Roman"/>
          <w:noProof w:val="0"/>
          <w:sz w:val="24"/>
          <w:szCs w:val="24"/>
        </w:rPr>
        <w:t xml:space="preserve"> </w:t>
      </w:r>
      <w:r w:rsidRPr="006F1778">
        <w:rPr>
          <w:rFonts w:ascii="Times New Roman" w:eastAsiaTheme="minorHAnsi" w:hAnsi="Times New Roman"/>
          <w:noProof w:val="0"/>
          <w:sz w:val="24"/>
          <w:szCs w:val="24"/>
        </w:rPr>
        <w:t>Section 401(a</w:t>
      </w:r>
      <w:proofErr w:type="gramStart"/>
      <w:r w:rsidRPr="006F1778">
        <w:rPr>
          <w:rFonts w:ascii="Times New Roman" w:eastAsiaTheme="minorHAnsi" w:hAnsi="Times New Roman"/>
          <w:noProof w:val="0"/>
          <w:sz w:val="24"/>
          <w:szCs w:val="24"/>
        </w:rPr>
        <w:t>)(</w:t>
      </w:r>
      <w:proofErr w:type="gramEnd"/>
      <w:r w:rsidRPr="006F1778">
        <w:rPr>
          <w:rFonts w:ascii="Times New Roman" w:eastAsiaTheme="minorHAnsi" w:hAnsi="Times New Roman"/>
          <w:noProof w:val="0"/>
          <w:sz w:val="24"/>
          <w:szCs w:val="24"/>
        </w:rPr>
        <w:t xml:space="preserve">4) and </w:t>
      </w:r>
      <w:r w:rsidR="004B3E29">
        <w:rPr>
          <w:rFonts w:ascii="Times New Roman" w:eastAsiaTheme="minorHAnsi" w:hAnsi="Times New Roman"/>
          <w:noProof w:val="0"/>
          <w:sz w:val="24"/>
          <w:szCs w:val="24"/>
        </w:rPr>
        <w:t>Code</w:t>
      </w:r>
      <w:r w:rsidR="004B3E29" w:rsidRPr="006F1778">
        <w:rPr>
          <w:rFonts w:ascii="Times New Roman" w:eastAsiaTheme="minorHAnsi" w:hAnsi="Times New Roman"/>
          <w:noProof w:val="0"/>
          <w:sz w:val="24"/>
          <w:szCs w:val="24"/>
        </w:rPr>
        <w:t xml:space="preserve"> Section </w:t>
      </w:r>
      <w:r w:rsidRPr="006F1778">
        <w:rPr>
          <w:rFonts w:ascii="Times New Roman" w:eastAsiaTheme="minorHAnsi" w:hAnsi="Times New Roman"/>
          <w:noProof w:val="0"/>
          <w:sz w:val="24"/>
          <w:szCs w:val="24"/>
        </w:rPr>
        <w:t xml:space="preserve">410(b) as indicated </w:t>
      </w:r>
      <w:r w:rsidRPr="006F1778">
        <w:rPr>
          <w:rFonts w:ascii="Times New Roman" w:eastAsiaTheme="minorHAnsi" w:hAnsi="Times New Roman"/>
          <w:noProof w:val="0"/>
          <w:sz w:val="24"/>
          <w:szCs w:val="24"/>
        </w:rPr>
        <w:lastRenderedPageBreak/>
        <w:t xml:space="preserve">in previous chapters (see Chapter </w:t>
      </w:r>
      <w:r w:rsidR="006F1778">
        <w:rPr>
          <w:rFonts w:ascii="Times New Roman" w:eastAsiaTheme="minorHAnsi" w:hAnsi="Times New Roman"/>
          <w:noProof w:val="0"/>
          <w:sz w:val="24"/>
          <w:szCs w:val="24"/>
        </w:rPr>
        <w:t>4</w:t>
      </w:r>
      <w:r w:rsidRPr="006F1778">
        <w:rPr>
          <w:rFonts w:ascii="Times New Roman" w:eastAsiaTheme="minorHAnsi" w:hAnsi="Times New Roman"/>
          <w:noProof w:val="0"/>
          <w:sz w:val="24"/>
          <w:szCs w:val="24"/>
        </w:rPr>
        <w:t>). As of the determination date the value of accrued benefits for each plan is:</w:t>
      </w:r>
    </w:p>
    <w:tbl>
      <w:tblPr>
        <w:tblW w:w="0" w:type="auto"/>
        <w:jc w:val="center"/>
        <w:tblLayout w:type="fixed"/>
        <w:tblCellMar>
          <w:left w:w="0" w:type="dxa"/>
          <w:right w:w="0" w:type="dxa"/>
        </w:tblCellMar>
        <w:tblLook w:val="0000" w:firstRow="0" w:lastRow="0" w:firstColumn="0" w:lastColumn="0" w:noHBand="0" w:noVBand="0"/>
      </w:tblPr>
      <w:tblGrid>
        <w:gridCol w:w="3571"/>
        <w:gridCol w:w="1468"/>
        <w:gridCol w:w="1346"/>
        <w:gridCol w:w="1345"/>
      </w:tblGrid>
      <w:tr w:rsidR="00706062" w:rsidRPr="00706062" w:rsidTr="000F42B7">
        <w:trPr>
          <w:trHeight w:val="416"/>
          <w:jc w:val="center"/>
        </w:trPr>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6062" w:rsidRPr="00706062" w:rsidRDefault="00706062" w:rsidP="000F42B7">
            <w:pPr>
              <w:pStyle w:val="NoParagraphStyle"/>
              <w:spacing w:line="240" w:lineRule="auto"/>
              <w:textAlignment w:val="auto"/>
              <w:rPr>
                <w:rFonts w:ascii="Times New Roman" w:hAnsi="Times New Roman" w:cs="Times New Roman"/>
                <w:color w:val="auto"/>
              </w:rPr>
            </w:pPr>
          </w:p>
        </w:tc>
        <w:tc>
          <w:tcPr>
            <w:tcW w:w="1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6062" w:rsidRPr="00706062" w:rsidRDefault="00706062" w:rsidP="000F42B7">
            <w:pPr>
              <w:suppressAutoHyphens/>
              <w:jc w:val="center"/>
            </w:pPr>
            <w:r w:rsidRPr="00706062">
              <w:rPr>
                <w:b/>
                <w:bCs/>
                <w:i/>
                <w:iCs/>
              </w:rPr>
              <w:t>Plan A</w:t>
            </w:r>
          </w:p>
        </w:tc>
        <w:tc>
          <w:tcPr>
            <w:tcW w:w="1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6062" w:rsidRPr="00706062" w:rsidRDefault="00706062" w:rsidP="000F42B7">
            <w:pPr>
              <w:suppressAutoHyphens/>
              <w:jc w:val="center"/>
            </w:pPr>
            <w:r w:rsidRPr="00706062">
              <w:rPr>
                <w:b/>
                <w:bCs/>
                <w:i/>
                <w:iCs/>
              </w:rPr>
              <w:t>Plan B</w:t>
            </w:r>
          </w:p>
        </w:tc>
        <w:tc>
          <w:tcPr>
            <w:tcW w:w="1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6062" w:rsidRPr="00706062" w:rsidRDefault="00706062" w:rsidP="000F42B7">
            <w:pPr>
              <w:suppressAutoHyphens/>
              <w:jc w:val="center"/>
            </w:pPr>
            <w:r w:rsidRPr="00706062">
              <w:rPr>
                <w:b/>
                <w:bCs/>
                <w:i/>
                <w:iCs/>
              </w:rPr>
              <w:t>Plan C</w:t>
            </w:r>
          </w:p>
        </w:tc>
      </w:tr>
      <w:tr w:rsidR="00706062" w:rsidRPr="00706062" w:rsidTr="000F42B7">
        <w:trPr>
          <w:trHeight w:val="305"/>
          <w:jc w:val="center"/>
        </w:trPr>
        <w:tc>
          <w:tcPr>
            <w:tcW w:w="3571"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706062" w:rsidRPr="00706062" w:rsidRDefault="00706062" w:rsidP="000F42B7">
            <w:pPr>
              <w:suppressAutoHyphens/>
            </w:pPr>
            <w:r w:rsidRPr="00706062">
              <w:rPr>
                <w:b/>
                <w:bCs/>
              </w:rPr>
              <w:t>Key employee 1</w:t>
            </w:r>
          </w:p>
        </w:tc>
        <w:tc>
          <w:tcPr>
            <w:tcW w:w="1468"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360" w:type="dxa"/>
            </w:tcMar>
            <w:vAlign w:val="center"/>
          </w:tcPr>
          <w:p w:rsidR="00706062" w:rsidRPr="00706062" w:rsidRDefault="00706062" w:rsidP="000F42B7">
            <w:pPr>
              <w:suppressAutoHyphens/>
              <w:jc w:val="right"/>
            </w:pPr>
            <w:r w:rsidRPr="00706062">
              <w:t>$125,000</w:t>
            </w:r>
          </w:p>
        </w:tc>
        <w:tc>
          <w:tcPr>
            <w:tcW w:w="1346"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270" w:type="dxa"/>
            </w:tcMar>
            <w:vAlign w:val="center"/>
          </w:tcPr>
          <w:p w:rsidR="00706062" w:rsidRPr="00706062" w:rsidRDefault="00706062" w:rsidP="000F42B7">
            <w:pPr>
              <w:suppressAutoHyphens/>
              <w:jc w:val="right"/>
            </w:pPr>
            <w:r w:rsidRPr="00706062">
              <w:t>None</w:t>
            </w:r>
          </w:p>
        </w:tc>
        <w:tc>
          <w:tcPr>
            <w:tcW w:w="1345"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270" w:type="dxa"/>
            </w:tcMar>
            <w:vAlign w:val="center"/>
          </w:tcPr>
          <w:p w:rsidR="00706062" w:rsidRPr="00706062" w:rsidRDefault="00706062" w:rsidP="000F42B7">
            <w:pPr>
              <w:suppressAutoHyphens/>
              <w:jc w:val="right"/>
            </w:pPr>
            <w:r w:rsidRPr="00706062">
              <w:t>None</w:t>
            </w:r>
          </w:p>
        </w:tc>
      </w:tr>
      <w:tr w:rsidR="00706062" w:rsidRPr="00706062" w:rsidTr="000F42B7">
        <w:trPr>
          <w:trHeight w:val="305"/>
          <w:jc w:val="center"/>
        </w:trPr>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6062" w:rsidRPr="00706062" w:rsidRDefault="00706062" w:rsidP="000F42B7">
            <w:pPr>
              <w:suppressAutoHyphens/>
            </w:pPr>
            <w:r w:rsidRPr="00706062">
              <w:rPr>
                <w:b/>
                <w:bCs/>
              </w:rPr>
              <w:t>Key employee 2</w:t>
            </w:r>
          </w:p>
        </w:tc>
        <w:tc>
          <w:tcPr>
            <w:tcW w:w="1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360" w:type="dxa"/>
            </w:tcMar>
            <w:vAlign w:val="center"/>
          </w:tcPr>
          <w:p w:rsidR="00706062" w:rsidRPr="00706062" w:rsidRDefault="006C37CC" w:rsidP="000F42B7">
            <w:pPr>
              <w:suppressAutoHyphens/>
              <w:jc w:val="right"/>
            </w:pPr>
            <w:r>
              <w:t xml:space="preserve"> </w:t>
            </w:r>
            <w:r w:rsidR="00706062" w:rsidRPr="00706062">
              <w:t>$  60,000</w:t>
            </w:r>
          </w:p>
        </w:tc>
        <w:tc>
          <w:tcPr>
            <w:tcW w:w="1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270" w:type="dxa"/>
            </w:tcMar>
            <w:vAlign w:val="center"/>
          </w:tcPr>
          <w:p w:rsidR="00706062" w:rsidRPr="00706062" w:rsidRDefault="00706062" w:rsidP="000F42B7">
            <w:pPr>
              <w:suppressAutoHyphens/>
              <w:jc w:val="right"/>
            </w:pPr>
            <w:r w:rsidRPr="00706062">
              <w:t>$  75,000</w:t>
            </w:r>
          </w:p>
        </w:tc>
        <w:tc>
          <w:tcPr>
            <w:tcW w:w="1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270" w:type="dxa"/>
            </w:tcMar>
            <w:vAlign w:val="center"/>
          </w:tcPr>
          <w:p w:rsidR="00706062" w:rsidRPr="00706062" w:rsidRDefault="00706062" w:rsidP="000F42B7">
            <w:pPr>
              <w:suppressAutoHyphens/>
              <w:jc w:val="right"/>
            </w:pPr>
            <w:r w:rsidRPr="00706062">
              <w:t>None</w:t>
            </w:r>
          </w:p>
        </w:tc>
      </w:tr>
      <w:tr w:rsidR="00706062" w:rsidRPr="00706062" w:rsidTr="000F42B7">
        <w:trPr>
          <w:trHeight w:val="305"/>
          <w:jc w:val="center"/>
        </w:trPr>
        <w:tc>
          <w:tcPr>
            <w:tcW w:w="3571"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706062" w:rsidRPr="00706062" w:rsidRDefault="00706062" w:rsidP="000F42B7">
            <w:pPr>
              <w:suppressAutoHyphens/>
            </w:pPr>
            <w:r w:rsidRPr="00706062">
              <w:rPr>
                <w:b/>
                <w:bCs/>
              </w:rPr>
              <w:t>Key employee 3</w:t>
            </w:r>
          </w:p>
        </w:tc>
        <w:tc>
          <w:tcPr>
            <w:tcW w:w="1468"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360" w:type="dxa"/>
            </w:tcMar>
            <w:vAlign w:val="center"/>
          </w:tcPr>
          <w:p w:rsidR="00706062" w:rsidRPr="00706062" w:rsidRDefault="00706062" w:rsidP="000F42B7">
            <w:pPr>
              <w:suppressAutoHyphens/>
              <w:jc w:val="right"/>
            </w:pPr>
            <w:r w:rsidRPr="00706062">
              <w:t>None</w:t>
            </w:r>
          </w:p>
        </w:tc>
        <w:tc>
          <w:tcPr>
            <w:tcW w:w="1346"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270" w:type="dxa"/>
            </w:tcMar>
            <w:vAlign w:val="center"/>
          </w:tcPr>
          <w:p w:rsidR="00706062" w:rsidRPr="00706062" w:rsidRDefault="00706062" w:rsidP="000F42B7">
            <w:pPr>
              <w:suppressAutoHyphens/>
              <w:jc w:val="right"/>
            </w:pPr>
            <w:r w:rsidRPr="00706062">
              <w:t>$150,000</w:t>
            </w:r>
          </w:p>
        </w:tc>
        <w:tc>
          <w:tcPr>
            <w:tcW w:w="1345"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270" w:type="dxa"/>
            </w:tcMar>
            <w:vAlign w:val="center"/>
          </w:tcPr>
          <w:p w:rsidR="00706062" w:rsidRPr="00706062" w:rsidRDefault="00706062" w:rsidP="000F42B7">
            <w:pPr>
              <w:suppressAutoHyphens/>
              <w:jc w:val="right"/>
            </w:pPr>
            <w:r w:rsidRPr="00706062">
              <w:t>None</w:t>
            </w:r>
          </w:p>
        </w:tc>
      </w:tr>
      <w:tr w:rsidR="00706062" w:rsidRPr="00706062" w:rsidTr="000F42B7">
        <w:trPr>
          <w:trHeight w:val="305"/>
          <w:jc w:val="center"/>
        </w:trPr>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6062" w:rsidRPr="00706062" w:rsidRDefault="00706062" w:rsidP="000F42B7">
            <w:pPr>
              <w:suppressAutoHyphens/>
            </w:pPr>
            <w:r w:rsidRPr="00706062">
              <w:rPr>
                <w:b/>
                <w:bCs/>
              </w:rPr>
              <w:t>Total key benefits</w:t>
            </w:r>
          </w:p>
        </w:tc>
        <w:tc>
          <w:tcPr>
            <w:tcW w:w="1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360" w:type="dxa"/>
            </w:tcMar>
            <w:vAlign w:val="center"/>
          </w:tcPr>
          <w:p w:rsidR="00706062" w:rsidRPr="00706062" w:rsidRDefault="00706062" w:rsidP="000F42B7">
            <w:pPr>
              <w:suppressAutoHyphens/>
              <w:jc w:val="right"/>
            </w:pPr>
            <w:r w:rsidRPr="00706062">
              <w:t>$185,000</w:t>
            </w:r>
          </w:p>
        </w:tc>
        <w:tc>
          <w:tcPr>
            <w:tcW w:w="1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270" w:type="dxa"/>
            </w:tcMar>
            <w:vAlign w:val="center"/>
          </w:tcPr>
          <w:p w:rsidR="00706062" w:rsidRPr="00706062" w:rsidRDefault="00706062" w:rsidP="000F42B7">
            <w:pPr>
              <w:suppressAutoHyphens/>
              <w:jc w:val="right"/>
            </w:pPr>
            <w:r w:rsidRPr="00706062">
              <w:t>$225,000</w:t>
            </w:r>
          </w:p>
        </w:tc>
        <w:tc>
          <w:tcPr>
            <w:tcW w:w="1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270" w:type="dxa"/>
            </w:tcMar>
            <w:vAlign w:val="center"/>
          </w:tcPr>
          <w:p w:rsidR="00706062" w:rsidRPr="00706062" w:rsidRDefault="00706062" w:rsidP="000F42B7">
            <w:pPr>
              <w:suppressAutoHyphens/>
              <w:jc w:val="right"/>
            </w:pPr>
            <w:r w:rsidRPr="00706062">
              <w:t>None</w:t>
            </w:r>
          </w:p>
        </w:tc>
      </w:tr>
      <w:tr w:rsidR="00706062" w:rsidRPr="00706062" w:rsidTr="000F42B7">
        <w:trPr>
          <w:trHeight w:val="305"/>
          <w:jc w:val="center"/>
        </w:trPr>
        <w:tc>
          <w:tcPr>
            <w:tcW w:w="3571"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706062" w:rsidRPr="00706062" w:rsidRDefault="00706062" w:rsidP="000F42B7">
            <w:pPr>
              <w:suppressAutoHyphens/>
            </w:pPr>
            <w:r w:rsidRPr="00706062">
              <w:rPr>
                <w:b/>
                <w:bCs/>
              </w:rPr>
              <w:t>Percentage to key employees</w:t>
            </w:r>
          </w:p>
        </w:tc>
        <w:tc>
          <w:tcPr>
            <w:tcW w:w="1468"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360" w:type="dxa"/>
            </w:tcMar>
            <w:vAlign w:val="center"/>
          </w:tcPr>
          <w:p w:rsidR="00706062" w:rsidRPr="00706062" w:rsidRDefault="00706062" w:rsidP="000F42B7">
            <w:pPr>
              <w:suppressAutoHyphens/>
              <w:jc w:val="right"/>
            </w:pPr>
            <w:r w:rsidRPr="00706062">
              <w:t>64.9%</w:t>
            </w:r>
          </w:p>
        </w:tc>
        <w:tc>
          <w:tcPr>
            <w:tcW w:w="1346"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270" w:type="dxa"/>
            </w:tcMar>
            <w:vAlign w:val="center"/>
          </w:tcPr>
          <w:p w:rsidR="00706062" w:rsidRPr="00706062" w:rsidRDefault="00706062" w:rsidP="000F42B7">
            <w:pPr>
              <w:suppressAutoHyphens/>
              <w:jc w:val="right"/>
            </w:pPr>
            <w:r w:rsidRPr="00706062">
              <w:t>57.0%</w:t>
            </w:r>
          </w:p>
        </w:tc>
        <w:tc>
          <w:tcPr>
            <w:tcW w:w="1345"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270" w:type="dxa"/>
            </w:tcMar>
            <w:vAlign w:val="center"/>
          </w:tcPr>
          <w:p w:rsidR="00706062" w:rsidRPr="00706062" w:rsidRDefault="00706062" w:rsidP="000F42B7">
            <w:pPr>
              <w:suppressAutoHyphens/>
              <w:jc w:val="right"/>
            </w:pPr>
            <w:r w:rsidRPr="00706062">
              <w:t>None</w:t>
            </w:r>
          </w:p>
        </w:tc>
      </w:tr>
      <w:tr w:rsidR="00706062" w:rsidRPr="00706062" w:rsidTr="000F42B7">
        <w:trPr>
          <w:trHeight w:val="305"/>
          <w:jc w:val="center"/>
        </w:trPr>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6062" w:rsidRPr="00706062" w:rsidRDefault="00706062" w:rsidP="004B3E29">
            <w:pPr>
              <w:suppressAutoHyphens/>
            </w:pPr>
            <w:r w:rsidRPr="00706062">
              <w:rPr>
                <w:b/>
                <w:bCs/>
              </w:rPr>
              <w:t xml:space="preserve">Total </w:t>
            </w:r>
            <w:proofErr w:type="spellStart"/>
            <w:r w:rsidRPr="00706062">
              <w:rPr>
                <w:b/>
                <w:bCs/>
              </w:rPr>
              <w:t>nonkey</w:t>
            </w:r>
            <w:proofErr w:type="spellEnd"/>
            <w:r w:rsidRPr="00706062">
              <w:rPr>
                <w:b/>
                <w:bCs/>
              </w:rPr>
              <w:t xml:space="preserve"> employees</w:t>
            </w:r>
          </w:p>
        </w:tc>
        <w:tc>
          <w:tcPr>
            <w:tcW w:w="1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360" w:type="dxa"/>
            </w:tcMar>
            <w:vAlign w:val="center"/>
          </w:tcPr>
          <w:p w:rsidR="00706062" w:rsidRPr="00706062" w:rsidRDefault="00706062" w:rsidP="000F42B7">
            <w:pPr>
              <w:suppressAutoHyphens/>
              <w:jc w:val="right"/>
            </w:pPr>
            <w:r w:rsidRPr="00706062">
              <w:t>$100,000</w:t>
            </w:r>
          </w:p>
        </w:tc>
        <w:tc>
          <w:tcPr>
            <w:tcW w:w="1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270" w:type="dxa"/>
            </w:tcMar>
            <w:vAlign w:val="center"/>
          </w:tcPr>
          <w:p w:rsidR="00706062" w:rsidRPr="00706062" w:rsidRDefault="00706062" w:rsidP="000F42B7">
            <w:pPr>
              <w:suppressAutoHyphens/>
              <w:jc w:val="right"/>
            </w:pPr>
            <w:r w:rsidRPr="00706062">
              <w:t>$170,000</w:t>
            </w:r>
          </w:p>
        </w:tc>
        <w:tc>
          <w:tcPr>
            <w:tcW w:w="1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270" w:type="dxa"/>
            </w:tcMar>
            <w:vAlign w:val="center"/>
          </w:tcPr>
          <w:p w:rsidR="00706062" w:rsidRPr="00706062" w:rsidRDefault="00706062" w:rsidP="000F42B7">
            <w:pPr>
              <w:suppressAutoHyphens/>
              <w:jc w:val="right"/>
            </w:pPr>
            <w:r w:rsidRPr="00706062">
              <w:t>$195,000</w:t>
            </w:r>
          </w:p>
        </w:tc>
      </w:tr>
      <w:tr w:rsidR="00706062" w:rsidRPr="00706062" w:rsidTr="000F42B7">
        <w:trPr>
          <w:trHeight w:val="305"/>
          <w:jc w:val="center"/>
        </w:trPr>
        <w:tc>
          <w:tcPr>
            <w:tcW w:w="3571"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706062" w:rsidRPr="00706062" w:rsidRDefault="00706062" w:rsidP="000F42B7">
            <w:pPr>
              <w:suppressAutoHyphens/>
            </w:pPr>
            <w:r w:rsidRPr="00706062">
              <w:rPr>
                <w:b/>
                <w:bCs/>
              </w:rPr>
              <w:t>Total plan benefits</w:t>
            </w:r>
          </w:p>
        </w:tc>
        <w:tc>
          <w:tcPr>
            <w:tcW w:w="1468"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360" w:type="dxa"/>
            </w:tcMar>
            <w:vAlign w:val="center"/>
          </w:tcPr>
          <w:p w:rsidR="00706062" w:rsidRPr="00706062" w:rsidRDefault="00706062" w:rsidP="000F42B7">
            <w:pPr>
              <w:suppressAutoHyphens/>
              <w:jc w:val="right"/>
            </w:pPr>
            <w:r w:rsidRPr="00706062">
              <w:t>$285,000</w:t>
            </w:r>
          </w:p>
        </w:tc>
        <w:tc>
          <w:tcPr>
            <w:tcW w:w="1346"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270" w:type="dxa"/>
            </w:tcMar>
            <w:vAlign w:val="center"/>
          </w:tcPr>
          <w:p w:rsidR="00706062" w:rsidRPr="00706062" w:rsidRDefault="00706062" w:rsidP="000F42B7">
            <w:pPr>
              <w:suppressAutoHyphens/>
              <w:jc w:val="right"/>
            </w:pPr>
            <w:r w:rsidRPr="00706062">
              <w:t>$395,000</w:t>
            </w:r>
          </w:p>
        </w:tc>
        <w:tc>
          <w:tcPr>
            <w:tcW w:w="1345"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270" w:type="dxa"/>
            </w:tcMar>
            <w:vAlign w:val="center"/>
          </w:tcPr>
          <w:p w:rsidR="00706062" w:rsidRPr="00706062" w:rsidRDefault="00706062" w:rsidP="000F42B7">
            <w:pPr>
              <w:suppressAutoHyphens/>
              <w:jc w:val="right"/>
            </w:pPr>
            <w:r w:rsidRPr="00706062">
              <w:t>$195,000</w:t>
            </w:r>
          </w:p>
        </w:tc>
      </w:tr>
      <w:tr w:rsidR="00706062" w:rsidRPr="00706062" w:rsidTr="002A7C66">
        <w:trPr>
          <w:trHeight w:val="332"/>
          <w:jc w:val="center"/>
        </w:trPr>
        <w:tc>
          <w:tcPr>
            <w:tcW w:w="3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6062" w:rsidRPr="00706062" w:rsidRDefault="00706062" w:rsidP="004B3E29">
            <w:pPr>
              <w:suppressAutoHyphens/>
            </w:pPr>
            <w:r w:rsidRPr="00706062">
              <w:rPr>
                <w:b/>
                <w:bCs/>
              </w:rPr>
              <w:t xml:space="preserve">Percentage to </w:t>
            </w:r>
            <w:proofErr w:type="spellStart"/>
            <w:r w:rsidRPr="00706062">
              <w:rPr>
                <w:b/>
                <w:bCs/>
              </w:rPr>
              <w:t>nonkey</w:t>
            </w:r>
            <w:proofErr w:type="spellEnd"/>
            <w:r w:rsidR="004B3E29">
              <w:rPr>
                <w:b/>
                <w:bCs/>
              </w:rPr>
              <w:t xml:space="preserve"> employees</w:t>
            </w:r>
            <w:r w:rsidRPr="00706062">
              <w:rPr>
                <w:b/>
                <w:bCs/>
              </w:rPr>
              <w:t xml:space="preserve"> </w:t>
            </w:r>
          </w:p>
        </w:tc>
        <w:tc>
          <w:tcPr>
            <w:tcW w:w="1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360" w:type="dxa"/>
            </w:tcMar>
            <w:vAlign w:val="center"/>
          </w:tcPr>
          <w:p w:rsidR="00706062" w:rsidRPr="00706062" w:rsidRDefault="000A73F0" w:rsidP="002A7C66">
            <w:pPr>
              <w:pStyle w:val="NoParagraphStyle"/>
              <w:spacing w:line="240" w:lineRule="auto"/>
              <w:jc w:val="center"/>
              <w:textAlignment w:val="auto"/>
              <w:rPr>
                <w:rFonts w:ascii="Times New Roman" w:hAnsi="Times New Roman" w:cs="Times New Roman"/>
                <w:color w:val="auto"/>
              </w:rPr>
            </w:pPr>
            <w:r>
              <w:rPr>
                <w:rFonts w:ascii="Times New Roman" w:hAnsi="Times New Roman" w:cs="Times New Roman"/>
                <w:color w:val="auto"/>
              </w:rPr>
              <w:t>0%</w:t>
            </w:r>
          </w:p>
        </w:tc>
        <w:tc>
          <w:tcPr>
            <w:tcW w:w="1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270" w:type="dxa"/>
            </w:tcMar>
            <w:vAlign w:val="center"/>
          </w:tcPr>
          <w:p w:rsidR="00706062" w:rsidRPr="00706062" w:rsidRDefault="000A73F0" w:rsidP="002A7C66">
            <w:pPr>
              <w:pStyle w:val="NoParagraphStyle"/>
              <w:spacing w:line="240" w:lineRule="auto"/>
              <w:jc w:val="center"/>
              <w:textAlignment w:val="auto"/>
              <w:rPr>
                <w:rFonts w:ascii="Times New Roman" w:hAnsi="Times New Roman" w:cs="Times New Roman"/>
                <w:color w:val="auto"/>
              </w:rPr>
            </w:pPr>
            <w:r>
              <w:rPr>
                <w:rFonts w:ascii="Times New Roman" w:hAnsi="Times New Roman" w:cs="Times New Roman"/>
                <w:color w:val="auto"/>
              </w:rPr>
              <w:t>0%</w:t>
            </w:r>
          </w:p>
        </w:tc>
        <w:tc>
          <w:tcPr>
            <w:tcW w:w="1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270" w:type="dxa"/>
            </w:tcMar>
            <w:vAlign w:val="center"/>
          </w:tcPr>
          <w:p w:rsidR="00706062" w:rsidRPr="00706062" w:rsidRDefault="000A73F0" w:rsidP="002A7C66">
            <w:pPr>
              <w:pStyle w:val="NoParagraphStyle"/>
              <w:spacing w:line="240" w:lineRule="auto"/>
              <w:jc w:val="center"/>
              <w:textAlignment w:val="auto"/>
              <w:rPr>
                <w:rFonts w:ascii="Times New Roman" w:hAnsi="Times New Roman" w:cs="Times New Roman"/>
                <w:color w:val="auto"/>
              </w:rPr>
            </w:pPr>
            <w:r>
              <w:rPr>
                <w:rFonts w:ascii="Times New Roman" w:hAnsi="Times New Roman" w:cs="Times New Roman"/>
                <w:color w:val="auto"/>
              </w:rPr>
              <w:t>0%</w:t>
            </w:r>
          </w:p>
        </w:tc>
      </w:tr>
      <w:tr w:rsidR="00706062" w:rsidRPr="00706062" w:rsidTr="000F42B7">
        <w:trPr>
          <w:trHeight w:val="305"/>
          <w:jc w:val="center"/>
        </w:trPr>
        <w:tc>
          <w:tcPr>
            <w:tcW w:w="3571"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706062" w:rsidRPr="00706062" w:rsidRDefault="00706062" w:rsidP="000F42B7">
            <w:pPr>
              <w:suppressAutoHyphens/>
            </w:pPr>
            <w:r w:rsidRPr="00706062">
              <w:rPr>
                <w:b/>
                <w:bCs/>
              </w:rPr>
              <w:t>Employees</w:t>
            </w:r>
          </w:p>
        </w:tc>
        <w:tc>
          <w:tcPr>
            <w:tcW w:w="1468"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360" w:type="dxa"/>
            </w:tcMar>
            <w:vAlign w:val="center"/>
          </w:tcPr>
          <w:p w:rsidR="00706062" w:rsidRPr="00706062" w:rsidRDefault="00706062" w:rsidP="000F42B7">
            <w:pPr>
              <w:suppressAutoHyphens/>
              <w:jc w:val="right"/>
            </w:pPr>
            <w:r w:rsidRPr="00706062">
              <w:t>35.1%</w:t>
            </w:r>
          </w:p>
        </w:tc>
        <w:tc>
          <w:tcPr>
            <w:tcW w:w="1346"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270" w:type="dxa"/>
            </w:tcMar>
            <w:vAlign w:val="center"/>
          </w:tcPr>
          <w:p w:rsidR="00706062" w:rsidRPr="00706062" w:rsidRDefault="00706062" w:rsidP="000F42B7">
            <w:pPr>
              <w:suppressAutoHyphens/>
              <w:jc w:val="right"/>
            </w:pPr>
            <w:r w:rsidRPr="00706062">
              <w:t>43.0%</w:t>
            </w:r>
          </w:p>
        </w:tc>
        <w:tc>
          <w:tcPr>
            <w:tcW w:w="1345"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270" w:type="dxa"/>
            </w:tcMar>
            <w:vAlign w:val="center"/>
          </w:tcPr>
          <w:p w:rsidR="00706062" w:rsidRPr="00706062" w:rsidRDefault="00706062" w:rsidP="000F42B7">
            <w:pPr>
              <w:suppressAutoHyphens/>
              <w:jc w:val="right"/>
            </w:pPr>
            <w:r w:rsidRPr="00706062">
              <w:t>100.0%</w:t>
            </w:r>
          </w:p>
        </w:tc>
      </w:tr>
    </w:tbl>
    <w:p w:rsidR="00706062" w:rsidRPr="00706062" w:rsidRDefault="00706062" w:rsidP="00706062">
      <w:pPr>
        <w:pStyle w:val="PA"/>
        <w:suppressAutoHyphens/>
        <w:spacing w:after="0"/>
        <w:rPr>
          <w:rFonts w:ascii="Times New Roman" w:hAnsi="Times New Roman"/>
          <w:sz w:val="24"/>
          <w:szCs w:val="24"/>
        </w:rPr>
      </w:pPr>
    </w:p>
    <w:p w:rsidR="00706062" w:rsidRDefault="00706062" w:rsidP="006F1778">
      <w:pPr>
        <w:pStyle w:val="NoSpacing"/>
        <w:ind w:left="720"/>
        <w:rPr>
          <w:rFonts w:ascii="Times New Roman" w:hAnsi="Times New Roman" w:cs="Times New Roman"/>
          <w:sz w:val="24"/>
          <w:szCs w:val="24"/>
        </w:rPr>
      </w:pPr>
      <w:r w:rsidRPr="006F1778">
        <w:rPr>
          <w:rFonts w:ascii="Times New Roman" w:hAnsi="Times New Roman" w:cs="Times New Roman"/>
          <w:sz w:val="24"/>
          <w:szCs w:val="24"/>
        </w:rPr>
        <w:t xml:space="preserve">According to the preceding rules, </w:t>
      </w:r>
      <w:r w:rsidR="00AA7BD5">
        <w:rPr>
          <w:rFonts w:ascii="Times New Roman" w:hAnsi="Times New Roman" w:cs="Times New Roman"/>
          <w:sz w:val="24"/>
          <w:szCs w:val="24"/>
        </w:rPr>
        <w:t xml:space="preserve">the combination of </w:t>
      </w:r>
      <w:r w:rsidRPr="006F1778">
        <w:rPr>
          <w:rFonts w:ascii="Times New Roman" w:hAnsi="Times New Roman" w:cs="Times New Roman"/>
          <w:sz w:val="24"/>
          <w:szCs w:val="24"/>
        </w:rPr>
        <w:t xml:space="preserve">Plan A and Plan B </w:t>
      </w:r>
      <w:r w:rsidR="00AA7BD5">
        <w:rPr>
          <w:rFonts w:ascii="Times New Roman" w:hAnsi="Times New Roman" w:cs="Times New Roman"/>
          <w:sz w:val="24"/>
          <w:szCs w:val="24"/>
        </w:rPr>
        <w:t>is</w:t>
      </w:r>
      <w:r w:rsidRPr="006F1778">
        <w:rPr>
          <w:rFonts w:ascii="Times New Roman" w:hAnsi="Times New Roman" w:cs="Times New Roman"/>
          <w:sz w:val="24"/>
          <w:szCs w:val="24"/>
        </w:rPr>
        <w:t xml:space="preserve"> an aggregation group because they both have key employees participating. Plan A standing alone is top-heavy and Plan B standing alone is not top-heavy. When the plans are aggregated, the resulting aggregation group is top-heavy:</w:t>
      </w:r>
    </w:p>
    <w:p w:rsidR="007A367B" w:rsidRDefault="007A367B" w:rsidP="006F1778">
      <w:pPr>
        <w:pStyle w:val="NoSpacing"/>
        <w:ind w:left="720"/>
        <w:rPr>
          <w:rFonts w:ascii="Times New Roman" w:hAnsi="Times New Roman" w:cs="Times New Roman"/>
          <w:sz w:val="24"/>
          <w:szCs w:val="24"/>
        </w:rPr>
      </w:pPr>
    </w:p>
    <w:p w:rsidR="00706062" w:rsidRPr="00706062" w:rsidRDefault="00706062" w:rsidP="00706062">
      <w:pPr>
        <w:pStyle w:val="PE"/>
        <w:suppressAutoHyphens/>
        <w:rPr>
          <w:rFonts w:ascii="Times New Roman" w:hAnsi="Times New Roman"/>
          <w:b/>
          <w:bCs/>
          <w:sz w:val="24"/>
          <w:szCs w:val="24"/>
        </w:rPr>
      </w:pPr>
      <w:r w:rsidRPr="00706062">
        <w:rPr>
          <w:rFonts w:ascii="Times New Roman" w:hAnsi="Times New Roman"/>
          <w:sz w:val="24"/>
          <w:szCs w:val="24"/>
        </w:rPr>
        <w:t>([$125,000 + $60,000] + [$75,000 + $150,000]) / ($285,000 + $395,000) = 60.3%</w:t>
      </w:r>
    </w:p>
    <w:p w:rsidR="00706062" w:rsidRDefault="007A367B" w:rsidP="006F1778">
      <w:pPr>
        <w:pStyle w:val="NoSpacing"/>
        <w:ind w:left="720"/>
        <w:rPr>
          <w:rFonts w:ascii="Times New Roman" w:hAnsi="Times New Roman" w:cs="Times New Roman"/>
          <w:sz w:val="24"/>
          <w:szCs w:val="24"/>
        </w:rPr>
      </w:pPr>
      <w:r>
        <w:rPr>
          <w:rFonts w:ascii="Times New Roman" w:hAnsi="Times New Roman" w:cs="Times New Roman"/>
          <w:sz w:val="24"/>
          <w:szCs w:val="24"/>
        </w:rPr>
        <w:t>Because</w:t>
      </w:r>
      <w:r w:rsidRPr="00706062">
        <w:rPr>
          <w:rFonts w:ascii="Times New Roman" w:hAnsi="Times New Roman" w:cs="Times New Roman"/>
          <w:sz w:val="24"/>
          <w:szCs w:val="24"/>
        </w:rPr>
        <w:t xml:space="preserve"> </w:t>
      </w:r>
      <w:r w:rsidR="00706062" w:rsidRPr="00706062">
        <w:rPr>
          <w:rFonts w:ascii="Times New Roman" w:hAnsi="Times New Roman" w:cs="Times New Roman"/>
          <w:sz w:val="24"/>
          <w:szCs w:val="24"/>
        </w:rPr>
        <w:t xml:space="preserve">all the plans satisfy </w:t>
      </w:r>
      <w:r>
        <w:rPr>
          <w:rFonts w:ascii="Times New Roman" w:hAnsi="Times New Roman" w:cs="Times New Roman"/>
          <w:sz w:val="24"/>
          <w:szCs w:val="24"/>
        </w:rPr>
        <w:t>Code</w:t>
      </w:r>
      <w:r w:rsidRPr="00706062">
        <w:rPr>
          <w:rFonts w:ascii="Times New Roman" w:hAnsi="Times New Roman" w:cs="Times New Roman"/>
          <w:sz w:val="24"/>
          <w:szCs w:val="24"/>
        </w:rPr>
        <w:t xml:space="preserve"> </w:t>
      </w:r>
      <w:r w:rsidR="00706062" w:rsidRPr="00706062">
        <w:rPr>
          <w:rFonts w:ascii="Times New Roman" w:hAnsi="Times New Roman" w:cs="Times New Roman"/>
          <w:sz w:val="24"/>
          <w:szCs w:val="24"/>
        </w:rPr>
        <w:t>Section 401(a</w:t>
      </w:r>
      <w:proofErr w:type="gramStart"/>
      <w:r w:rsidR="00706062" w:rsidRPr="00706062">
        <w:rPr>
          <w:rFonts w:ascii="Times New Roman" w:hAnsi="Times New Roman" w:cs="Times New Roman"/>
          <w:sz w:val="24"/>
          <w:szCs w:val="24"/>
        </w:rPr>
        <w:t>)(</w:t>
      </w:r>
      <w:proofErr w:type="gramEnd"/>
      <w:r w:rsidR="00706062" w:rsidRPr="00706062">
        <w:rPr>
          <w:rFonts w:ascii="Times New Roman" w:hAnsi="Times New Roman" w:cs="Times New Roman"/>
          <w:sz w:val="24"/>
          <w:szCs w:val="24"/>
        </w:rPr>
        <w:t xml:space="preserve">4) and </w:t>
      </w:r>
      <w:r>
        <w:rPr>
          <w:rFonts w:ascii="Times New Roman" w:hAnsi="Times New Roman" w:cs="Times New Roman"/>
          <w:sz w:val="24"/>
          <w:szCs w:val="24"/>
        </w:rPr>
        <w:t>Code</w:t>
      </w:r>
      <w:r w:rsidRPr="00706062">
        <w:rPr>
          <w:rFonts w:ascii="Times New Roman" w:hAnsi="Times New Roman" w:cs="Times New Roman"/>
          <w:sz w:val="24"/>
          <w:szCs w:val="24"/>
        </w:rPr>
        <w:t xml:space="preserve"> Section </w:t>
      </w:r>
      <w:r w:rsidR="00706062" w:rsidRPr="00706062">
        <w:rPr>
          <w:rFonts w:ascii="Times New Roman" w:hAnsi="Times New Roman" w:cs="Times New Roman"/>
          <w:sz w:val="24"/>
          <w:szCs w:val="24"/>
        </w:rPr>
        <w:t>410(b), Plans A and B can be permissively aggregated with Plan C with the following result:</w:t>
      </w:r>
    </w:p>
    <w:p w:rsidR="007A367B" w:rsidRDefault="007A367B" w:rsidP="006F1778">
      <w:pPr>
        <w:pStyle w:val="NoSpacing"/>
        <w:ind w:left="720"/>
        <w:rPr>
          <w:rFonts w:ascii="Times New Roman" w:hAnsi="Times New Roman" w:cs="Times New Roman"/>
          <w:sz w:val="24"/>
          <w:szCs w:val="24"/>
        </w:rPr>
      </w:pPr>
    </w:p>
    <w:p w:rsidR="00706062" w:rsidRPr="00706062" w:rsidRDefault="00706062" w:rsidP="00706062">
      <w:pPr>
        <w:pStyle w:val="PE"/>
        <w:suppressAutoHyphens/>
        <w:ind w:left="560"/>
        <w:rPr>
          <w:rFonts w:ascii="Times New Roman" w:hAnsi="Times New Roman"/>
          <w:spacing w:val="-4"/>
          <w:sz w:val="24"/>
          <w:szCs w:val="24"/>
        </w:rPr>
      </w:pPr>
      <w:r w:rsidRPr="00706062">
        <w:rPr>
          <w:rFonts w:ascii="Times New Roman" w:hAnsi="Times New Roman"/>
          <w:spacing w:val="-4"/>
          <w:sz w:val="24"/>
          <w:szCs w:val="24"/>
        </w:rPr>
        <w:t>([$125,000 + $60,000] + [$75,000+$150,000]) / ($285,000 + $395,000 + $195,000) = 46.9%</w:t>
      </w:r>
    </w:p>
    <w:p w:rsidR="00706062" w:rsidRPr="006F1778" w:rsidRDefault="00706062" w:rsidP="006F1778">
      <w:pPr>
        <w:pStyle w:val="NoSpacing"/>
        <w:ind w:left="720"/>
        <w:rPr>
          <w:rFonts w:ascii="Times New Roman" w:hAnsi="Times New Roman" w:cs="Times New Roman"/>
          <w:sz w:val="24"/>
          <w:szCs w:val="24"/>
        </w:rPr>
      </w:pPr>
      <w:r w:rsidRPr="00706062">
        <w:rPr>
          <w:rFonts w:ascii="Times New Roman" w:hAnsi="Times New Roman" w:cs="Times New Roman"/>
          <w:sz w:val="24"/>
          <w:szCs w:val="24"/>
        </w:rPr>
        <w:t>Now the resulting aggregation group is not top-heavy, so each plan within the group is treated as not top-heavy.</w:t>
      </w:r>
    </w:p>
    <w:p w:rsidR="00706062" w:rsidRDefault="00706062" w:rsidP="004C6A04">
      <w:pPr>
        <w:pStyle w:val="NoSpacing"/>
        <w:ind w:left="720"/>
        <w:rPr>
          <w:rFonts w:ascii="Times New Roman" w:hAnsi="Times New Roman" w:cs="Times New Roman"/>
          <w:sz w:val="24"/>
          <w:szCs w:val="24"/>
        </w:rPr>
      </w:pPr>
    </w:p>
    <w:p w:rsidR="00633A67" w:rsidRDefault="00633A67" w:rsidP="00633A67">
      <w:pPr>
        <w:pStyle w:val="NoSpacing"/>
        <w:ind w:left="720"/>
        <w:rPr>
          <w:rFonts w:ascii="Times New Roman" w:hAnsi="Times New Roman" w:cs="Times New Roman"/>
          <w:sz w:val="24"/>
          <w:szCs w:val="24"/>
        </w:rPr>
      </w:pPr>
      <w:r w:rsidRPr="00633A67">
        <w:rPr>
          <w:rFonts w:ascii="Times New Roman" w:hAnsi="Times New Roman" w:cs="Times New Roman"/>
          <w:b/>
          <w:sz w:val="24"/>
          <w:szCs w:val="24"/>
        </w:rPr>
        <w:t>Pract</w:t>
      </w:r>
      <w:r>
        <w:rPr>
          <w:rFonts w:ascii="Times New Roman" w:hAnsi="Times New Roman" w:cs="Times New Roman"/>
          <w:b/>
          <w:sz w:val="24"/>
          <w:szCs w:val="24"/>
        </w:rPr>
        <w:t>i</w:t>
      </w:r>
      <w:r w:rsidR="006B435C">
        <w:rPr>
          <w:rFonts w:ascii="Times New Roman" w:hAnsi="Times New Roman" w:cs="Times New Roman"/>
          <w:b/>
          <w:sz w:val="24"/>
          <w:szCs w:val="24"/>
        </w:rPr>
        <w:t>ce Point</w:t>
      </w:r>
      <w:r w:rsidRPr="00633A67">
        <w:rPr>
          <w:rFonts w:ascii="Times New Roman" w:hAnsi="Times New Roman" w:cs="Times New Roman"/>
          <w:b/>
          <w:sz w:val="24"/>
          <w:szCs w:val="24"/>
        </w:rPr>
        <w:t>:</w:t>
      </w:r>
      <w:r>
        <w:rPr>
          <w:rFonts w:ascii="Times New Roman" w:hAnsi="Times New Roman" w:cs="Times New Roman"/>
          <w:sz w:val="24"/>
          <w:szCs w:val="24"/>
        </w:rPr>
        <w:t xml:space="preserve"> </w:t>
      </w:r>
      <w:r w:rsidRPr="00633A67">
        <w:rPr>
          <w:rFonts w:ascii="Times New Roman" w:hAnsi="Times New Roman" w:cs="Times New Roman"/>
          <w:sz w:val="24"/>
          <w:szCs w:val="24"/>
        </w:rPr>
        <w:t xml:space="preserve"> Plans </w:t>
      </w:r>
      <w:r w:rsidR="00CD337F">
        <w:rPr>
          <w:rFonts w:ascii="Times New Roman" w:hAnsi="Times New Roman" w:cs="Times New Roman"/>
          <w:sz w:val="24"/>
          <w:szCs w:val="24"/>
        </w:rPr>
        <w:t xml:space="preserve">in an aggregation group </w:t>
      </w:r>
      <w:r w:rsidRPr="00633A67">
        <w:rPr>
          <w:rFonts w:ascii="Times New Roman" w:hAnsi="Times New Roman" w:cs="Times New Roman"/>
          <w:sz w:val="24"/>
          <w:szCs w:val="24"/>
        </w:rPr>
        <w:t xml:space="preserve">with different plan years </w:t>
      </w:r>
      <w:r w:rsidR="00CD337F">
        <w:rPr>
          <w:rFonts w:ascii="Times New Roman" w:hAnsi="Times New Roman" w:cs="Times New Roman"/>
          <w:sz w:val="24"/>
          <w:szCs w:val="24"/>
        </w:rPr>
        <w:t>d</w:t>
      </w:r>
      <w:r w:rsidRPr="00633A67">
        <w:rPr>
          <w:rFonts w:ascii="Times New Roman" w:hAnsi="Times New Roman" w:cs="Times New Roman"/>
          <w:sz w:val="24"/>
          <w:szCs w:val="24"/>
        </w:rPr>
        <w:t>etermine the value of accrued benefits individually and aggregate the accrued benefits for the same plan years.</w:t>
      </w:r>
      <w:r w:rsidR="00CF0752">
        <w:rPr>
          <w:rStyle w:val="FootnoteReference"/>
          <w:rFonts w:ascii="Times New Roman" w:hAnsi="Times New Roman" w:cs="Times New Roman"/>
          <w:sz w:val="24"/>
          <w:szCs w:val="24"/>
        </w:rPr>
        <w:footnoteReference w:id="10"/>
      </w:r>
      <w:r w:rsidRPr="00633A67">
        <w:rPr>
          <w:rFonts w:ascii="Times New Roman" w:hAnsi="Times New Roman" w:cs="Times New Roman"/>
          <w:sz w:val="24"/>
          <w:szCs w:val="24"/>
        </w:rPr>
        <w:t xml:space="preserve"> For example, plans with the following plan year</w:t>
      </w:r>
      <w:r w:rsidR="007A367B">
        <w:rPr>
          <w:rFonts w:ascii="Times New Roman" w:hAnsi="Times New Roman" w:cs="Times New Roman"/>
          <w:sz w:val="24"/>
          <w:szCs w:val="24"/>
        </w:rPr>
        <w:t>s</w:t>
      </w:r>
      <w:r w:rsidRPr="00633A67">
        <w:rPr>
          <w:rFonts w:ascii="Times New Roman" w:hAnsi="Times New Roman" w:cs="Times New Roman"/>
          <w:sz w:val="24"/>
          <w:szCs w:val="24"/>
        </w:rPr>
        <w:t xml:space="preserve"> (plan year is identified by the year in which the plan year begins) for the year 201</w:t>
      </w:r>
      <w:r>
        <w:rPr>
          <w:rFonts w:ascii="Times New Roman" w:hAnsi="Times New Roman" w:cs="Times New Roman"/>
          <w:sz w:val="24"/>
          <w:szCs w:val="24"/>
        </w:rPr>
        <w:t>3</w:t>
      </w:r>
      <w:r w:rsidRPr="00633A67">
        <w:rPr>
          <w:rFonts w:ascii="Times New Roman" w:hAnsi="Times New Roman" w:cs="Times New Roman"/>
          <w:sz w:val="24"/>
          <w:szCs w:val="24"/>
        </w:rPr>
        <w:t xml:space="preserve"> would aggregate the accrued benefits on the following determination dates: </w:t>
      </w:r>
    </w:p>
    <w:p w:rsidR="00633A67" w:rsidRPr="00633A67" w:rsidRDefault="000A73F0" w:rsidP="00633A67">
      <w:pPr>
        <w:pStyle w:val="PE"/>
        <w:numPr>
          <w:ilvl w:val="0"/>
          <w:numId w:val="30"/>
        </w:numPr>
        <w:suppressAutoHyphens/>
        <w:rPr>
          <w:rFonts w:ascii="Times New Roman" w:hAnsi="Times New Roman"/>
          <w:sz w:val="24"/>
          <w:szCs w:val="24"/>
        </w:rPr>
      </w:pPr>
      <w:r>
        <w:rPr>
          <w:rFonts w:ascii="Times New Roman" w:hAnsi="Times New Roman"/>
          <w:sz w:val="24"/>
          <w:szCs w:val="24"/>
        </w:rPr>
        <w:t>Plan year:</w:t>
      </w:r>
      <w:r>
        <w:rPr>
          <w:rFonts w:ascii="Times New Roman" w:hAnsi="Times New Roman"/>
          <w:sz w:val="24"/>
          <w:szCs w:val="24"/>
        </w:rPr>
        <w:tab/>
      </w:r>
      <w:r w:rsidR="00633A67" w:rsidRPr="00633A67">
        <w:rPr>
          <w:rFonts w:ascii="Times New Roman" w:hAnsi="Times New Roman"/>
          <w:sz w:val="24"/>
          <w:szCs w:val="24"/>
        </w:rPr>
        <w:t>January 1, 201</w:t>
      </w:r>
      <w:r w:rsidR="00633A67">
        <w:rPr>
          <w:rFonts w:ascii="Times New Roman" w:hAnsi="Times New Roman"/>
          <w:sz w:val="24"/>
          <w:szCs w:val="24"/>
        </w:rPr>
        <w:t>3</w:t>
      </w:r>
      <w:r w:rsidR="007A367B">
        <w:rPr>
          <w:rFonts w:ascii="Times New Roman" w:hAnsi="Times New Roman"/>
          <w:sz w:val="24"/>
          <w:szCs w:val="24"/>
        </w:rPr>
        <w:t>,</w:t>
      </w:r>
      <w:r w:rsidR="00633A67" w:rsidRPr="00633A67">
        <w:rPr>
          <w:rFonts w:ascii="Times New Roman" w:hAnsi="Times New Roman"/>
          <w:sz w:val="24"/>
          <w:szCs w:val="24"/>
        </w:rPr>
        <w:t xml:space="preserve"> to December 31, 201</w:t>
      </w:r>
      <w:r w:rsidR="00633A67">
        <w:rPr>
          <w:rFonts w:ascii="Times New Roman" w:hAnsi="Times New Roman"/>
          <w:sz w:val="24"/>
          <w:szCs w:val="24"/>
        </w:rPr>
        <w:t>3</w:t>
      </w:r>
      <w:r w:rsidR="00633A67" w:rsidRPr="00633A67">
        <w:rPr>
          <w:rFonts w:ascii="Times New Roman" w:hAnsi="Times New Roman"/>
          <w:sz w:val="24"/>
          <w:szCs w:val="24"/>
        </w:rPr>
        <w:t xml:space="preserve"> </w:t>
      </w:r>
      <w:r>
        <w:rPr>
          <w:rFonts w:ascii="Times New Roman" w:hAnsi="Times New Roman"/>
          <w:sz w:val="24"/>
          <w:szCs w:val="24"/>
        </w:rPr>
        <w:br/>
        <w:t>D</w:t>
      </w:r>
      <w:r w:rsidRPr="00633A67">
        <w:rPr>
          <w:rFonts w:ascii="Times New Roman" w:hAnsi="Times New Roman"/>
          <w:sz w:val="24"/>
          <w:szCs w:val="24"/>
        </w:rPr>
        <w:t xml:space="preserve">etermination </w:t>
      </w:r>
      <w:r w:rsidR="00633A67" w:rsidRPr="00633A67">
        <w:rPr>
          <w:rFonts w:ascii="Times New Roman" w:hAnsi="Times New Roman"/>
          <w:sz w:val="24"/>
          <w:szCs w:val="24"/>
        </w:rPr>
        <w:t>date</w:t>
      </w:r>
      <w:r>
        <w:rPr>
          <w:rFonts w:ascii="Times New Roman" w:hAnsi="Times New Roman"/>
          <w:sz w:val="24"/>
          <w:szCs w:val="24"/>
        </w:rPr>
        <w:t>:</w:t>
      </w:r>
      <w:r>
        <w:rPr>
          <w:rFonts w:ascii="Times New Roman" w:hAnsi="Times New Roman"/>
          <w:sz w:val="24"/>
          <w:szCs w:val="24"/>
        </w:rPr>
        <w:tab/>
      </w:r>
      <w:r w:rsidR="00633A67" w:rsidRPr="00633A67">
        <w:rPr>
          <w:rFonts w:ascii="Times New Roman" w:hAnsi="Times New Roman"/>
          <w:sz w:val="24"/>
          <w:szCs w:val="24"/>
        </w:rPr>
        <w:t>December 31, 201</w:t>
      </w:r>
      <w:r w:rsidR="00633A67">
        <w:rPr>
          <w:rFonts w:ascii="Times New Roman" w:hAnsi="Times New Roman"/>
          <w:sz w:val="24"/>
          <w:szCs w:val="24"/>
        </w:rPr>
        <w:t>2</w:t>
      </w:r>
      <w:r w:rsidR="00633A67" w:rsidRPr="00633A67">
        <w:rPr>
          <w:rFonts w:ascii="Times New Roman" w:hAnsi="Times New Roman"/>
          <w:sz w:val="24"/>
          <w:szCs w:val="24"/>
        </w:rPr>
        <w:t xml:space="preserve"> </w:t>
      </w:r>
    </w:p>
    <w:p w:rsidR="00633A67" w:rsidRPr="00633A67" w:rsidRDefault="000A73F0" w:rsidP="00633A67">
      <w:pPr>
        <w:pStyle w:val="PE"/>
        <w:numPr>
          <w:ilvl w:val="0"/>
          <w:numId w:val="30"/>
        </w:numPr>
        <w:suppressAutoHyphens/>
        <w:rPr>
          <w:rFonts w:ascii="Times New Roman" w:hAnsi="Times New Roman"/>
          <w:sz w:val="24"/>
          <w:szCs w:val="24"/>
        </w:rPr>
      </w:pPr>
      <w:r>
        <w:rPr>
          <w:rFonts w:ascii="Times New Roman" w:hAnsi="Times New Roman"/>
          <w:sz w:val="24"/>
          <w:szCs w:val="24"/>
        </w:rPr>
        <w:t>Plan year:</w:t>
      </w:r>
      <w:r>
        <w:rPr>
          <w:rFonts w:ascii="Times New Roman" w:hAnsi="Times New Roman"/>
          <w:sz w:val="24"/>
          <w:szCs w:val="24"/>
        </w:rPr>
        <w:tab/>
      </w:r>
      <w:r w:rsidR="00633A67" w:rsidRPr="00633A67">
        <w:rPr>
          <w:rFonts w:ascii="Times New Roman" w:hAnsi="Times New Roman"/>
          <w:sz w:val="24"/>
          <w:szCs w:val="24"/>
        </w:rPr>
        <w:t>April 1, 201</w:t>
      </w:r>
      <w:r w:rsidR="00633A67">
        <w:rPr>
          <w:rFonts w:ascii="Times New Roman" w:hAnsi="Times New Roman"/>
          <w:sz w:val="24"/>
          <w:szCs w:val="24"/>
        </w:rPr>
        <w:t>3</w:t>
      </w:r>
      <w:r w:rsidR="007A367B">
        <w:rPr>
          <w:rFonts w:ascii="Times New Roman" w:hAnsi="Times New Roman"/>
          <w:sz w:val="24"/>
          <w:szCs w:val="24"/>
        </w:rPr>
        <w:t>,</w:t>
      </w:r>
      <w:r w:rsidR="00633A67" w:rsidRPr="00633A67">
        <w:rPr>
          <w:rFonts w:ascii="Times New Roman" w:hAnsi="Times New Roman"/>
          <w:sz w:val="24"/>
          <w:szCs w:val="24"/>
        </w:rPr>
        <w:t xml:space="preserve"> to March 31, 201</w:t>
      </w:r>
      <w:r w:rsidR="00633A67">
        <w:rPr>
          <w:rFonts w:ascii="Times New Roman" w:hAnsi="Times New Roman"/>
          <w:sz w:val="24"/>
          <w:szCs w:val="24"/>
        </w:rPr>
        <w:t>4</w:t>
      </w:r>
      <w:r>
        <w:rPr>
          <w:rFonts w:ascii="Times New Roman" w:hAnsi="Times New Roman"/>
          <w:sz w:val="24"/>
          <w:szCs w:val="24"/>
        </w:rPr>
        <w:br/>
        <w:t>D</w:t>
      </w:r>
      <w:r w:rsidRPr="00633A67">
        <w:rPr>
          <w:rFonts w:ascii="Times New Roman" w:hAnsi="Times New Roman"/>
          <w:sz w:val="24"/>
          <w:szCs w:val="24"/>
        </w:rPr>
        <w:t>etermination date</w:t>
      </w:r>
      <w:r>
        <w:rPr>
          <w:rFonts w:ascii="Times New Roman" w:hAnsi="Times New Roman"/>
          <w:sz w:val="24"/>
          <w:szCs w:val="24"/>
        </w:rPr>
        <w:tab/>
      </w:r>
      <w:r w:rsidR="00633A67" w:rsidRPr="00633A67">
        <w:rPr>
          <w:rFonts w:ascii="Times New Roman" w:hAnsi="Times New Roman"/>
          <w:sz w:val="24"/>
          <w:szCs w:val="24"/>
        </w:rPr>
        <w:t>March 31, 201</w:t>
      </w:r>
      <w:r w:rsidR="00633A67">
        <w:rPr>
          <w:rFonts w:ascii="Times New Roman" w:hAnsi="Times New Roman"/>
          <w:sz w:val="24"/>
          <w:szCs w:val="24"/>
        </w:rPr>
        <w:t>3</w:t>
      </w:r>
      <w:r w:rsidR="00633A67" w:rsidRPr="00633A67">
        <w:rPr>
          <w:rFonts w:ascii="Times New Roman" w:hAnsi="Times New Roman"/>
          <w:sz w:val="24"/>
          <w:szCs w:val="24"/>
        </w:rPr>
        <w:t xml:space="preserve"> </w:t>
      </w:r>
    </w:p>
    <w:p w:rsidR="00633A67" w:rsidRPr="00633A67" w:rsidRDefault="000A73F0" w:rsidP="00633A67">
      <w:pPr>
        <w:pStyle w:val="NoSpacing"/>
        <w:numPr>
          <w:ilvl w:val="0"/>
          <w:numId w:val="30"/>
        </w:numPr>
        <w:rPr>
          <w:rFonts w:ascii="Times New Roman" w:hAnsi="Times New Roman" w:cs="Times New Roman"/>
          <w:sz w:val="24"/>
          <w:szCs w:val="24"/>
        </w:rPr>
      </w:pPr>
      <w:r>
        <w:rPr>
          <w:rFonts w:ascii="Times New Roman" w:hAnsi="Times New Roman"/>
          <w:sz w:val="24"/>
          <w:szCs w:val="24"/>
        </w:rPr>
        <w:t>Plan year:</w:t>
      </w:r>
      <w:r>
        <w:rPr>
          <w:rFonts w:ascii="Times New Roman" w:hAnsi="Times New Roman"/>
          <w:sz w:val="24"/>
          <w:szCs w:val="24"/>
        </w:rPr>
        <w:tab/>
      </w:r>
      <w:r w:rsidR="00633A67" w:rsidRPr="00633A67">
        <w:rPr>
          <w:rFonts w:ascii="Times New Roman" w:hAnsi="Times New Roman" w:cs="Times New Roman"/>
          <w:sz w:val="24"/>
          <w:szCs w:val="24"/>
        </w:rPr>
        <w:t>October 1, 201</w:t>
      </w:r>
      <w:r w:rsidR="00633A67">
        <w:rPr>
          <w:rFonts w:ascii="Times New Roman" w:hAnsi="Times New Roman" w:cs="Times New Roman"/>
          <w:sz w:val="24"/>
          <w:szCs w:val="24"/>
        </w:rPr>
        <w:t>3</w:t>
      </w:r>
      <w:r w:rsidR="007A367B">
        <w:rPr>
          <w:rFonts w:ascii="Times New Roman" w:hAnsi="Times New Roman" w:cs="Times New Roman"/>
          <w:sz w:val="24"/>
          <w:szCs w:val="24"/>
        </w:rPr>
        <w:t>,</w:t>
      </w:r>
      <w:r w:rsidR="00633A67" w:rsidRPr="00633A67">
        <w:rPr>
          <w:rFonts w:ascii="Times New Roman" w:hAnsi="Times New Roman" w:cs="Times New Roman"/>
          <w:sz w:val="24"/>
          <w:szCs w:val="24"/>
        </w:rPr>
        <w:t xml:space="preserve"> to September 30, 201</w:t>
      </w:r>
      <w:r w:rsidR="00633A67">
        <w:rPr>
          <w:rFonts w:ascii="Times New Roman" w:hAnsi="Times New Roman" w:cs="Times New Roman"/>
          <w:sz w:val="24"/>
          <w:szCs w:val="24"/>
        </w:rPr>
        <w:t>4</w:t>
      </w:r>
      <w:r>
        <w:rPr>
          <w:rFonts w:ascii="Times New Roman" w:hAnsi="Times New Roman" w:cs="Times New Roman"/>
          <w:sz w:val="24"/>
          <w:szCs w:val="24"/>
        </w:rPr>
        <w:br/>
        <w:t>D</w:t>
      </w:r>
      <w:r w:rsidRPr="00633A67">
        <w:rPr>
          <w:rFonts w:ascii="Times New Roman" w:hAnsi="Times New Roman" w:cs="Times New Roman"/>
          <w:sz w:val="24"/>
          <w:szCs w:val="24"/>
        </w:rPr>
        <w:t xml:space="preserve">etermination </w:t>
      </w:r>
      <w:r w:rsidR="00633A67" w:rsidRPr="00633A67">
        <w:rPr>
          <w:rFonts w:ascii="Times New Roman" w:hAnsi="Times New Roman" w:cs="Times New Roman"/>
          <w:sz w:val="24"/>
          <w:szCs w:val="24"/>
        </w:rPr>
        <w:t>date</w:t>
      </w:r>
      <w:r>
        <w:rPr>
          <w:rFonts w:ascii="Times New Roman" w:hAnsi="Times New Roman" w:cs="Times New Roman"/>
          <w:sz w:val="24"/>
          <w:szCs w:val="24"/>
        </w:rPr>
        <w:t>:</w:t>
      </w:r>
      <w:r>
        <w:rPr>
          <w:rFonts w:ascii="Times New Roman" w:hAnsi="Times New Roman" w:cs="Times New Roman"/>
          <w:sz w:val="24"/>
          <w:szCs w:val="24"/>
        </w:rPr>
        <w:tab/>
      </w:r>
      <w:r w:rsidR="00633A67" w:rsidRPr="00633A67">
        <w:rPr>
          <w:rFonts w:ascii="Times New Roman" w:hAnsi="Times New Roman" w:cs="Times New Roman"/>
          <w:sz w:val="24"/>
          <w:szCs w:val="24"/>
        </w:rPr>
        <w:t xml:space="preserve"> September 30, 201</w:t>
      </w:r>
      <w:r w:rsidR="00633A67">
        <w:rPr>
          <w:rFonts w:ascii="Times New Roman" w:hAnsi="Times New Roman" w:cs="Times New Roman"/>
          <w:sz w:val="24"/>
          <w:szCs w:val="24"/>
        </w:rPr>
        <w:t>3</w:t>
      </w:r>
    </w:p>
    <w:p w:rsidR="00633A67" w:rsidRDefault="00633A67" w:rsidP="004C6A04">
      <w:pPr>
        <w:pStyle w:val="NoSpacing"/>
        <w:ind w:left="720"/>
        <w:rPr>
          <w:rFonts w:ascii="Times New Roman" w:hAnsi="Times New Roman" w:cs="Times New Roman"/>
          <w:sz w:val="24"/>
          <w:szCs w:val="24"/>
        </w:rPr>
      </w:pPr>
    </w:p>
    <w:p w:rsidR="00633A67" w:rsidRDefault="00633A67" w:rsidP="00633A67">
      <w:pPr>
        <w:pStyle w:val="NoSpacing"/>
        <w:ind w:left="720"/>
        <w:rPr>
          <w:rFonts w:ascii="Times New Roman" w:hAnsi="Times New Roman" w:cs="Times New Roman"/>
          <w:b/>
          <w:sz w:val="24"/>
          <w:szCs w:val="24"/>
        </w:rPr>
      </w:pPr>
    </w:p>
    <w:p w:rsidR="00DD79A4" w:rsidRPr="00AE6419" w:rsidRDefault="00DD79A4" w:rsidP="002A7C66">
      <w:pPr>
        <w:pStyle w:val="NoSpacing"/>
        <w:ind w:left="720"/>
        <w:rPr>
          <w:rFonts w:ascii="Times New Roman" w:hAnsi="Times New Roman" w:cs="Times New Roman"/>
          <w:b/>
          <w:sz w:val="24"/>
          <w:szCs w:val="24"/>
        </w:rPr>
      </w:pPr>
    </w:p>
    <w:p w:rsidR="007A2439" w:rsidRDefault="007A2439" w:rsidP="007A2439">
      <w:pPr>
        <w:pStyle w:val="NoSpacing"/>
        <w:ind w:left="720"/>
        <w:rPr>
          <w:rFonts w:ascii="Times New Roman" w:hAnsi="Times New Roman" w:cs="Times New Roman"/>
          <w:sz w:val="24"/>
          <w:szCs w:val="24"/>
        </w:rPr>
      </w:pPr>
    </w:p>
    <w:p w:rsidR="002D1EFF" w:rsidRPr="00AE6419" w:rsidRDefault="002D1EFF" w:rsidP="002D1EFF">
      <w:pPr>
        <w:pStyle w:val="NoSpacing"/>
        <w:ind w:left="720"/>
        <w:rPr>
          <w:rFonts w:ascii="Times New Roman" w:hAnsi="Times New Roman" w:cs="Times New Roman"/>
          <w:b/>
          <w:sz w:val="24"/>
          <w:szCs w:val="24"/>
        </w:rPr>
      </w:pPr>
      <w:r>
        <w:rPr>
          <w:rFonts w:ascii="Times New Roman" w:hAnsi="Times New Roman" w:cs="Times New Roman"/>
          <w:b/>
          <w:sz w:val="24"/>
          <w:szCs w:val="24"/>
        </w:rPr>
        <w:t>Q. 5.0</w:t>
      </w:r>
      <w:r w:rsidR="00C535E9">
        <w:rPr>
          <w:rFonts w:ascii="Times New Roman" w:hAnsi="Times New Roman" w:cs="Times New Roman"/>
          <w:b/>
          <w:sz w:val="24"/>
          <w:szCs w:val="24"/>
        </w:rPr>
        <w:t>9</w:t>
      </w:r>
      <w:r>
        <w:rPr>
          <w:rFonts w:ascii="Times New Roman" w:hAnsi="Times New Roman" w:cs="Times New Roman"/>
          <w:b/>
          <w:sz w:val="24"/>
          <w:szCs w:val="24"/>
        </w:rPr>
        <w:t>:  Does</w:t>
      </w:r>
      <w:r w:rsidRPr="000E5E99">
        <w:rPr>
          <w:rFonts w:ascii="Times New Roman" w:hAnsi="Times New Roman" w:cs="Times New Roman"/>
          <w:b/>
          <w:sz w:val="24"/>
          <w:szCs w:val="24"/>
        </w:rPr>
        <w:t xml:space="preserve"> the </w:t>
      </w:r>
      <w:r>
        <w:rPr>
          <w:rFonts w:ascii="Times New Roman" w:hAnsi="Times New Roman" w:cs="Times New Roman"/>
          <w:b/>
          <w:sz w:val="24"/>
          <w:szCs w:val="24"/>
        </w:rPr>
        <w:t>accrued benefit for determining top-heavy status include employee-funded benefits or employee account balances</w:t>
      </w:r>
      <w:r w:rsidRPr="000E5E99">
        <w:rPr>
          <w:rFonts w:ascii="Times New Roman" w:hAnsi="Times New Roman" w:cs="Times New Roman"/>
          <w:b/>
          <w:sz w:val="24"/>
          <w:szCs w:val="24"/>
        </w:rPr>
        <w:t>?</w:t>
      </w:r>
    </w:p>
    <w:p w:rsidR="002D1EFF" w:rsidRDefault="002D1EFF" w:rsidP="002D1EFF">
      <w:pPr>
        <w:pStyle w:val="NoSpacing"/>
        <w:ind w:left="720"/>
        <w:rPr>
          <w:rFonts w:ascii="Times New Roman" w:hAnsi="Times New Roman" w:cs="Times New Roman"/>
          <w:sz w:val="24"/>
          <w:szCs w:val="24"/>
        </w:rPr>
      </w:pPr>
    </w:p>
    <w:p w:rsidR="002D1EFF" w:rsidRDefault="002D1EFF" w:rsidP="002D1EFF">
      <w:pPr>
        <w:pStyle w:val="NoSpacing"/>
        <w:ind w:left="720"/>
        <w:rPr>
          <w:rFonts w:ascii="Times New Roman" w:hAnsi="Times New Roman" w:cs="Times New Roman"/>
          <w:sz w:val="24"/>
          <w:szCs w:val="24"/>
        </w:rPr>
      </w:pPr>
      <w:r>
        <w:rPr>
          <w:rFonts w:ascii="Times New Roman" w:hAnsi="Times New Roman" w:cs="Times New Roman"/>
          <w:sz w:val="24"/>
          <w:szCs w:val="24"/>
        </w:rPr>
        <w:t>Yes.  Both employer- and employee-funded accrued benefits (including voluntary after-tax employee contributions and employee 401(k) deferrals) are generally included in the determination of top-heavy plan status.</w:t>
      </w:r>
      <w:r w:rsidR="00CF0752">
        <w:rPr>
          <w:rStyle w:val="FootnoteReference"/>
          <w:rFonts w:ascii="Times New Roman" w:hAnsi="Times New Roman" w:cs="Times New Roman"/>
          <w:sz w:val="24"/>
          <w:szCs w:val="24"/>
        </w:rPr>
        <w:footnoteReference w:id="11"/>
      </w:r>
    </w:p>
    <w:p w:rsidR="002D1EFF" w:rsidRDefault="002D1EFF" w:rsidP="002D1EFF">
      <w:pPr>
        <w:pStyle w:val="NoSpacing"/>
        <w:ind w:left="720"/>
        <w:rPr>
          <w:rFonts w:ascii="Times New Roman" w:hAnsi="Times New Roman" w:cs="Times New Roman"/>
          <w:sz w:val="24"/>
          <w:szCs w:val="24"/>
        </w:rPr>
      </w:pPr>
    </w:p>
    <w:p w:rsidR="007A2439" w:rsidRPr="00AE6419" w:rsidRDefault="00083D57" w:rsidP="007A2439">
      <w:pPr>
        <w:pStyle w:val="NoSpacing"/>
        <w:ind w:left="720"/>
        <w:rPr>
          <w:rFonts w:ascii="Times New Roman" w:hAnsi="Times New Roman" w:cs="Times New Roman"/>
          <w:b/>
          <w:sz w:val="24"/>
          <w:szCs w:val="24"/>
        </w:rPr>
      </w:pPr>
      <w:r>
        <w:rPr>
          <w:rFonts w:ascii="Times New Roman" w:hAnsi="Times New Roman" w:cs="Times New Roman"/>
          <w:b/>
          <w:sz w:val="24"/>
          <w:szCs w:val="24"/>
        </w:rPr>
        <w:t xml:space="preserve">Q. </w:t>
      </w:r>
      <w:r w:rsidR="00044F1D">
        <w:rPr>
          <w:rFonts w:ascii="Times New Roman" w:hAnsi="Times New Roman" w:cs="Times New Roman"/>
          <w:b/>
          <w:sz w:val="24"/>
          <w:szCs w:val="24"/>
        </w:rPr>
        <w:t>5</w:t>
      </w:r>
      <w:r w:rsidR="00E7323E">
        <w:rPr>
          <w:rFonts w:ascii="Times New Roman" w:hAnsi="Times New Roman" w:cs="Times New Roman"/>
          <w:b/>
          <w:sz w:val="24"/>
          <w:szCs w:val="24"/>
        </w:rPr>
        <w:t>.</w:t>
      </w:r>
      <w:r w:rsidR="00C535E9">
        <w:rPr>
          <w:rFonts w:ascii="Times New Roman" w:hAnsi="Times New Roman" w:cs="Times New Roman"/>
          <w:b/>
          <w:sz w:val="24"/>
          <w:szCs w:val="24"/>
        </w:rPr>
        <w:t>1</w:t>
      </w:r>
      <w:r w:rsidR="007A1BFD">
        <w:rPr>
          <w:rFonts w:ascii="Times New Roman" w:hAnsi="Times New Roman" w:cs="Times New Roman"/>
          <w:b/>
          <w:sz w:val="24"/>
          <w:szCs w:val="24"/>
        </w:rPr>
        <w:t>0</w:t>
      </w:r>
      <w:r w:rsidR="00E7323E">
        <w:rPr>
          <w:rFonts w:ascii="Times New Roman" w:hAnsi="Times New Roman" w:cs="Times New Roman"/>
          <w:b/>
          <w:sz w:val="24"/>
          <w:szCs w:val="24"/>
        </w:rPr>
        <w:t xml:space="preserve">:  </w:t>
      </w:r>
      <w:r w:rsidR="007A1BFD">
        <w:rPr>
          <w:rFonts w:ascii="Times New Roman" w:hAnsi="Times New Roman" w:cs="Times New Roman"/>
          <w:b/>
          <w:sz w:val="24"/>
          <w:szCs w:val="24"/>
        </w:rPr>
        <w:t xml:space="preserve">How do distributions impact the determination of </w:t>
      </w:r>
      <w:r w:rsidR="009B30F7">
        <w:rPr>
          <w:rFonts w:ascii="Times New Roman" w:hAnsi="Times New Roman" w:cs="Times New Roman"/>
          <w:b/>
          <w:sz w:val="24"/>
          <w:szCs w:val="24"/>
        </w:rPr>
        <w:t>top-heavy status</w:t>
      </w:r>
      <w:r w:rsidR="00AC2BF5" w:rsidRPr="00AC2BF5">
        <w:rPr>
          <w:rFonts w:ascii="Times New Roman" w:hAnsi="Times New Roman" w:cs="Times New Roman"/>
          <w:b/>
          <w:sz w:val="24"/>
          <w:szCs w:val="24"/>
        </w:rPr>
        <w:t>?</w:t>
      </w:r>
    </w:p>
    <w:p w:rsidR="00AC2BF5" w:rsidRDefault="00AC2BF5" w:rsidP="00AC2BF5">
      <w:pPr>
        <w:pStyle w:val="ListParagraph"/>
        <w:widowControl w:val="0"/>
        <w:tabs>
          <w:tab w:val="decimal" w:pos="680"/>
          <w:tab w:val="left" w:pos="840"/>
        </w:tabs>
        <w:autoSpaceDE w:val="0"/>
        <w:autoSpaceDN w:val="0"/>
        <w:adjustRightInd w:val="0"/>
        <w:spacing w:line="240" w:lineRule="exact"/>
        <w:ind w:left="915"/>
        <w:jc w:val="both"/>
      </w:pPr>
    </w:p>
    <w:p w:rsidR="00EE6470" w:rsidRPr="000657FA" w:rsidRDefault="00EE6470" w:rsidP="000657FA">
      <w:pPr>
        <w:pStyle w:val="NoSpacing"/>
        <w:ind w:left="720"/>
        <w:rPr>
          <w:rFonts w:ascii="Times New Roman" w:hAnsi="Times New Roman" w:cs="Times New Roman"/>
          <w:sz w:val="24"/>
          <w:szCs w:val="24"/>
        </w:rPr>
      </w:pPr>
      <w:r w:rsidRPr="000657FA">
        <w:rPr>
          <w:rFonts w:ascii="Times New Roman" w:hAnsi="Times New Roman" w:cs="Times New Roman"/>
          <w:sz w:val="24"/>
          <w:szCs w:val="24"/>
        </w:rPr>
        <w:t>A</w:t>
      </w:r>
      <w:r w:rsidR="007A1BFD" w:rsidRPr="000657FA">
        <w:rPr>
          <w:rFonts w:ascii="Times New Roman" w:hAnsi="Times New Roman" w:cs="Times New Roman"/>
          <w:sz w:val="24"/>
          <w:szCs w:val="24"/>
        </w:rPr>
        <w:t xml:space="preserve">ll distributions to terminated participants made during the one-year period ending on the determination date are added back </w:t>
      </w:r>
      <w:r w:rsidRPr="000657FA">
        <w:rPr>
          <w:rFonts w:ascii="Times New Roman" w:hAnsi="Times New Roman" w:cs="Times New Roman"/>
          <w:sz w:val="24"/>
          <w:szCs w:val="24"/>
        </w:rPr>
        <w:t xml:space="preserve">as accrued benefits for the determination of top-heavy status.  There is an exception to this rule </w:t>
      </w:r>
      <w:r w:rsidR="007A1BFD" w:rsidRPr="000657FA">
        <w:rPr>
          <w:rFonts w:ascii="Times New Roman" w:hAnsi="Times New Roman" w:cs="Times New Roman"/>
          <w:sz w:val="24"/>
          <w:szCs w:val="24"/>
        </w:rPr>
        <w:t>for in-service distributions to current participants</w:t>
      </w:r>
      <w:r w:rsidRPr="000657FA">
        <w:rPr>
          <w:rFonts w:ascii="Times New Roman" w:hAnsi="Times New Roman" w:cs="Times New Roman"/>
          <w:sz w:val="24"/>
          <w:szCs w:val="24"/>
        </w:rPr>
        <w:t>, although the distributions a</w:t>
      </w:r>
      <w:r w:rsidR="007A1BFD" w:rsidRPr="000657FA">
        <w:rPr>
          <w:rFonts w:ascii="Times New Roman" w:hAnsi="Times New Roman" w:cs="Times New Roman"/>
          <w:sz w:val="24"/>
          <w:szCs w:val="24"/>
        </w:rPr>
        <w:t>re subject to a five-year look</w:t>
      </w:r>
      <w:r w:rsidR="000657FA">
        <w:rPr>
          <w:rFonts w:ascii="Times New Roman" w:hAnsi="Times New Roman" w:cs="Times New Roman"/>
          <w:sz w:val="24"/>
          <w:szCs w:val="24"/>
        </w:rPr>
        <w:t>-</w:t>
      </w:r>
      <w:r w:rsidR="007A1BFD" w:rsidRPr="000657FA">
        <w:rPr>
          <w:rFonts w:ascii="Times New Roman" w:hAnsi="Times New Roman" w:cs="Times New Roman"/>
          <w:sz w:val="24"/>
          <w:szCs w:val="24"/>
        </w:rPr>
        <w:t>back ending on the determination date.</w:t>
      </w:r>
      <w:r w:rsidR="00CF0752">
        <w:rPr>
          <w:rStyle w:val="FootnoteReference"/>
          <w:rFonts w:ascii="Times New Roman" w:hAnsi="Times New Roman" w:cs="Times New Roman"/>
          <w:sz w:val="24"/>
          <w:szCs w:val="24"/>
        </w:rPr>
        <w:footnoteReference w:id="12"/>
      </w:r>
    </w:p>
    <w:p w:rsidR="004C6A04" w:rsidRDefault="004C6A04" w:rsidP="00306EC3">
      <w:pPr>
        <w:pStyle w:val="ListParagraph"/>
        <w:widowControl w:val="0"/>
        <w:tabs>
          <w:tab w:val="decimal" w:pos="680"/>
          <w:tab w:val="left" w:pos="840"/>
        </w:tabs>
        <w:autoSpaceDE w:val="0"/>
        <w:autoSpaceDN w:val="0"/>
        <w:adjustRightInd w:val="0"/>
        <w:spacing w:line="240" w:lineRule="exact"/>
        <w:jc w:val="both"/>
      </w:pPr>
    </w:p>
    <w:p w:rsidR="00EE6470" w:rsidRDefault="00EE6470" w:rsidP="007A1BFD">
      <w:pPr>
        <w:pStyle w:val="ListParagraph"/>
        <w:widowControl w:val="0"/>
        <w:tabs>
          <w:tab w:val="decimal" w:pos="680"/>
          <w:tab w:val="left" w:pos="840"/>
        </w:tabs>
        <w:autoSpaceDE w:val="0"/>
        <w:autoSpaceDN w:val="0"/>
        <w:adjustRightInd w:val="0"/>
        <w:spacing w:line="240" w:lineRule="exact"/>
        <w:ind w:left="915"/>
        <w:jc w:val="both"/>
      </w:pPr>
    </w:p>
    <w:p w:rsidR="00B85A8B" w:rsidRPr="00B85A8B" w:rsidRDefault="00B85A8B" w:rsidP="006D0130">
      <w:pPr>
        <w:pStyle w:val="PG"/>
        <w:suppressAutoHyphens/>
        <w:spacing w:after="90"/>
        <w:ind w:left="720"/>
        <w:rPr>
          <w:rFonts w:ascii="Times New Roman" w:hAnsi="Times New Roman"/>
          <w:sz w:val="24"/>
          <w:szCs w:val="24"/>
        </w:rPr>
      </w:pPr>
      <w:r w:rsidRPr="00B85A8B">
        <w:rPr>
          <w:rFonts w:ascii="Times New Roman" w:hAnsi="Times New Roman"/>
          <w:b/>
          <w:bCs/>
          <w:sz w:val="24"/>
          <w:szCs w:val="24"/>
        </w:rPr>
        <w:t xml:space="preserve">Example </w:t>
      </w:r>
      <w:r w:rsidR="000F42B7">
        <w:rPr>
          <w:rFonts w:ascii="Times New Roman" w:hAnsi="Times New Roman"/>
          <w:b/>
          <w:bCs/>
          <w:sz w:val="24"/>
          <w:szCs w:val="24"/>
        </w:rPr>
        <w:t>3</w:t>
      </w:r>
      <w:r w:rsidRPr="00B85A8B">
        <w:rPr>
          <w:rFonts w:ascii="Times New Roman" w:hAnsi="Times New Roman"/>
          <w:b/>
          <w:bCs/>
          <w:sz w:val="24"/>
          <w:szCs w:val="24"/>
        </w:rPr>
        <w:t>. </w:t>
      </w:r>
      <w:r w:rsidRPr="00B85A8B">
        <w:rPr>
          <w:rFonts w:ascii="Times New Roman" w:hAnsi="Times New Roman"/>
          <w:sz w:val="24"/>
          <w:szCs w:val="24"/>
        </w:rPr>
        <w:t>Following is a calendar year plan for the plan year ending December 31, 201</w:t>
      </w:r>
      <w:r>
        <w:rPr>
          <w:rFonts w:ascii="Times New Roman" w:hAnsi="Times New Roman"/>
          <w:sz w:val="24"/>
          <w:szCs w:val="24"/>
        </w:rPr>
        <w:t>3</w:t>
      </w:r>
      <w:r w:rsidRPr="00B85A8B">
        <w:rPr>
          <w:rFonts w:ascii="Times New Roman" w:hAnsi="Times New Roman"/>
          <w:sz w:val="24"/>
          <w:szCs w:val="24"/>
        </w:rPr>
        <w:t xml:space="preserve"> (the determination date is 12/31/201</w:t>
      </w:r>
      <w:r>
        <w:rPr>
          <w:rFonts w:ascii="Times New Roman" w:hAnsi="Times New Roman"/>
          <w:sz w:val="24"/>
          <w:szCs w:val="24"/>
        </w:rPr>
        <w:t>2</w:t>
      </w:r>
      <w:r w:rsidRPr="00B85A8B">
        <w:rPr>
          <w:rFonts w:ascii="Times New Roman" w:hAnsi="Times New Roman"/>
          <w:sz w:val="24"/>
          <w:szCs w:val="24"/>
        </w:rPr>
        <w:t>):</w:t>
      </w:r>
    </w:p>
    <w:p w:rsidR="00B85A8B" w:rsidRPr="00B85A8B" w:rsidRDefault="00B85A8B" w:rsidP="00B85A8B">
      <w:pPr>
        <w:suppressAutoHyphens/>
      </w:pPr>
    </w:p>
    <w:tbl>
      <w:tblPr>
        <w:tblW w:w="0" w:type="auto"/>
        <w:jc w:val="center"/>
        <w:tblLayout w:type="fixed"/>
        <w:tblCellMar>
          <w:left w:w="0" w:type="dxa"/>
          <w:right w:w="0" w:type="dxa"/>
        </w:tblCellMar>
        <w:tblLook w:val="0000" w:firstRow="0" w:lastRow="0" w:firstColumn="0" w:lastColumn="0" w:noHBand="0" w:noVBand="0"/>
      </w:tblPr>
      <w:tblGrid>
        <w:gridCol w:w="2335"/>
        <w:gridCol w:w="2520"/>
        <w:gridCol w:w="2880"/>
      </w:tblGrid>
      <w:tr w:rsidR="00B85A8B" w:rsidRPr="00B85A8B" w:rsidTr="000F42B7">
        <w:trPr>
          <w:trHeight w:val="480"/>
          <w:jc w:val="center"/>
        </w:trPr>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5A8B" w:rsidRPr="00B85A8B" w:rsidRDefault="00B85A8B" w:rsidP="000F42B7">
            <w:pPr>
              <w:pStyle w:val="NoParagraphStyle"/>
              <w:spacing w:line="240" w:lineRule="auto"/>
              <w:textAlignment w:val="auto"/>
              <w:rPr>
                <w:rFonts w:ascii="Times New Roman" w:hAnsi="Times New Roman" w:cs="Times New Roman"/>
                <w:color w:val="auto"/>
              </w:rPr>
            </w:pP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90" w:type="dxa"/>
              <w:right w:w="108" w:type="dxa"/>
            </w:tcMar>
            <w:vAlign w:val="center"/>
          </w:tcPr>
          <w:p w:rsidR="00B85A8B" w:rsidRPr="00B85A8B" w:rsidRDefault="00B85A8B" w:rsidP="000F42B7">
            <w:pPr>
              <w:suppressAutoHyphens/>
              <w:jc w:val="both"/>
            </w:pPr>
            <w:r w:rsidRPr="00B85A8B">
              <w:rPr>
                <w:b/>
                <w:bCs/>
                <w:i/>
                <w:iCs/>
              </w:rPr>
              <w:t>Key Benefits/Distributions</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90" w:type="dxa"/>
              <w:right w:w="108" w:type="dxa"/>
            </w:tcMar>
            <w:vAlign w:val="center"/>
          </w:tcPr>
          <w:p w:rsidR="00B85A8B" w:rsidRPr="00B85A8B" w:rsidRDefault="00B85A8B" w:rsidP="000F42B7">
            <w:pPr>
              <w:suppressAutoHyphens/>
              <w:jc w:val="both"/>
            </w:pPr>
            <w:r w:rsidRPr="00B85A8B">
              <w:rPr>
                <w:b/>
                <w:bCs/>
                <w:i/>
                <w:iCs/>
              </w:rPr>
              <w:t>Non-Key Benefits/Distributions</w:t>
            </w:r>
          </w:p>
        </w:tc>
      </w:tr>
      <w:tr w:rsidR="00B85A8B" w:rsidRPr="00B85A8B" w:rsidTr="000F42B7">
        <w:trPr>
          <w:trHeight w:val="335"/>
          <w:jc w:val="center"/>
        </w:trPr>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5A8B" w:rsidRPr="00B85A8B" w:rsidRDefault="00B85A8B" w:rsidP="00B85A8B">
            <w:pPr>
              <w:suppressAutoHyphens/>
            </w:pPr>
            <w:r w:rsidRPr="00B85A8B">
              <w:t>As of 12/31/201</w:t>
            </w:r>
            <w:r>
              <w:t>2</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5A8B" w:rsidRPr="00B85A8B" w:rsidRDefault="00B85A8B" w:rsidP="000F42B7">
            <w:pPr>
              <w:suppressAutoHyphens/>
              <w:jc w:val="center"/>
            </w:pPr>
            <w:r w:rsidRPr="00B85A8B">
              <w:t>$410,000</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5A8B" w:rsidRPr="00B85A8B" w:rsidRDefault="00B85A8B" w:rsidP="000F42B7">
            <w:pPr>
              <w:suppressAutoHyphens/>
              <w:jc w:val="center"/>
            </w:pPr>
            <w:r w:rsidRPr="00B85A8B">
              <w:t>$465,000</w:t>
            </w:r>
          </w:p>
        </w:tc>
      </w:tr>
      <w:tr w:rsidR="00B85A8B" w:rsidRPr="00B85A8B" w:rsidTr="000F42B7">
        <w:trPr>
          <w:trHeight w:val="335"/>
          <w:jc w:val="center"/>
        </w:trPr>
        <w:tc>
          <w:tcPr>
            <w:tcW w:w="2335"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tcPr>
          <w:p w:rsidR="00B85A8B" w:rsidRPr="00B85A8B" w:rsidRDefault="00B85A8B" w:rsidP="000F42B7">
            <w:pPr>
              <w:suppressAutoHyphens/>
            </w:pPr>
            <w:r w:rsidRPr="00B85A8B">
              <w:t>Distributions:</w:t>
            </w:r>
          </w:p>
        </w:tc>
        <w:tc>
          <w:tcPr>
            <w:tcW w:w="252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tcPr>
          <w:p w:rsidR="00B85A8B" w:rsidRPr="00B85A8B" w:rsidRDefault="00B85A8B" w:rsidP="000F42B7">
            <w:pPr>
              <w:pStyle w:val="NoParagraphStyle"/>
              <w:spacing w:line="240" w:lineRule="auto"/>
              <w:textAlignment w:val="auto"/>
              <w:rPr>
                <w:rFonts w:ascii="Times New Roman" w:hAnsi="Times New Roman" w:cs="Times New Roman"/>
                <w:color w:val="auto"/>
              </w:rPr>
            </w:pPr>
          </w:p>
        </w:tc>
        <w:tc>
          <w:tcPr>
            <w:tcW w:w="288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tcPr>
          <w:p w:rsidR="00B85A8B" w:rsidRPr="00B85A8B" w:rsidRDefault="00B85A8B" w:rsidP="000F42B7">
            <w:pPr>
              <w:pStyle w:val="NoParagraphStyle"/>
              <w:spacing w:line="240" w:lineRule="auto"/>
              <w:textAlignment w:val="auto"/>
              <w:rPr>
                <w:rFonts w:ascii="Times New Roman" w:hAnsi="Times New Roman" w:cs="Times New Roman"/>
                <w:color w:val="auto"/>
              </w:rPr>
            </w:pPr>
          </w:p>
        </w:tc>
      </w:tr>
      <w:tr w:rsidR="00B85A8B" w:rsidRPr="00B85A8B" w:rsidTr="000F42B7">
        <w:trPr>
          <w:trHeight w:val="332"/>
          <w:jc w:val="center"/>
        </w:trPr>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5A8B" w:rsidRPr="00B85A8B" w:rsidRDefault="00B85A8B" w:rsidP="00B85A8B">
            <w:pPr>
              <w:suppressAutoHyphens/>
            </w:pPr>
            <w:r w:rsidRPr="00B85A8B">
              <w:t>12/31/201</w:t>
            </w:r>
            <w:r>
              <w:t>2</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5A8B" w:rsidRPr="00B85A8B" w:rsidRDefault="00B85A8B" w:rsidP="000F42B7">
            <w:pPr>
              <w:suppressAutoHyphens/>
              <w:jc w:val="center"/>
            </w:pPr>
            <w:r w:rsidRPr="00B85A8B">
              <w:t>$450,000</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5A8B" w:rsidRPr="00B85A8B" w:rsidRDefault="00B85A8B" w:rsidP="000F42B7">
            <w:pPr>
              <w:suppressAutoHyphens/>
              <w:jc w:val="center"/>
            </w:pPr>
            <w:r w:rsidRPr="00B85A8B">
              <w:t>$  15,000</w:t>
            </w:r>
          </w:p>
        </w:tc>
      </w:tr>
      <w:tr w:rsidR="00B85A8B" w:rsidRPr="00B85A8B" w:rsidTr="000F42B7">
        <w:trPr>
          <w:trHeight w:val="316"/>
          <w:jc w:val="center"/>
        </w:trPr>
        <w:tc>
          <w:tcPr>
            <w:tcW w:w="2335"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tcPr>
          <w:p w:rsidR="00B85A8B" w:rsidRPr="00B85A8B" w:rsidRDefault="00B85A8B" w:rsidP="000F42B7">
            <w:pPr>
              <w:suppressAutoHyphens/>
            </w:pPr>
            <w:r w:rsidRPr="00B85A8B">
              <w:t>Total</w:t>
            </w:r>
          </w:p>
        </w:tc>
        <w:tc>
          <w:tcPr>
            <w:tcW w:w="252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tcPr>
          <w:p w:rsidR="00B85A8B" w:rsidRPr="00B85A8B" w:rsidRDefault="00B85A8B" w:rsidP="000F42B7">
            <w:pPr>
              <w:suppressAutoHyphens/>
              <w:jc w:val="center"/>
            </w:pPr>
            <w:r w:rsidRPr="00B85A8B">
              <w:t>$860,000</w:t>
            </w:r>
          </w:p>
        </w:tc>
        <w:tc>
          <w:tcPr>
            <w:tcW w:w="288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tcPr>
          <w:p w:rsidR="00B85A8B" w:rsidRPr="00B85A8B" w:rsidRDefault="00B85A8B" w:rsidP="000F42B7">
            <w:pPr>
              <w:suppressAutoHyphens/>
              <w:jc w:val="center"/>
            </w:pPr>
            <w:r w:rsidRPr="00B85A8B">
              <w:t>$480,000</w:t>
            </w:r>
          </w:p>
        </w:tc>
      </w:tr>
      <w:tr w:rsidR="00B85A8B" w:rsidRPr="00B85A8B" w:rsidTr="000F42B7">
        <w:trPr>
          <w:trHeight w:val="333"/>
          <w:jc w:val="center"/>
        </w:trPr>
        <w:tc>
          <w:tcPr>
            <w:tcW w:w="77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5A8B" w:rsidRPr="00B85A8B" w:rsidRDefault="00B85A8B" w:rsidP="000F42B7">
            <w:pPr>
              <w:suppressAutoHyphens/>
            </w:pPr>
            <w:r w:rsidRPr="00B85A8B">
              <w:t>Top-heavy status: ($860,000) / ($860,000 + $480,000) = 64.2%</w:t>
            </w:r>
          </w:p>
        </w:tc>
      </w:tr>
    </w:tbl>
    <w:p w:rsidR="00B85A8B" w:rsidRPr="00B85A8B" w:rsidRDefault="00B85A8B" w:rsidP="00B85A8B">
      <w:pPr>
        <w:pStyle w:val="NoParagraphStyle"/>
        <w:suppressAutoHyphens/>
        <w:rPr>
          <w:rFonts w:ascii="Times New Roman" w:hAnsi="Times New Roman" w:cs="Times New Roman"/>
        </w:rPr>
      </w:pPr>
    </w:p>
    <w:p w:rsidR="00B85A8B" w:rsidRPr="00B85A8B" w:rsidRDefault="00B85A8B" w:rsidP="006D0130">
      <w:pPr>
        <w:pStyle w:val="ListParagraph"/>
        <w:widowControl w:val="0"/>
        <w:tabs>
          <w:tab w:val="decimal" w:pos="680"/>
          <w:tab w:val="left" w:pos="840"/>
        </w:tabs>
        <w:autoSpaceDE w:val="0"/>
        <w:autoSpaceDN w:val="0"/>
        <w:adjustRightInd w:val="0"/>
        <w:spacing w:line="240" w:lineRule="exact"/>
        <w:jc w:val="both"/>
      </w:pPr>
      <w:r w:rsidRPr="00B85A8B">
        <w:t>For the plan year ending December 31, 201</w:t>
      </w:r>
      <w:r>
        <w:t>4</w:t>
      </w:r>
      <w:r w:rsidRPr="00B85A8B">
        <w:t>, here is the same calculation:</w:t>
      </w:r>
    </w:p>
    <w:p w:rsidR="00B85A8B" w:rsidRPr="00B85A8B" w:rsidRDefault="00B85A8B" w:rsidP="00B85A8B">
      <w:pPr>
        <w:suppressAutoHyphens/>
      </w:pPr>
    </w:p>
    <w:tbl>
      <w:tblPr>
        <w:tblW w:w="0" w:type="auto"/>
        <w:jc w:val="center"/>
        <w:tblLayout w:type="fixed"/>
        <w:tblCellMar>
          <w:left w:w="0" w:type="dxa"/>
          <w:right w:w="0" w:type="dxa"/>
        </w:tblCellMar>
        <w:tblLook w:val="0000" w:firstRow="0" w:lastRow="0" w:firstColumn="0" w:lastColumn="0" w:noHBand="0" w:noVBand="0"/>
      </w:tblPr>
      <w:tblGrid>
        <w:gridCol w:w="2335"/>
        <w:gridCol w:w="2520"/>
        <w:gridCol w:w="2880"/>
      </w:tblGrid>
      <w:tr w:rsidR="00B85A8B" w:rsidRPr="00B85A8B" w:rsidTr="000F42B7">
        <w:trPr>
          <w:trHeight w:val="383"/>
          <w:jc w:val="center"/>
        </w:trPr>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85A8B" w:rsidRPr="00B85A8B" w:rsidRDefault="00B85A8B" w:rsidP="000F42B7">
            <w:pPr>
              <w:pStyle w:val="NoParagraphStyle"/>
              <w:spacing w:line="240" w:lineRule="auto"/>
              <w:textAlignment w:val="auto"/>
              <w:rPr>
                <w:rFonts w:ascii="Times New Roman" w:hAnsi="Times New Roman" w:cs="Times New Roman"/>
                <w:color w:val="auto"/>
              </w:rPr>
            </w:pP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85A8B" w:rsidRPr="00B85A8B" w:rsidRDefault="00B85A8B" w:rsidP="000F42B7">
            <w:pPr>
              <w:suppressAutoHyphens/>
              <w:jc w:val="center"/>
            </w:pPr>
            <w:r w:rsidRPr="00B85A8B">
              <w:rPr>
                <w:b/>
                <w:bCs/>
                <w:i/>
                <w:iCs/>
              </w:rPr>
              <w:t>Key Benefits/Distributions</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85A8B" w:rsidRPr="00B85A8B" w:rsidRDefault="00B85A8B" w:rsidP="000F42B7">
            <w:pPr>
              <w:suppressAutoHyphens/>
              <w:jc w:val="center"/>
            </w:pPr>
            <w:r w:rsidRPr="00B85A8B">
              <w:rPr>
                <w:b/>
                <w:bCs/>
                <w:i/>
                <w:iCs/>
              </w:rPr>
              <w:t>Non-Key Benefits/Distributions</w:t>
            </w:r>
          </w:p>
        </w:tc>
      </w:tr>
      <w:tr w:rsidR="00B85A8B" w:rsidRPr="00B85A8B" w:rsidTr="000F42B7">
        <w:trPr>
          <w:trHeight w:val="347"/>
          <w:jc w:val="center"/>
        </w:trPr>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5A8B" w:rsidRPr="00B85A8B" w:rsidRDefault="00B85A8B" w:rsidP="00B85A8B">
            <w:pPr>
              <w:suppressAutoHyphens/>
            </w:pPr>
            <w:r w:rsidRPr="00B85A8B">
              <w:t>As of 12/31/1</w:t>
            </w:r>
            <w:r>
              <w:t>3</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5A8B" w:rsidRPr="00B85A8B" w:rsidRDefault="00B85A8B" w:rsidP="000F42B7">
            <w:pPr>
              <w:suppressAutoHyphens/>
              <w:jc w:val="center"/>
            </w:pPr>
            <w:r w:rsidRPr="00B85A8B">
              <w:t>$475,000</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5A8B" w:rsidRPr="00B85A8B" w:rsidRDefault="00B85A8B" w:rsidP="000F42B7">
            <w:pPr>
              <w:suppressAutoHyphens/>
              <w:jc w:val="center"/>
            </w:pPr>
            <w:r w:rsidRPr="00B85A8B">
              <w:t>$515,000</w:t>
            </w:r>
          </w:p>
        </w:tc>
      </w:tr>
      <w:tr w:rsidR="00B85A8B" w:rsidRPr="00B85A8B" w:rsidTr="000F42B7">
        <w:trPr>
          <w:trHeight w:val="305"/>
          <w:jc w:val="center"/>
        </w:trPr>
        <w:tc>
          <w:tcPr>
            <w:tcW w:w="2335"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tcPr>
          <w:p w:rsidR="00B85A8B" w:rsidRPr="00B85A8B" w:rsidRDefault="00B85A8B" w:rsidP="000F42B7">
            <w:pPr>
              <w:suppressAutoHyphens/>
            </w:pPr>
            <w:r w:rsidRPr="00B85A8B">
              <w:t>Distributions:</w:t>
            </w:r>
          </w:p>
        </w:tc>
        <w:tc>
          <w:tcPr>
            <w:tcW w:w="252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tcPr>
          <w:p w:rsidR="00B85A8B" w:rsidRPr="00B85A8B" w:rsidRDefault="00B85A8B" w:rsidP="000F42B7">
            <w:pPr>
              <w:pStyle w:val="NoParagraphStyle"/>
              <w:spacing w:line="240" w:lineRule="auto"/>
              <w:textAlignment w:val="auto"/>
              <w:rPr>
                <w:rFonts w:ascii="Times New Roman" w:hAnsi="Times New Roman" w:cs="Times New Roman"/>
                <w:color w:val="auto"/>
              </w:rPr>
            </w:pPr>
          </w:p>
        </w:tc>
        <w:tc>
          <w:tcPr>
            <w:tcW w:w="288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tcPr>
          <w:p w:rsidR="00B85A8B" w:rsidRPr="00B85A8B" w:rsidRDefault="00B85A8B" w:rsidP="000F42B7">
            <w:pPr>
              <w:pStyle w:val="NoParagraphStyle"/>
              <w:spacing w:line="240" w:lineRule="auto"/>
              <w:textAlignment w:val="auto"/>
              <w:rPr>
                <w:rFonts w:ascii="Times New Roman" w:hAnsi="Times New Roman" w:cs="Times New Roman"/>
                <w:color w:val="auto"/>
              </w:rPr>
            </w:pPr>
          </w:p>
        </w:tc>
      </w:tr>
      <w:tr w:rsidR="00B85A8B" w:rsidRPr="00B85A8B" w:rsidTr="000F42B7">
        <w:trPr>
          <w:trHeight w:val="331"/>
          <w:jc w:val="center"/>
        </w:trPr>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5A8B" w:rsidRPr="00B85A8B" w:rsidRDefault="00B85A8B" w:rsidP="00B85A8B">
            <w:pPr>
              <w:suppressAutoHyphens/>
            </w:pPr>
            <w:r w:rsidRPr="00B85A8B">
              <w:t>12/31/1</w:t>
            </w:r>
            <w:r>
              <w:t>3</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5A8B" w:rsidRPr="00B85A8B" w:rsidRDefault="00B85A8B" w:rsidP="000F42B7">
            <w:pPr>
              <w:suppressAutoHyphens/>
              <w:jc w:val="center"/>
            </w:pPr>
            <w:r w:rsidRPr="00B85A8B">
              <w:t>None</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5A8B" w:rsidRPr="00B85A8B" w:rsidRDefault="00B85A8B" w:rsidP="000F42B7">
            <w:pPr>
              <w:suppressAutoHyphens/>
              <w:jc w:val="center"/>
            </w:pPr>
            <w:r w:rsidRPr="00B85A8B">
              <w:t>$   5,000</w:t>
            </w:r>
          </w:p>
        </w:tc>
      </w:tr>
      <w:tr w:rsidR="00B85A8B" w:rsidRPr="00B85A8B" w:rsidTr="000F42B7">
        <w:trPr>
          <w:trHeight w:val="338"/>
          <w:jc w:val="center"/>
        </w:trPr>
        <w:tc>
          <w:tcPr>
            <w:tcW w:w="2335"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tcPr>
          <w:p w:rsidR="00B85A8B" w:rsidRPr="00B85A8B" w:rsidRDefault="00B85A8B" w:rsidP="000F42B7">
            <w:pPr>
              <w:suppressAutoHyphens/>
            </w:pPr>
            <w:r w:rsidRPr="00B85A8B">
              <w:t>Total</w:t>
            </w:r>
          </w:p>
        </w:tc>
        <w:tc>
          <w:tcPr>
            <w:tcW w:w="252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tcPr>
          <w:p w:rsidR="00B85A8B" w:rsidRPr="00B85A8B" w:rsidRDefault="00B85A8B" w:rsidP="000F42B7">
            <w:pPr>
              <w:suppressAutoHyphens/>
              <w:jc w:val="center"/>
            </w:pPr>
            <w:r w:rsidRPr="00B85A8B">
              <w:t>$475,000</w:t>
            </w:r>
          </w:p>
        </w:tc>
        <w:tc>
          <w:tcPr>
            <w:tcW w:w="288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tcPr>
          <w:p w:rsidR="00B85A8B" w:rsidRPr="00B85A8B" w:rsidRDefault="00B85A8B" w:rsidP="000F42B7">
            <w:pPr>
              <w:suppressAutoHyphens/>
              <w:jc w:val="center"/>
            </w:pPr>
            <w:r w:rsidRPr="00B85A8B">
              <w:t>$520,000</w:t>
            </w:r>
          </w:p>
        </w:tc>
      </w:tr>
      <w:tr w:rsidR="00B85A8B" w:rsidRPr="00B85A8B" w:rsidTr="000F42B7">
        <w:trPr>
          <w:trHeight w:val="335"/>
          <w:jc w:val="center"/>
        </w:trPr>
        <w:tc>
          <w:tcPr>
            <w:tcW w:w="77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5A8B" w:rsidRPr="00B85A8B" w:rsidRDefault="00B85A8B" w:rsidP="000F42B7">
            <w:pPr>
              <w:suppressAutoHyphens/>
            </w:pPr>
            <w:r w:rsidRPr="00B85A8B">
              <w:t>Top-heavy status: ($475,000) / ($475,000 + $520,000) = 47.7%</w:t>
            </w:r>
          </w:p>
        </w:tc>
      </w:tr>
    </w:tbl>
    <w:p w:rsidR="00B85A8B" w:rsidRPr="00B85A8B" w:rsidRDefault="00B85A8B" w:rsidP="00B85A8B">
      <w:pPr>
        <w:pStyle w:val="NoParagraphStyle"/>
        <w:suppressAutoHyphens/>
        <w:rPr>
          <w:rFonts w:ascii="Times New Roman" w:hAnsi="Times New Roman" w:cs="Times New Roman"/>
        </w:rPr>
      </w:pPr>
    </w:p>
    <w:p w:rsidR="00B85A8B" w:rsidRPr="00FF212D" w:rsidRDefault="00B85A8B" w:rsidP="00FF212D">
      <w:pPr>
        <w:pStyle w:val="NoSpacing"/>
        <w:ind w:left="720"/>
        <w:rPr>
          <w:rFonts w:ascii="Times New Roman" w:hAnsi="Times New Roman" w:cs="Times New Roman"/>
          <w:sz w:val="24"/>
          <w:szCs w:val="24"/>
        </w:rPr>
      </w:pPr>
      <w:r w:rsidRPr="00FF212D">
        <w:rPr>
          <w:rFonts w:ascii="Times New Roman" w:hAnsi="Times New Roman" w:cs="Times New Roman"/>
          <w:sz w:val="24"/>
          <w:szCs w:val="24"/>
        </w:rPr>
        <w:lastRenderedPageBreak/>
        <w:t xml:space="preserve">In this case, the distribution to a key employee because of that employee’s </w:t>
      </w:r>
      <w:r w:rsidR="0096336B" w:rsidRPr="00FF212D">
        <w:rPr>
          <w:rFonts w:ascii="Times New Roman" w:hAnsi="Times New Roman" w:cs="Times New Roman"/>
          <w:sz w:val="24"/>
          <w:szCs w:val="24"/>
        </w:rPr>
        <w:t>retirement</w:t>
      </w:r>
      <w:r w:rsidRPr="00FF212D">
        <w:rPr>
          <w:rFonts w:ascii="Times New Roman" w:hAnsi="Times New Roman" w:cs="Times New Roman"/>
          <w:sz w:val="24"/>
          <w:szCs w:val="24"/>
        </w:rPr>
        <w:t xml:space="preserve"> caused the plan to continue to be top-heavy for only one year whereas under prior law (for plan years beginning prior to January 1, 2003) the plan would have been top-heavy for four additional years after the distribution. If the benefit due the key employee was due to retirement in 201</w:t>
      </w:r>
      <w:r w:rsidR="006D0130" w:rsidRPr="00FF212D">
        <w:rPr>
          <w:rFonts w:ascii="Times New Roman" w:hAnsi="Times New Roman" w:cs="Times New Roman"/>
          <w:sz w:val="24"/>
          <w:szCs w:val="24"/>
        </w:rPr>
        <w:t>2</w:t>
      </w:r>
      <w:r w:rsidRPr="00FF212D">
        <w:rPr>
          <w:rFonts w:ascii="Times New Roman" w:hAnsi="Times New Roman" w:cs="Times New Roman"/>
          <w:sz w:val="24"/>
          <w:szCs w:val="24"/>
        </w:rPr>
        <w:t xml:space="preserve"> and had not been distributed but retained in the plan, the plan would not be top-heavy for the year ending December 31, 201</w:t>
      </w:r>
      <w:r w:rsidR="006D0130" w:rsidRPr="00FF212D">
        <w:rPr>
          <w:rFonts w:ascii="Times New Roman" w:hAnsi="Times New Roman" w:cs="Times New Roman"/>
          <w:sz w:val="24"/>
          <w:szCs w:val="24"/>
        </w:rPr>
        <w:t>4</w:t>
      </w:r>
      <w:r w:rsidR="00505512">
        <w:rPr>
          <w:rFonts w:ascii="Times New Roman" w:hAnsi="Times New Roman" w:cs="Times New Roman"/>
          <w:sz w:val="24"/>
          <w:szCs w:val="24"/>
        </w:rPr>
        <w:t>,</w:t>
      </w:r>
      <w:r w:rsidRPr="00FF212D">
        <w:rPr>
          <w:rFonts w:ascii="Times New Roman" w:hAnsi="Times New Roman" w:cs="Times New Roman"/>
          <w:sz w:val="24"/>
          <w:szCs w:val="24"/>
        </w:rPr>
        <w:t xml:space="preserve"> </w:t>
      </w:r>
      <w:r w:rsidR="00505512">
        <w:rPr>
          <w:rFonts w:ascii="Times New Roman" w:hAnsi="Times New Roman" w:cs="Times New Roman"/>
          <w:sz w:val="24"/>
          <w:szCs w:val="24"/>
        </w:rPr>
        <w:t>because</w:t>
      </w:r>
      <w:r w:rsidR="00505512" w:rsidRPr="00FF212D">
        <w:rPr>
          <w:rFonts w:ascii="Times New Roman" w:hAnsi="Times New Roman" w:cs="Times New Roman"/>
          <w:sz w:val="24"/>
          <w:szCs w:val="24"/>
        </w:rPr>
        <w:t xml:space="preserve"> </w:t>
      </w:r>
      <w:r w:rsidRPr="00FF212D">
        <w:rPr>
          <w:rFonts w:ascii="Times New Roman" w:hAnsi="Times New Roman" w:cs="Times New Roman"/>
          <w:sz w:val="24"/>
          <w:szCs w:val="24"/>
        </w:rPr>
        <w:t>the employee was not credited with an hour of service in 201</w:t>
      </w:r>
      <w:r w:rsidR="006D0130" w:rsidRPr="00FF212D">
        <w:rPr>
          <w:rFonts w:ascii="Times New Roman" w:hAnsi="Times New Roman" w:cs="Times New Roman"/>
          <w:sz w:val="24"/>
          <w:szCs w:val="24"/>
        </w:rPr>
        <w:t>3</w:t>
      </w:r>
      <w:r w:rsidRPr="00FF212D">
        <w:rPr>
          <w:rFonts w:ascii="Times New Roman" w:hAnsi="Times New Roman" w:cs="Times New Roman"/>
          <w:sz w:val="24"/>
          <w:szCs w:val="24"/>
        </w:rPr>
        <w:t>.</w:t>
      </w:r>
    </w:p>
    <w:p w:rsidR="00B85A8B" w:rsidRPr="00B85A8B" w:rsidRDefault="00B85A8B" w:rsidP="007A1BFD">
      <w:pPr>
        <w:pStyle w:val="ListParagraph"/>
        <w:widowControl w:val="0"/>
        <w:tabs>
          <w:tab w:val="decimal" w:pos="680"/>
          <w:tab w:val="left" w:pos="840"/>
        </w:tabs>
        <w:autoSpaceDE w:val="0"/>
        <w:autoSpaceDN w:val="0"/>
        <w:adjustRightInd w:val="0"/>
        <w:spacing w:line="240" w:lineRule="exact"/>
        <w:ind w:left="915"/>
        <w:jc w:val="both"/>
      </w:pPr>
    </w:p>
    <w:p w:rsidR="00EE6470" w:rsidRPr="00AE6419" w:rsidRDefault="00EE6470" w:rsidP="00EE6470">
      <w:pPr>
        <w:pStyle w:val="NoSpacing"/>
        <w:ind w:left="720"/>
        <w:rPr>
          <w:rFonts w:ascii="Times New Roman" w:hAnsi="Times New Roman" w:cs="Times New Roman"/>
          <w:b/>
          <w:sz w:val="24"/>
          <w:szCs w:val="24"/>
        </w:rPr>
      </w:pPr>
      <w:r>
        <w:rPr>
          <w:rFonts w:ascii="Times New Roman" w:hAnsi="Times New Roman" w:cs="Times New Roman"/>
          <w:b/>
          <w:sz w:val="24"/>
          <w:szCs w:val="24"/>
        </w:rPr>
        <w:t>Q. 5.1</w:t>
      </w:r>
      <w:r w:rsidR="00C535E9">
        <w:rPr>
          <w:rFonts w:ascii="Times New Roman" w:hAnsi="Times New Roman" w:cs="Times New Roman"/>
          <w:b/>
          <w:sz w:val="24"/>
          <w:szCs w:val="24"/>
        </w:rPr>
        <w:t>1</w:t>
      </w:r>
      <w:r>
        <w:rPr>
          <w:rFonts w:ascii="Times New Roman" w:hAnsi="Times New Roman" w:cs="Times New Roman"/>
          <w:b/>
          <w:sz w:val="24"/>
          <w:szCs w:val="24"/>
        </w:rPr>
        <w:t xml:space="preserve">:  How do rollovers </w:t>
      </w:r>
      <w:r w:rsidR="002D1EFF">
        <w:rPr>
          <w:rFonts w:ascii="Times New Roman" w:hAnsi="Times New Roman" w:cs="Times New Roman"/>
          <w:b/>
          <w:sz w:val="24"/>
          <w:szCs w:val="24"/>
        </w:rPr>
        <w:t xml:space="preserve">and transfers </w:t>
      </w:r>
      <w:r>
        <w:rPr>
          <w:rFonts w:ascii="Times New Roman" w:hAnsi="Times New Roman" w:cs="Times New Roman"/>
          <w:b/>
          <w:sz w:val="24"/>
          <w:szCs w:val="24"/>
        </w:rPr>
        <w:t>impact the determination of top-heavy status</w:t>
      </w:r>
      <w:r w:rsidRPr="00AC2BF5">
        <w:rPr>
          <w:rFonts w:ascii="Times New Roman" w:hAnsi="Times New Roman" w:cs="Times New Roman"/>
          <w:b/>
          <w:sz w:val="24"/>
          <w:szCs w:val="24"/>
        </w:rPr>
        <w:t>?</w:t>
      </w:r>
    </w:p>
    <w:p w:rsidR="00EE6470" w:rsidRDefault="00EE6470" w:rsidP="00EE6470">
      <w:pPr>
        <w:pStyle w:val="ListParagraph"/>
        <w:widowControl w:val="0"/>
        <w:tabs>
          <w:tab w:val="decimal" w:pos="680"/>
          <w:tab w:val="left" w:pos="840"/>
        </w:tabs>
        <w:autoSpaceDE w:val="0"/>
        <w:autoSpaceDN w:val="0"/>
        <w:adjustRightInd w:val="0"/>
        <w:spacing w:line="240" w:lineRule="exact"/>
        <w:ind w:left="915"/>
        <w:jc w:val="both"/>
      </w:pPr>
    </w:p>
    <w:p w:rsidR="003A39E8" w:rsidRDefault="003E525C" w:rsidP="00306EC3">
      <w:pPr>
        <w:pStyle w:val="ListParagraph"/>
        <w:widowControl w:val="0"/>
        <w:tabs>
          <w:tab w:val="decimal" w:pos="680"/>
          <w:tab w:val="left" w:pos="840"/>
        </w:tabs>
        <w:autoSpaceDE w:val="0"/>
        <w:autoSpaceDN w:val="0"/>
        <w:adjustRightInd w:val="0"/>
        <w:spacing w:line="240" w:lineRule="exact"/>
        <w:jc w:val="both"/>
      </w:pPr>
      <w:r w:rsidRPr="003E525C">
        <w:t xml:space="preserve">The rules for handling rollovers and transfers depend upon whether they are </w:t>
      </w:r>
      <w:r w:rsidRPr="003A39E8">
        <w:rPr>
          <w:i/>
        </w:rPr>
        <w:t>unrelated</w:t>
      </w:r>
      <w:r w:rsidR="003A39E8">
        <w:t xml:space="preserve"> or </w:t>
      </w:r>
      <w:r w:rsidR="003A39E8" w:rsidRPr="003A39E8">
        <w:rPr>
          <w:i/>
        </w:rPr>
        <w:t>related</w:t>
      </w:r>
      <w:r w:rsidR="003A39E8">
        <w:t>:</w:t>
      </w:r>
      <w:r w:rsidR="008147D8">
        <w:rPr>
          <w:rStyle w:val="FootnoteReference"/>
        </w:rPr>
        <w:footnoteReference w:id="13"/>
      </w:r>
    </w:p>
    <w:p w:rsidR="000B38B4" w:rsidRPr="00FF212D" w:rsidRDefault="003A39E8" w:rsidP="00FF212D">
      <w:pPr>
        <w:pStyle w:val="PE"/>
        <w:numPr>
          <w:ilvl w:val="0"/>
          <w:numId w:val="30"/>
        </w:numPr>
        <w:suppressAutoHyphens/>
        <w:rPr>
          <w:rFonts w:ascii="Times New Roman" w:hAnsi="Times New Roman"/>
          <w:sz w:val="24"/>
          <w:szCs w:val="24"/>
        </w:rPr>
      </w:pPr>
      <w:r w:rsidRPr="00FF212D">
        <w:rPr>
          <w:rFonts w:ascii="Times New Roman" w:hAnsi="Times New Roman"/>
          <w:sz w:val="24"/>
          <w:szCs w:val="24"/>
        </w:rPr>
        <w:t xml:space="preserve">An </w:t>
      </w:r>
      <w:r w:rsidRPr="00FF212D">
        <w:rPr>
          <w:rFonts w:ascii="Times New Roman" w:hAnsi="Times New Roman"/>
          <w:i/>
          <w:sz w:val="24"/>
          <w:szCs w:val="24"/>
        </w:rPr>
        <w:t>unrelated</w:t>
      </w:r>
      <w:r w:rsidRPr="00FF212D">
        <w:rPr>
          <w:rFonts w:ascii="Times New Roman" w:hAnsi="Times New Roman"/>
          <w:sz w:val="24"/>
          <w:szCs w:val="24"/>
        </w:rPr>
        <w:t xml:space="preserve"> rollover or transfer is </w:t>
      </w:r>
      <w:r w:rsidR="003E525C" w:rsidRPr="00FF212D">
        <w:rPr>
          <w:rFonts w:ascii="Times New Roman" w:hAnsi="Times New Roman"/>
          <w:sz w:val="24"/>
          <w:szCs w:val="24"/>
        </w:rPr>
        <w:t>initiated by the employee and made from a plan maintained by one employer to a plan maintained by another nonrelated employer</w:t>
      </w:r>
      <w:r w:rsidRPr="00FF212D">
        <w:rPr>
          <w:rFonts w:ascii="Times New Roman" w:hAnsi="Times New Roman"/>
          <w:sz w:val="24"/>
          <w:szCs w:val="24"/>
        </w:rPr>
        <w:t>.</w:t>
      </w:r>
    </w:p>
    <w:p w:rsidR="000B38B4" w:rsidRPr="00FF212D" w:rsidRDefault="003A39E8" w:rsidP="00FF212D">
      <w:pPr>
        <w:pStyle w:val="PE"/>
        <w:numPr>
          <w:ilvl w:val="0"/>
          <w:numId w:val="30"/>
        </w:numPr>
        <w:suppressAutoHyphens/>
        <w:rPr>
          <w:rFonts w:ascii="Times New Roman" w:hAnsi="Times New Roman"/>
          <w:sz w:val="24"/>
          <w:szCs w:val="24"/>
        </w:rPr>
      </w:pPr>
      <w:r w:rsidRPr="00FF212D">
        <w:rPr>
          <w:rFonts w:ascii="Times New Roman" w:hAnsi="Times New Roman"/>
          <w:sz w:val="24"/>
          <w:szCs w:val="24"/>
        </w:rPr>
        <w:t>A</w:t>
      </w:r>
      <w:r w:rsidR="003E525C" w:rsidRPr="00FF212D">
        <w:rPr>
          <w:rFonts w:ascii="Times New Roman" w:hAnsi="Times New Roman"/>
          <w:sz w:val="24"/>
          <w:szCs w:val="24"/>
        </w:rPr>
        <w:t xml:space="preserve"> </w:t>
      </w:r>
      <w:r w:rsidR="003E525C" w:rsidRPr="00FF212D">
        <w:rPr>
          <w:rFonts w:ascii="Times New Roman" w:hAnsi="Times New Roman"/>
          <w:i/>
          <w:sz w:val="24"/>
          <w:szCs w:val="24"/>
        </w:rPr>
        <w:t>related</w:t>
      </w:r>
      <w:r w:rsidR="003E525C" w:rsidRPr="00FF212D">
        <w:rPr>
          <w:rFonts w:ascii="Times New Roman" w:hAnsi="Times New Roman"/>
          <w:sz w:val="24"/>
          <w:szCs w:val="24"/>
        </w:rPr>
        <w:t xml:space="preserve"> </w:t>
      </w:r>
      <w:r w:rsidRPr="00FF212D">
        <w:rPr>
          <w:rFonts w:ascii="Times New Roman" w:hAnsi="Times New Roman"/>
          <w:sz w:val="24"/>
          <w:szCs w:val="24"/>
        </w:rPr>
        <w:t>rollover or transfer is</w:t>
      </w:r>
      <w:r w:rsidR="003E525C" w:rsidRPr="00FF212D">
        <w:rPr>
          <w:rFonts w:ascii="Times New Roman" w:hAnsi="Times New Roman"/>
          <w:sz w:val="24"/>
          <w:szCs w:val="24"/>
        </w:rPr>
        <w:t xml:space="preserve"> either not initiated by the employee or made to a plan maintained by the same employer.</w:t>
      </w:r>
    </w:p>
    <w:p w:rsidR="003E525C" w:rsidRDefault="003A39E8" w:rsidP="000B38B4">
      <w:pPr>
        <w:pStyle w:val="ListParagraph"/>
        <w:widowControl w:val="0"/>
        <w:numPr>
          <w:ilvl w:val="0"/>
          <w:numId w:val="30"/>
        </w:numPr>
        <w:tabs>
          <w:tab w:val="decimal" w:pos="680"/>
          <w:tab w:val="left" w:pos="840"/>
        </w:tabs>
        <w:autoSpaceDE w:val="0"/>
        <w:autoSpaceDN w:val="0"/>
        <w:adjustRightInd w:val="0"/>
        <w:spacing w:line="240" w:lineRule="exact"/>
        <w:jc w:val="both"/>
      </w:pPr>
      <w:r w:rsidRPr="003A39E8">
        <w:t xml:space="preserve">All employers aggregated under </w:t>
      </w:r>
      <w:r w:rsidR="008147D8">
        <w:t>Code</w:t>
      </w:r>
      <w:r w:rsidR="008147D8" w:rsidRPr="003A39E8">
        <w:t xml:space="preserve"> </w:t>
      </w:r>
      <w:r w:rsidRPr="003A39E8">
        <w:t>Section</w:t>
      </w:r>
      <w:r w:rsidR="008147D8">
        <w:t>s</w:t>
      </w:r>
      <w:r w:rsidRPr="003A39E8">
        <w:t xml:space="preserve"> 414(b), 414(c), or 414(m) are treated as related employers for purposes of determining top-heavy status.</w:t>
      </w:r>
    </w:p>
    <w:p w:rsidR="003E525C" w:rsidRDefault="003E525C" w:rsidP="00306EC3">
      <w:pPr>
        <w:pStyle w:val="ListParagraph"/>
        <w:widowControl w:val="0"/>
        <w:tabs>
          <w:tab w:val="decimal" w:pos="680"/>
          <w:tab w:val="left" w:pos="840"/>
        </w:tabs>
        <w:autoSpaceDE w:val="0"/>
        <w:autoSpaceDN w:val="0"/>
        <w:adjustRightInd w:val="0"/>
        <w:spacing w:line="240" w:lineRule="exact"/>
        <w:jc w:val="both"/>
      </w:pPr>
    </w:p>
    <w:p w:rsidR="003E525C" w:rsidRPr="00FF212D" w:rsidRDefault="00A003D1" w:rsidP="00FF212D">
      <w:pPr>
        <w:pStyle w:val="NoSpacing"/>
        <w:ind w:left="720"/>
        <w:rPr>
          <w:rFonts w:ascii="Times New Roman" w:hAnsi="Times New Roman" w:cs="Times New Roman"/>
          <w:sz w:val="24"/>
          <w:szCs w:val="24"/>
        </w:rPr>
      </w:pPr>
      <w:r w:rsidRPr="00FF212D">
        <w:rPr>
          <w:rFonts w:ascii="Times New Roman" w:hAnsi="Times New Roman" w:cs="Times New Roman"/>
          <w:sz w:val="24"/>
          <w:szCs w:val="24"/>
        </w:rPr>
        <w:t>A</w:t>
      </w:r>
      <w:r w:rsidR="00EE6470" w:rsidRPr="00FF212D">
        <w:rPr>
          <w:rFonts w:ascii="Times New Roman" w:hAnsi="Times New Roman" w:cs="Times New Roman"/>
          <w:sz w:val="24"/>
          <w:szCs w:val="24"/>
        </w:rPr>
        <w:t xml:space="preserve"> rollover</w:t>
      </w:r>
      <w:r w:rsidR="00306EC3" w:rsidRPr="00FF212D">
        <w:rPr>
          <w:rFonts w:ascii="Times New Roman" w:hAnsi="Times New Roman" w:cs="Times New Roman"/>
          <w:sz w:val="24"/>
          <w:szCs w:val="24"/>
        </w:rPr>
        <w:t xml:space="preserve"> or transfer</w:t>
      </w:r>
      <w:r w:rsidR="00EE6470" w:rsidRPr="00FF212D">
        <w:rPr>
          <w:rFonts w:ascii="Times New Roman" w:hAnsi="Times New Roman" w:cs="Times New Roman"/>
          <w:sz w:val="24"/>
          <w:szCs w:val="24"/>
        </w:rPr>
        <w:t xml:space="preserve"> of an employee’s </w:t>
      </w:r>
      <w:r w:rsidR="007A1BFD" w:rsidRPr="00FF212D">
        <w:rPr>
          <w:rFonts w:ascii="Times New Roman" w:hAnsi="Times New Roman" w:cs="Times New Roman"/>
          <w:sz w:val="24"/>
          <w:szCs w:val="24"/>
        </w:rPr>
        <w:t>benefits</w:t>
      </w:r>
      <w:r w:rsidR="00EE6470" w:rsidRPr="00FF212D">
        <w:rPr>
          <w:rFonts w:ascii="Times New Roman" w:hAnsi="Times New Roman" w:cs="Times New Roman"/>
          <w:sz w:val="24"/>
          <w:szCs w:val="24"/>
        </w:rPr>
        <w:t xml:space="preserve"> from a prior employer</w:t>
      </w:r>
      <w:r w:rsidR="00F95284" w:rsidRPr="00FF212D">
        <w:rPr>
          <w:rFonts w:ascii="Times New Roman" w:hAnsi="Times New Roman" w:cs="Times New Roman"/>
          <w:sz w:val="24"/>
          <w:szCs w:val="24"/>
        </w:rPr>
        <w:t xml:space="preserve"> does not count towards top-heavy status, assuming the prior employer is </w:t>
      </w:r>
      <w:r w:rsidRPr="00FF212D">
        <w:rPr>
          <w:rFonts w:ascii="Times New Roman" w:hAnsi="Times New Roman" w:cs="Times New Roman"/>
          <w:sz w:val="24"/>
          <w:szCs w:val="24"/>
        </w:rPr>
        <w:t xml:space="preserve">an </w:t>
      </w:r>
      <w:r w:rsidRPr="00FF212D">
        <w:rPr>
          <w:rFonts w:ascii="Times New Roman" w:hAnsi="Times New Roman" w:cs="Times New Roman"/>
          <w:i/>
          <w:sz w:val="24"/>
          <w:szCs w:val="24"/>
        </w:rPr>
        <w:t>unrela</w:t>
      </w:r>
      <w:r w:rsidR="00F95284" w:rsidRPr="00FF212D">
        <w:rPr>
          <w:rFonts w:ascii="Times New Roman" w:hAnsi="Times New Roman" w:cs="Times New Roman"/>
          <w:i/>
          <w:sz w:val="24"/>
          <w:szCs w:val="24"/>
        </w:rPr>
        <w:t>ted</w:t>
      </w:r>
      <w:r w:rsidR="00F95284" w:rsidRPr="00FF212D">
        <w:rPr>
          <w:rFonts w:ascii="Times New Roman" w:hAnsi="Times New Roman" w:cs="Times New Roman"/>
          <w:sz w:val="24"/>
          <w:szCs w:val="24"/>
        </w:rPr>
        <w:t xml:space="preserve"> emp</w:t>
      </w:r>
      <w:r w:rsidRPr="00FF212D">
        <w:rPr>
          <w:rFonts w:ascii="Times New Roman" w:hAnsi="Times New Roman" w:cs="Times New Roman"/>
          <w:sz w:val="24"/>
          <w:szCs w:val="24"/>
        </w:rPr>
        <w:t>loyer.  For the prior employer, this r</w:t>
      </w:r>
      <w:r w:rsidR="002E7FB4" w:rsidRPr="00FF212D">
        <w:rPr>
          <w:rFonts w:ascii="Times New Roman" w:hAnsi="Times New Roman" w:cs="Times New Roman"/>
          <w:sz w:val="24"/>
          <w:szCs w:val="24"/>
        </w:rPr>
        <w:t>ollover or transfer does count.</w:t>
      </w:r>
    </w:p>
    <w:p w:rsidR="002E7FB4" w:rsidRPr="00FF212D" w:rsidRDefault="002E7FB4" w:rsidP="00FF212D">
      <w:pPr>
        <w:pStyle w:val="NoSpacing"/>
        <w:ind w:left="720"/>
        <w:rPr>
          <w:rFonts w:ascii="Times New Roman" w:hAnsi="Times New Roman" w:cs="Times New Roman"/>
          <w:sz w:val="24"/>
          <w:szCs w:val="24"/>
        </w:rPr>
      </w:pPr>
    </w:p>
    <w:p w:rsidR="00AC2BF5" w:rsidRPr="00FF212D" w:rsidRDefault="00A003D1" w:rsidP="00FF212D">
      <w:pPr>
        <w:pStyle w:val="NoSpacing"/>
        <w:ind w:left="720"/>
        <w:rPr>
          <w:rFonts w:ascii="Times New Roman" w:hAnsi="Times New Roman" w:cs="Times New Roman"/>
          <w:sz w:val="24"/>
          <w:szCs w:val="24"/>
        </w:rPr>
      </w:pPr>
      <w:r w:rsidRPr="00FF212D">
        <w:rPr>
          <w:rFonts w:ascii="Times New Roman" w:hAnsi="Times New Roman" w:cs="Times New Roman"/>
          <w:sz w:val="24"/>
          <w:szCs w:val="24"/>
        </w:rPr>
        <w:t>R</w:t>
      </w:r>
      <w:r w:rsidR="00F95284" w:rsidRPr="00FF212D">
        <w:rPr>
          <w:rFonts w:ascii="Times New Roman" w:hAnsi="Times New Roman" w:cs="Times New Roman"/>
          <w:sz w:val="24"/>
          <w:szCs w:val="24"/>
        </w:rPr>
        <w:t xml:space="preserve">ollovers with the same employer or a </w:t>
      </w:r>
      <w:r w:rsidR="00F95284" w:rsidRPr="00FF212D">
        <w:rPr>
          <w:rFonts w:ascii="Times New Roman" w:hAnsi="Times New Roman" w:cs="Times New Roman"/>
          <w:i/>
          <w:sz w:val="24"/>
          <w:szCs w:val="24"/>
        </w:rPr>
        <w:t>related</w:t>
      </w:r>
      <w:r w:rsidR="00F95284" w:rsidRPr="00FF212D">
        <w:rPr>
          <w:rFonts w:ascii="Times New Roman" w:hAnsi="Times New Roman" w:cs="Times New Roman"/>
          <w:sz w:val="24"/>
          <w:szCs w:val="24"/>
        </w:rPr>
        <w:t xml:space="preserve"> employer, generally count in the determination of top-heavy status.  </w:t>
      </w:r>
      <w:r w:rsidR="007A1BFD" w:rsidRPr="00FF212D">
        <w:rPr>
          <w:rFonts w:ascii="Times New Roman" w:hAnsi="Times New Roman" w:cs="Times New Roman"/>
          <w:sz w:val="24"/>
          <w:szCs w:val="24"/>
        </w:rPr>
        <w:t>This may occur when a single employer has two plans (e.g., a defined benefit and 401(k) plan) and terminates one of them, giving employees the option of rolling over their benefits to the remaining plan.</w:t>
      </w:r>
    </w:p>
    <w:p w:rsidR="00F95284" w:rsidRDefault="00F95284" w:rsidP="00306EC3">
      <w:pPr>
        <w:pStyle w:val="ListParagraph"/>
        <w:widowControl w:val="0"/>
        <w:tabs>
          <w:tab w:val="decimal" w:pos="680"/>
          <w:tab w:val="left" w:pos="840"/>
        </w:tabs>
        <w:autoSpaceDE w:val="0"/>
        <w:autoSpaceDN w:val="0"/>
        <w:adjustRightInd w:val="0"/>
        <w:spacing w:line="240" w:lineRule="exact"/>
        <w:jc w:val="both"/>
      </w:pPr>
    </w:p>
    <w:p w:rsidR="00CC6814" w:rsidRDefault="00CC6814" w:rsidP="00306EC3">
      <w:pPr>
        <w:pStyle w:val="ListParagraph"/>
        <w:widowControl w:val="0"/>
        <w:tabs>
          <w:tab w:val="decimal" w:pos="680"/>
          <w:tab w:val="left" w:pos="840"/>
        </w:tabs>
        <w:autoSpaceDE w:val="0"/>
        <w:autoSpaceDN w:val="0"/>
        <w:adjustRightInd w:val="0"/>
        <w:spacing w:line="240" w:lineRule="exact"/>
        <w:jc w:val="both"/>
      </w:pPr>
    </w:p>
    <w:p w:rsidR="006C75E3" w:rsidRPr="00572AF2" w:rsidRDefault="00AC2BF5" w:rsidP="00306EC3">
      <w:pPr>
        <w:widowControl w:val="0"/>
        <w:tabs>
          <w:tab w:val="decimal" w:pos="680"/>
          <w:tab w:val="left" w:pos="840"/>
        </w:tabs>
        <w:autoSpaceDE w:val="0"/>
        <w:autoSpaceDN w:val="0"/>
        <w:adjustRightInd w:val="0"/>
        <w:spacing w:line="240" w:lineRule="exact"/>
        <w:ind w:left="720"/>
        <w:jc w:val="both"/>
        <w:rPr>
          <w:rFonts w:eastAsiaTheme="minorHAnsi"/>
        </w:rPr>
      </w:pPr>
      <w:r>
        <w:rPr>
          <w:b/>
          <w:bCs/>
          <w:spacing w:val="-5"/>
        </w:rPr>
        <w:t>Pract</w:t>
      </w:r>
      <w:r w:rsidR="006A4414">
        <w:rPr>
          <w:b/>
          <w:bCs/>
          <w:spacing w:val="-5"/>
        </w:rPr>
        <w:t>ice Point:</w:t>
      </w:r>
      <w:r>
        <w:rPr>
          <w:spacing w:val="-5"/>
        </w:rPr>
        <w:t xml:space="preserve"> </w:t>
      </w:r>
      <w:r w:rsidR="00725318">
        <w:rPr>
          <w:spacing w:val="-5"/>
        </w:rPr>
        <w:t xml:space="preserve"> </w:t>
      </w:r>
      <w:r w:rsidR="00725318" w:rsidRPr="00572AF2">
        <w:rPr>
          <w:rFonts w:eastAsiaTheme="minorHAnsi"/>
        </w:rPr>
        <w:t>If an employer terminates one of two plans, the key employees should roll their benefits over to an IRA</w:t>
      </w:r>
      <w:r w:rsidR="008147D8">
        <w:rPr>
          <w:rFonts w:eastAsiaTheme="minorHAnsi"/>
        </w:rPr>
        <w:t xml:space="preserve"> (individual retirement account)</w:t>
      </w:r>
      <w:r w:rsidR="00725318" w:rsidRPr="00572AF2">
        <w:rPr>
          <w:rFonts w:eastAsiaTheme="minorHAnsi"/>
        </w:rPr>
        <w:t xml:space="preserve"> rollover account so the value of the rollover is no longer part of the top-heavy calculation after one year. If the benefits are rolled over to the other plan, the value will continue to be included in the top-heavy calculation for a longer period.</w:t>
      </w:r>
    </w:p>
    <w:p w:rsidR="00DF22DA" w:rsidRDefault="00DF22DA" w:rsidP="00E7323E">
      <w:pPr>
        <w:pStyle w:val="NoSpacing"/>
        <w:ind w:left="1080"/>
        <w:rPr>
          <w:rFonts w:ascii="Times New Roman" w:hAnsi="Times New Roman" w:cs="Times New Roman"/>
          <w:b/>
          <w:sz w:val="24"/>
          <w:szCs w:val="24"/>
        </w:rPr>
      </w:pPr>
    </w:p>
    <w:p w:rsidR="002E7FB4" w:rsidRPr="00AE6419" w:rsidRDefault="002E7FB4" w:rsidP="002A7C66">
      <w:pPr>
        <w:pStyle w:val="NoSpacing"/>
        <w:ind w:left="720"/>
        <w:rPr>
          <w:rFonts w:ascii="Times New Roman" w:hAnsi="Times New Roman" w:cs="Times New Roman"/>
          <w:b/>
          <w:sz w:val="24"/>
          <w:szCs w:val="24"/>
        </w:rPr>
      </w:pPr>
    </w:p>
    <w:p w:rsidR="002E7FB4" w:rsidRDefault="002E7FB4" w:rsidP="002E7FB4">
      <w:pPr>
        <w:pStyle w:val="NoSpacing"/>
        <w:ind w:left="720"/>
        <w:rPr>
          <w:rFonts w:ascii="Times New Roman" w:hAnsi="Times New Roman" w:cs="Times New Roman"/>
          <w:sz w:val="24"/>
          <w:szCs w:val="24"/>
        </w:rPr>
      </w:pPr>
    </w:p>
    <w:p w:rsidR="008805C0" w:rsidRPr="00AE6419" w:rsidRDefault="008805C0" w:rsidP="008805C0">
      <w:pPr>
        <w:pStyle w:val="NoSpacing"/>
        <w:ind w:left="720"/>
        <w:rPr>
          <w:rFonts w:ascii="Times New Roman" w:hAnsi="Times New Roman" w:cs="Times New Roman"/>
          <w:b/>
          <w:sz w:val="24"/>
          <w:szCs w:val="24"/>
        </w:rPr>
      </w:pPr>
      <w:r>
        <w:rPr>
          <w:rFonts w:ascii="Times New Roman" w:hAnsi="Times New Roman" w:cs="Times New Roman"/>
          <w:b/>
          <w:sz w:val="24"/>
          <w:szCs w:val="24"/>
        </w:rPr>
        <w:t>Q. 5.</w:t>
      </w:r>
      <w:r w:rsidR="00D23016">
        <w:rPr>
          <w:rFonts w:ascii="Times New Roman" w:hAnsi="Times New Roman" w:cs="Times New Roman"/>
          <w:b/>
          <w:sz w:val="24"/>
          <w:szCs w:val="24"/>
        </w:rPr>
        <w:t>1</w:t>
      </w:r>
      <w:r w:rsidR="00C535E9">
        <w:rPr>
          <w:rFonts w:ascii="Times New Roman" w:hAnsi="Times New Roman" w:cs="Times New Roman"/>
          <w:b/>
          <w:sz w:val="24"/>
          <w:szCs w:val="24"/>
        </w:rPr>
        <w:t>2</w:t>
      </w:r>
      <w:r>
        <w:rPr>
          <w:rFonts w:ascii="Times New Roman" w:hAnsi="Times New Roman" w:cs="Times New Roman"/>
          <w:b/>
          <w:sz w:val="24"/>
          <w:szCs w:val="24"/>
        </w:rPr>
        <w:t>:  What happens if a plan is determined to be top-heavy?</w:t>
      </w:r>
    </w:p>
    <w:p w:rsidR="008805C0" w:rsidRDefault="008805C0" w:rsidP="008805C0">
      <w:pPr>
        <w:pStyle w:val="NoSpacing"/>
        <w:ind w:left="720"/>
        <w:rPr>
          <w:rFonts w:ascii="Times New Roman" w:hAnsi="Times New Roman" w:cs="Times New Roman"/>
          <w:sz w:val="24"/>
          <w:szCs w:val="24"/>
        </w:rPr>
      </w:pPr>
    </w:p>
    <w:p w:rsidR="008805C0" w:rsidRDefault="008805C0" w:rsidP="008805C0">
      <w:pPr>
        <w:pStyle w:val="NoSpacing"/>
        <w:ind w:left="720"/>
        <w:rPr>
          <w:rFonts w:ascii="Times New Roman" w:hAnsi="Times New Roman" w:cs="Times New Roman"/>
          <w:sz w:val="24"/>
          <w:szCs w:val="24"/>
        </w:rPr>
      </w:pPr>
      <w:r w:rsidRPr="006645CB">
        <w:rPr>
          <w:rFonts w:ascii="Times New Roman" w:hAnsi="Times New Roman" w:cs="Times New Roman"/>
          <w:sz w:val="24"/>
          <w:szCs w:val="24"/>
        </w:rPr>
        <w:t xml:space="preserve">If a plan becomes top-heavy, </w:t>
      </w:r>
      <w:r>
        <w:rPr>
          <w:rFonts w:ascii="Times New Roman" w:hAnsi="Times New Roman" w:cs="Times New Roman"/>
          <w:sz w:val="24"/>
          <w:szCs w:val="24"/>
        </w:rPr>
        <w:t xml:space="preserve">then </w:t>
      </w:r>
      <w:r w:rsidRPr="006645CB">
        <w:rPr>
          <w:rFonts w:ascii="Times New Roman" w:hAnsi="Times New Roman" w:cs="Times New Roman"/>
          <w:sz w:val="24"/>
          <w:szCs w:val="24"/>
        </w:rPr>
        <w:t>it must satisfy the following requirement</w:t>
      </w:r>
      <w:r>
        <w:rPr>
          <w:rFonts w:ascii="Times New Roman" w:hAnsi="Times New Roman" w:cs="Times New Roman"/>
          <w:sz w:val="24"/>
          <w:szCs w:val="24"/>
        </w:rPr>
        <w:t>s</w:t>
      </w:r>
      <w:r w:rsidRPr="006645CB">
        <w:rPr>
          <w:rFonts w:ascii="Times New Roman" w:hAnsi="Times New Roman" w:cs="Times New Roman"/>
          <w:sz w:val="24"/>
          <w:szCs w:val="24"/>
        </w:rPr>
        <w:t>:</w:t>
      </w:r>
      <w:r w:rsidR="00DF4426">
        <w:rPr>
          <w:rStyle w:val="FootnoteReference"/>
          <w:rFonts w:ascii="Times New Roman" w:hAnsi="Times New Roman" w:cs="Times New Roman"/>
          <w:sz w:val="24"/>
          <w:szCs w:val="24"/>
        </w:rPr>
        <w:footnoteReference w:id="14"/>
      </w:r>
    </w:p>
    <w:p w:rsidR="00A16475" w:rsidRDefault="00DF4426" w:rsidP="00A16475">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 xml:space="preserve">special </w:t>
      </w:r>
      <w:r w:rsidR="00A16475">
        <w:rPr>
          <w:rFonts w:ascii="Times New Roman" w:hAnsi="Times New Roman" w:cs="Times New Roman"/>
          <w:sz w:val="24"/>
          <w:szCs w:val="24"/>
        </w:rPr>
        <w:t>vesting provisions and</w:t>
      </w:r>
    </w:p>
    <w:p w:rsidR="00A16475" w:rsidRDefault="00DF4426" w:rsidP="00A16475">
      <w:pPr>
        <w:pStyle w:val="NoSpacing"/>
        <w:numPr>
          <w:ilvl w:val="0"/>
          <w:numId w:val="26"/>
        </w:numPr>
        <w:rPr>
          <w:rFonts w:ascii="Times New Roman" w:hAnsi="Times New Roman" w:cs="Times New Roman"/>
          <w:sz w:val="24"/>
          <w:szCs w:val="24"/>
        </w:rPr>
      </w:pPr>
      <w:proofErr w:type="gramStart"/>
      <w:r>
        <w:rPr>
          <w:rFonts w:ascii="Times New Roman" w:hAnsi="Times New Roman" w:cs="Times New Roman"/>
          <w:sz w:val="24"/>
          <w:szCs w:val="24"/>
        </w:rPr>
        <w:t>minimum</w:t>
      </w:r>
      <w:proofErr w:type="gramEnd"/>
      <w:r>
        <w:rPr>
          <w:rFonts w:ascii="Times New Roman" w:hAnsi="Times New Roman" w:cs="Times New Roman"/>
          <w:sz w:val="24"/>
          <w:szCs w:val="24"/>
        </w:rPr>
        <w:t xml:space="preserve"> </w:t>
      </w:r>
      <w:r w:rsidR="00A16475">
        <w:rPr>
          <w:rFonts w:ascii="Times New Roman" w:hAnsi="Times New Roman" w:cs="Times New Roman"/>
          <w:sz w:val="24"/>
          <w:szCs w:val="24"/>
        </w:rPr>
        <w:t>benefit rules.</w:t>
      </w:r>
    </w:p>
    <w:p w:rsidR="008805C0" w:rsidRDefault="008805C0" w:rsidP="002E7FB4">
      <w:pPr>
        <w:pStyle w:val="NoSpacing"/>
        <w:ind w:left="720"/>
        <w:rPr>
          <w:rFonts w:ascii="Times New Roman" w:hAnsi="Times New Roman" w:cs="Times New Roman"/>
          <w:sz w:val="24"/>
          <w:szCs w:val="24"/>
        </w:rPr>
      </w:pPr>
    </w:p>
    <w:p w:rsidR="004C6A04" w:rsidRDefault="004C6A04" w:rsidP="002E7FB4">
      <w:pPr>
        <w:pStyle w:val="NoSpacing"/>
        <w:ind w:left="720"/>
        <w:rPr>
          <w:rFonts w:ascii="Times New Roman" w:hAnsi="Times New Roman" w:cs="Times New Roman"/>
          <w:sz w:val="24"/>
          <w:szCs w:val="24"/>
        </w:rPr>
      </w:pPr>
    </w:p>
    <w:p w:rsidR="008805C0" w:rsidRPr="00AE6419" w:rsidRDefault="008805C0" w:rsidP="008805C0">
      <w:pPr>
        <w:pStyle w:val="NoSpacing"/>
        <w:ind w:left="720"/>
        <w:rPr>
          <w:rFonts w:ascii="Times New Roman" w:hAnsi="Times New Roman" w:cs="Times New Roman"/>
          <w:b/>
          <w:sz w:val="24"/>
          <w:szCs w:val="24"/>
        </w:rPr>
      </w:pPr>
      <w:r>
        <w:rPr>
          <w:rFonts w:ascii="Times New Roman" w:hAnsi="Times New Roman" w:cs="Times New Roman"/>
          <w:b/>
          <w:sz w:val="24"/>
          <w:szCs w:val="24"/>
        </w:rPr>
        <w:t>Q. 5.</w:t>
      </w:r>
      <w:r w:rsidR="00D23016">
        <w:rPr>
          <w:rFonts w:ascii="Times New Roman" w:hAnsi="Times New Roman" w:cs="Times New Roman"/>
          <w:b/>
          <w:sz w:val="24"/>
          <w:szCs w:val="24"/>
        </w:rPr>
        <w:t>1</w:t>
      </w:r>
      <w:r w:rsidR="00C535E9">
        <w:rPr>
          <w:rFonts w:ascii="Times New Roman" w:hAnsi="Times New Roman" w:cs="Times New Roman"/>
          <w:b/>
          <w:sz w:val="24"/>
          <w:szCs w:val="24"/>
        </w:rPr>
        <w:t>3</w:t>
      </w:r>
      <w:r>
        <w:rPr>
          <w:rFonts w:ascii="Times New Roman" w:hAnsi="Times New Roman" w:cs="Times New Roman"/>
          <w:b/>
          <w:sz w:val="24"/>
          <w:szCs w:val="24"/>
        </w:rPr>
        <w:t>:  How does top-heavy status change vesting provisions</w:t>
      </w:r>
      <w:r w:rsidRPr="000E5E99">
        <w:rPr>
          <w:rFonts w:ascii="Times New Roman" w:hAnsi="Times New Roman" w:cs="Times New Roman"/>
          <w:b/>
          <w:sz w:val="24"/>
          <w:szCs w:val="24"/>
        </w:rPr>
        <w:t>?</w:t>
      </w:r>
    </w:p>
    <w:p w:rsidR="008805C0" w:rsidRDefault="008805C0" w:rsidP="008805C0">
      <w:pPr>
        <w:pStyle w:val="NoSpacing"/>
        <w:ind w:left="720"/>
        <w:rPr>
          <w:rFonts w:ascii="Times New Roman" w:hAnsi="Times New Roman" w:cs="Times New Roman"/>
          <w:sz w:val="24"/>
          <w:szCs w:val="24"/>
        </w:rPr>
      </w:pPr>
    </w:p>
    <w:p w:rsidR="008805C0" w:rsidRDefault="008805C0" w:rsidP="008805C0">
      <w:pPr>
        <w:pStyle w:val="NoSpacing"/>
        <w:ind w:left="720"/>
        <w:rPr>
          <w:rFonts w:ascii="Times New Roman" w:hAnsi="Times New Roman" w:cs="Times New Roman"/>
          <w:sz w:val="24"/>
          <w:szCs w:val="24"/>
        </w:rPr>
      </w:pPr>
      <w:r w:rsidRPr="006645CB">
        <w:rPr>
          <w:rFonts w:ascii="Times New Roman" w:hAnsi="Times New Roman" w:cs="Times New Roman"/>
          <w:sz w:val="24"/>
          <w:szCs w:val="24"/>
        </w:rPr>
        <w:t xml:space="preserve">If a plan becomes top-heavy, </w:t>
      </w:r>
      <w:r>
        <w:rPr>
          <w:rFonts w:ascii="Times New Roman" w:hAnsi="Times New Roman" w:cs="Times New Roman"/>
          <w:sz w:val="24"/>
          <w:szCs w:val="24"/>
        </w:rPr>
        <w:t xml:space="preserve">then </w:t>
      </w:r>
      <w:r w:rsidRPr="006645CB">
        <w:rPr>
          <w:rFonts w:ascii="Times New Roman" w:hAnsi="Times New Roman" w:cs="Times New Roman"/>
          <w:sz w:val="24"/>
          <w:szCs w:val="24"/>
        </w:rPr>
        <w:t xml:space="preserve">it must satisfy the following </w:t>
      </w:r>
      <w:r>
        <w:rPr>
          <w:rFonts w:ascii="Times New Roman" w:hAnsi="Times New Roman" w:cs="Times New Roman"/>
          <w:sz w:val="24"/>
          <w:szCs w:val="24"/>
        </w:rPr>
        <w:t>vesting</w:t>
      </w:r>
      <w:r w:rsidRPr="006645CB">
        <w:rPr>
          <w:rFonts w:ascii="Times New Roman" w:hAnsi="Times New Roman" w:cs="Times New Roman"/>
          <w:sz w:val="24"/>
          <w:szCs w:val="24"/>
        </w:rPr>
        <w:t xml:space="preserve"> requirement</w:t>
      </w:r>
      <w:r>
        <w:rPr>
          <w:rFonts w:ascii="Times New Roman" w:hAnsi="Times New Roman" w:cs="Times New Roman"/>
          <w:sz w:val="24"/>
          <w:szCs w:val="24"/>
        </w:rPr>
        <w:t>s</w:t>
      </w:r>
      <w:r w:rsidRPr="006645CB">
        <w:rPr>
          <w:rFonts w:ascii="Times New Roman" w:hAnsi="Times New Roman" w:cs="Times New Roman"/>
          <w:sz w:val="24"/>
          <w:szCs w:val="24"/>
        </w:rPr>
        <w:t>:</w:t>
      </w:r>
      <w:r w:rsidR="00DF4426">
        <w:rPr>
          <w:rStyle w:val="FootnoteReference"/>
          <w:rFonts w:ascii="Times New Roman" w:hAnsi="Times New Roman" w:cs="Times New Roman"/>
          <w:sz w:val="24"/>
          <w:szCs w:val="24"/>
        </w:rPr>
        <w:footnoteReference w:id="15"/>
      </w:r>
    </w:p>
    <w:p w:rsidR="00A16475" w:rsidRDefault="008805C0" w:rsidP="008805C0">
      <w:pPr>
        <w:pStyle w:val="NoSpacing"/>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6645CB">
        <w:rPr>
          <w:rFonts w:ascii="Times New Roman" w:eastAsia="Times New Roman" w:hAnsi="Times New Roman" w:cs="Times New Roman"/>
          <w:sz w:val="24"/>
          <w:szCs w:val="24"/>
        </w:rPr>
        <w:t xml:space="preserve">n employee who has completed at least three years of service with the employer must have a </w:t>
      </w:r>
      <w:proofErr w:type="spellStart"/>
      <w:r w:rsidRPr="006645CB">
        <w:rPr>
          <w:rFonts w:ascii="Times New Roman" w:eastAsia="Times New Roman" w:hAnsi="Times New Roman" w:cs="Times New Roman"/>
          <w:sz w:val="24"/>
          <w:szCs w:val="24"/>
        </w:rPr>
        <w:t>nonforfeitable</w:t>
      </w:r>
      <w:proofErr w:type="spellEnd"/>
      <w:r w:rsidRPr="006645CB">
        <w:rPr>
          <w:rFonts w:ascii="Times New Roman" w:eastAsia="Times New Roman" w:hAnsi="Times New Roman" w:cs="Times New Roman"/>
          <w:sz w:val="24"/>
          <w:szCs w:val="24"/>
        </w:rPr>
        <w:t xml:space="preserve"> right to 100 percent of his or her accrued benefit, or </w:t>
      </w:r>
    </w:p>
    <w:p w:rsidR="008805C0" w:rsidRDefault="0096336B" w:rsidP="008805C0">
      <w:pPr>
        <w:pStyle w:val="NoSpacing"/>
        <w:numPr>
          <w:ilvl w:val="0"/>
          <w:numId w:val="23"/>
        </w:numPr>
        <w:rPr>
          <w:rFonts w:ascii="Times New Roman" w:eastAsia="Times New Roman" w:hAnsi="Times New Roman" w:cs="Times New Roman"/>
          <w:sz w:val="24"/>
          <w:szCs w:val="24"/>
        </w:rPr>
      </w:pPr>
      <w:r w:rsidRPr="006645CB">
        <w:rPr>
          <w:rFonts w:ascii="Times New Roman" w:eastAsia="Times New Roman" w:hAnsi="Times New Roman" w:cs="Times New Roman"/>
          <w:sz w:val="24"/>
          <w:szCs w:val="24"/>
        </w:rPr>
        <w:t>The</w:t>
      </w:r>
      <w:r w:rsidR="008805C0" w:rsidRPr="006645CB">
        <w:rPr>
          <w:rFonts w:ascii="Times New Roman" w:eastAsia="Times New Roman" w:hAnsi="Times New Roman" w:cs="Times New Roman"/>
          <w:sz w:val="24"/>
          <w:szCs w:val="24"/>
        </w:rPr>
        <w:t xml:space="preserve"> employee must have a </w:t>
      </w:r>
      <w:proofErr w:type="spellStart"/>
      <w:r w:rsidR="008805C0" w:rsidRPr="006645CB">
        <w:rPr>
          <w:rFonts w:ascii="Times New Roman" w:eastAsia="Times New Roman" w:hAnsi="Times New Roman" w:cs="Times New Roman"/>
          <w:sz w:val="24"/>
          <w:szCs w:val="24"/>
        </w:rPr>
        <w:t>nonforfeitable</w:t>
      </w:r>
      <w:proofErr w:type="spellEnd"/>
      <w:r w:rsidR="008805C0" w:rsidRPr="006645CB">
        <w:rPr>
          <w:rFonts w:ascii="Times New Roman" w:eastAsia="Times New Roman" w:hAnsi="Times New Roman" w:cs="Times New Roman"/>
          <w:sz w:val="24"/>
          <w:szCs w:val="24"/>
        </w:rPr>
        <w:t xml:space="preserve"> right to a percentage of his or her accrued benefit under the following table</w:t>
      </w:r>
      <w:r w:rsidR="00DF4426">
        <w:rPr>
          <w:rFonts w:ascii="Times New Roman" w:eastAsia="Times New Roman" w:hAnsi="Times New Roman" w:cs="Times New Roman"/>
          <w:sz w:val="24"/>
          <w:szCs w:val="24"/>
        </w:rPr>
        <w:t>.</w:t>
      </w:r>
    </w:p>
    <w:p w:rsidR="000B38B4" w:rsidRDefault="000B38B4" w:rsidP="000B38B4">
      <w:pPr>
        <w:pStyle w:val="NoSpacing"/>
        <w:rPr>
          <w:rFonts w:ascii="Times New Roman" w:eastAsia="Times New Roman" w:hAnsi="Times New Roman" w:cs="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939"/>
        <w:gridCol w:w="2842"/>
      </w:tblGrid>
      <w:tr w:rsidR="00BB28B6" w:rsidTr="009952A7">
        <w:trPr>
          <w:trHeight w:val="405"/>
          <w:jc w:val="center"/>
        </w:trPr>
        <w:tc>
          <w:tcPr>
            <w:tcW w:w="478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28B6" w:rsidRDefault="00BB28B6" w:rsidP="00DF4426">
            <w:pPr>
              <w:suppressAutoHyphens/>
              <w:jc w:val="center"/>
              <w:rPr>
                <w:rFonts w:ascii="Helvetica LT Std Bold Condensed" w:hAnsi="Helvetica LT Std Bold Condensed" w:cs="Helvetica LT Std Bold Condensed"/>
                <w:b/>
                <w:bCs/>
                <w:i/>
                <w:iCs/>
              </w:rPr>
            </w:pPr>
            <w:r w:rsidRPr="00077F32">
              <w:t>Years of Service Vesting Schedule</w:t>
            </w:r>
          </w:p>
        </w:tc>
      </w:tr>
      <w:tr w:rsidR="008805C0" w:rsidTr="000F42B7">
        <w:trPr>
          <w:trHeight w:val="405"/>
          <w:jc w:val="center"/>
        </w:trPr>
        <w:tc>
          <w:tcPr>
            <w:tcW w:w="1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05C0" w:rsidRDefault="008805C0" w:rsidP="000F42B7">
            <w:pPr>
              <w:suppressAutoHyphens/>
              <w:jc w:val="center"/>
            </w:pPr>
            <w:r>
              <w:rPr>
                <w:rFonts w:ascii="Helvetica LT Std Bold Condensed" w:hAnsi="Helvetica LT Std Bold Condensed" w:cs="Helvetica LT Std Bold Condensed"/>
                <w:b/>
                <w:bCs/>
                <w:i/>
                <w:iCs/>
              </w:rPr>
              <w:t>Years of Service</w:t>
            </w:r>
          </w:p>
        </w:tc>
        <w:tc>
          <w:tcPr>
            <w:tcW w:w="2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05C0" w:rsidRDefault="00572AF2" w:rsidP="00DF4426">
            <w:pPr>
              <w:suppressAutoHyphens/>
              <w:jc w:val="center"/>
            </w:pPr>
            <w:proofErr w:type="spellStart"/>
            <w:r>
              <w:rPr>
                <w:rFonts w:ascii="Helvetica LT Std Bold Condensed" w:hAnsi="Helvetica LT Std Bold Condensed" w:cs="Helvetica LT Std Bold Condensed"/>
                <w:b/>
                <w:bCs/>
                <w:i/>
                <w:iCs/>
              </w:rPr>
              <w:t>Nonforfeitable</w:t>
            </w:r>
            <w:proofErr w:type="spellEnd"/>
            <w:r w:rsidR="008805C0">
              <w:rPr>
                <w:rFonts w:ascii="Helvetica LT Std Bold Condensed" w:hAnsi="Helvetica LT Std Bold Condensed" w:cs="Helvetica LT Std Bold Condensed"/>
                <w:b/>
                <w:bCs/>
                <w:i/>
                <w:iCs/>
              </w:rPr>
              <w:t xml:space="preserve"> Percentage</w:t>
            </w:r>
          </w:p>
        </w:tc>
      </w:tr>
      <w:tr w:rsidR="008805C0" w:rsidTr="000F42B7">
        <w:trPr>
          <w:trHeight w:val="244"/>
          <w:jc w:val="center"/>
        </w:trPr>
        <w:tc>
          <w:tcPr>
            <w:tcW w:w="1939"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8805C0" w:rsidRDefault="008805C0" w:rsidP="000F42B7">
            <w:pPr>
              <w:suppressAutoHyphens/>
              <w:jc w:val="center"/>
            </w:pPr>
            <w:r>
              <w:rPr>
                <w:rFonts w:ascii="Helvetica LT Std Condensed" w:hAnsi="Helvetica LT Std Condensed" w:cs="Helvetica LT Std Condensed"/>
              </w:rPr>
              <w:t>2</w:t>
            </w:r>
          </w:p>
        </w:tc>
        <w:tc>
          <w:tcPr>
            <w:tcW w:w="2842"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8805C0" w:rsidRDefault="008805C0" w:rsidP="000F42B7">
            <w:pPr>
              <w:suppressAutoHyphens/>
              <w:jc w:val="center"/>
            </w:pPr>
            <w:r>
              <w:rPr>
                <w:rFonts w:ascii="Helvetica LT Std Condensed" w:hAnsi="Helvetica LT Std Condensed" w:cs="Helvetica LT Std Condensed"/>
              </w:rPr>
              <w:t>20%</w:t>
            </w:r>
          </w:p>
        </w:tc>
      </w:tr>
      <w:tr w:rsidR="008805C0" w:rsidTr="000F42B7">
        <w:trPr>
          <w:trHeight w:val="259"/>
          <w:jc w:val="center"/>
        </w:trPr>
        <w:tc>
          <w:tcPr>
            <w:tcW w:w="1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05C0" w:rsidRDefault="008805C0" w:rsidP="000F42B7">
            <w:pPr>
              <w:suppressAutoHyphens/>
              <w:jc w:val="center"/>
            </w:pPr>
            <w:r>
              <w:rPr>
                <w:rFonts w:ascii="Helvetica LT Std Condensed" w:hAnsi="Helvetica LT Std Condensed" w:cs="Helvetica LT Std Condensed"/>
              </w:rPr>
              <w:t>3</w:t>
            </w:r>
          </w:p>
        </w:tc>
        <w:tc>
          <w:tcPr>
            <w:tcW w:w="2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05C0" w:rsidRDefault="008805C0" w:rsidP="000F42B7">
            <w:pPr>
              <w:suppressAutoHyphens/>
              <w:jc w:val="center"/>
            </w:pPr>
            <w:r>
              <w:rPr>
                <w:rFonts w:ascii="Helvetica LT Std Condensed" w:hAnsi="Helvetica LT Std Condensed" w:cs="Helvetica LT Std Condensed"/>
              </w:rPr>
              <w:t>40%</w:t>
            </w:r>
          </w:p>
        </w:tc>
      </w:tr>
      <w:tr w:rsidR="008805C0" w:rsidTr="000F42B7">
        <w:trPr>
          <w:trHeight w:val="273"/>
          <w:jc w:val="center"/>
        </w:trPr>
        <w:tc>
          <w:tcPr>
            <w:tcW w:w="1939"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8805C0" w:rsidRDefault="008805C0" w:rsidP="000F42B7">
            <w:pPr>
              <w:suppressAutoHyphens/>
              <w:jc w:val="center"/>
            </w:pPr>
            <w:r>
              <w:rPr>
                <w:rFonts w:ascii="Helvetica LT Std Condensed" w:hAnsi="Helvetica LT Std Condensed" w:cs="Helvetica LT Std Condensed"/>
              </w:rPr>
              <w:t>4</w:t>
            </w:r>
          </w:p>
        </w:tc>
        <w:tc>
          <w:tcPr>
            <w:tcW w:w="2842"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8805C0" w:rsidRDefault="008805C0" w:rsidP="000F42B7">
            <w:pPr>
              <w:suppressAutoHyphens/>
              <w:jc w:val="center"/>
            </w:pPr>
            <w:r>
              <w:rPr>
                <w:rFonts w:ascii="Helvetica LT Std Condensed" w:hAnsi="Helvetica LT Std Condensed" w:cs="Helvetica LT Std Condensed"/>
              </w:rPr>
              <w:t>60%</w:t>
            </w:r>
          </w:p>
        </w:tc>
      </w:tr>
      <w:tr w:rsidR="008805C0" w:rsidTr="000F42B7">
        <w:trPr>
          <w:trHeight w:val="288"/>
          <w:jc w:val="center"/>
        </w:trPr>
        <w:tc>
          <w:tcPr>
            <w:tcW w:w="1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05C0" w:rsidRDefault="008805C0" w:rsidP="000F42B7">
            <w:pPr>
              <w:suppressAutoHyphens/>
              <w:jc w:val="center"/>
            </w:pPr>
            <w:r>
              <w:rPr>
                <w:rFonts w:ascii="Helvetica LT Std Condensed" w:hAnsi="Helvetica LT Std Condensed" w:cs="Helvetica LT Std Condensed"/>
              </w:rPr>
              <w:t>5</w:t>
            </w:r>
          </w:p>
        </w:tc>
        <w:tc>
          <w:tcPr>
            <w:tcW w:w="2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05C0" w:rsidRDefault="008805C0" w:rsidP="000F42B7">
            <w:pPr>
              <w:suppressAutoHyphens/>
              <w:jc w:val="center"/>
            </w:pPr>
            <w:r>
              <w:rPr>
                <w:rFonts w:ascii="Helvetica LT Std Condensed" w:hAnsi="Helvetica LT Std Condensed" w:cs="Helvetica LT Std Condensed"/>
              </w:rPr>
              <w:t>80%</w:t>
            </w:r>
          </w:p>
        </w:tc>
      </w:tr>
      <w:tr w:rsidR="008805C0" w:rsidTr="000F42B7">
        <w:trPr>
          <w:trHeight w:val="254"/>
          <w:jc w:val="center"/>
        </w:trPr>
        <w:tc>
          <w:tcPr>
            <w:tcW w:w="1939"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8805C0" w:rsidRDefault="008805C0" w:rsidP="000F42B7">
            <w:pPr>
              <w:suppressAutoHyphens/>
              <w:jc w:val="center"/>
            </w:pPr>
            <w:r>
              <w:rPr>
                <w:rFonts w:ascii="Helvetica LT Std Condensed" w:hAnsi="Helvetica LT Std Condensed" w:cs="Helvetica LT Std Condensed"/>
              </w:rPr>
              <w:t>6</w:t>
            </w:r>
          </w:p>
        </w:tc>
        <w:tc>
          <w:tcPr>
            <w:tcW w:w="2842"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8805C0" w:rsidRDefault="008805C0" w:rsidP="000F42B7">
            <w:pPr>
              <w:suppressAutoHyphens/>
              <w:jc w:val="center"/>
            </w:pPr>
            <w:r>
              <w:rPr>
                <w:rFonts w:ascii="Helvetica LT Std Condensed" w:hAnsi="Helvetica LT Std Condensed" w:cs="Helvetica LT Std Condensed"/>
              </w:rPr>
              <w:t>100%</w:t>
            </w:r>
          </w:p>
        </w:tc>
      </w:tr>
    </w:tbl>
    <w:p w:rsidR="008805C0" w:rsidRDefault="008805C0" w:rsidP="008805C0">
      <w:pPr>
        <w:pStyle w:val="NoSpacing"/>
        <w:ind w:left="1080"/>
        <w:rPr>
          <w:rFonts w:ascii="Times New Roman" w:eastAsia="Times New Roman" w:hAnsi="Times New Roman" w:cs="Times New Roman"/>
          <w:sz w:val="24"/>
          <w:szCs w:val="24"/>
        </w:rPr>
      </w:pPr>
    </w:p>
    <w:p w:rsidR="004C6A04" w:rsidRDefault="004C6A04" w:rsidP="000B38B4">
      <w:pPr>
        <w:pStyle w:val="NoSpacing"/>
        <w:ind w:left="720"/>
        <w:rPr>
          <w:rFonts w:ascii="Times New Roman" w:eastAsia="Times New Roman" w:hAnsi="Times New Roman" w:cs="Times New Roman"/>
          <w:sz w:val="24"/>
          <w:szCs w:val="24"/>
        </w:rPr>
      </w:pPr>
    </w:p>
    <w:p w:rsidR="004C6A04" w:rsidRDefault="000B38B4" w:rsidP="000B38B4">
      <w:pPr>
        <w:pStyle w:val="NoSpacing"/>
        <w:ind w:left="720"/>
        <w:rPr>
          <w:rFonts w:ascii="Times New Roman" w:eastAsia="Times New Roman" w:hAnsi="Times New Roman" w:cs="Times New Roman"/>
          <w:sz w:val="24"/>
          <w:szCs w:val="24"/>
        </w:rPr>
      </w:pPr>
      <w:r w:rsidRPr="000B38B4">
        <w:rPr>
          <w:rFonts w:ascii="Times New Roman" w:eastAsia="Times New Roman" w:hAnsi="Times New Roman" w:cs="Times New Roman"/>
          <w:sz w:val="24"/>
          <w:szCs w:val="24"/>
        </w:rPr>
        <w:t xml:space="preserve">In a year in which the plan is not top-heavy, the vesting schedule may revert to the </w:t>
      </w:r>
      <w:proofErr w:type="spellStart"/>
      <w:r w:rsidRPr="000B38B4">
        <w:rPr>
          <w:rFonts w:ascii="Times New Roman" w:eastAsia="Times New Roman" w:hAnsi="Times New Roman" w:cs="Times New Roman"/>
          <w:sz w:val="24"/>
          <w:szCs w:val="24"/>
        </w:rPr>
        <w:t>nontop</w:t>
      </w:r>
      <w:proofErr w:type="spellEnd"/>
      <w:r w:rsidRPr="000B38B4">
        <w:rPr>
          <w:rFonts w:ascii="Times New Roman" w:eastAsia="Times New Roman" w:hAnsi="Times New Roman" w:cs="Times New Roman"/>
          <w:sz w:val="24"/>
          <w:szCs w:val="24"/>
        </w:rPr>
        <w:t xml:space="preserve">-heavy vesting schedule as provided in the plan. When the vesting schedule changes for the </w:t>
      </w:r>
      <w:proofErr w:type="spellStart"/>
      <w:r w:rsidRPr="000B38B4">
        <w:rPr>
          <w:rFonts w:ascii="Times New Roman" w:eastAsia="Times New Roman" w:hAnsi="Times New Roman" w:cs="Times New Roman"/>
          <w:sz w:val="24"/>
          <w:szCs w:val="24"/>
        </w:rPr>
        <w:t>nontop</w:t>
      </w:r>
      <w:proofErr w:type="spellEnd"/>
      <w:r w:rsidRPr="000B38B4">
        <w:rPr>
          <w:rFonts w:ascii="Times New Roman" w:eastAsia="Times New Roman" w:hAnsi="Times New Roman" w:cs="Times New Roman"/>
          <w:sz w:val="24"/>
          <w:szCs w:val="24"/>
        </w:rPr>
        <w:t xml:space="preserve">-heavy year, the </w:t>
      </w:r>
      <w:proofErr w:type="spellStart"/>
      <w:r w:rsidR="00572AF2">
        <w:rPr>
          <w:rFonts w:ascii="Times New Roman" w:eastAsia="Times New Roman" w:hAnsi="Times New Roman" w:cs="Times New Roman"/>
          <w:sz w:val="24"/>
          <w:szCs w:val="24"/>
        </w:rPr>
        <w:t>nonforfeitable</w:t>
      </w:r>
      <w:proofErr w:type="spellEnd"/>
      <w:r w:rsidRPr="000B38B4">
        <w:rPr>
          <w:rFonts w:ascii="Times New Roman" w:eastAsia="Times New Roman" w:hAnsi="Times New Roman" w:cs="Times New Roman"/>
          <w:sz w:val="24"/>
          <w:szCs w:val="24"/>
        </w:rPr>
        <w:t xml:space="preserve"> percentage of the accrued benefit for the employee may not be reduced below the prior year’s </w:t>
      </w:r>
      <w:proofErr w:type="spellStart"/>
      <w:r w:rsidR="00572AF2">
        <w:rPr>
          <w:rFonts w:ascii="Times New Roman" w:eastAsia="Times New Roman" w:hAnsi="Times New Roman" w:cs="Times New Roman"/>
          <w:sz w:val="24"/>
          <w:szCs w:val="24"/>
        </w:rPr>
        <w:t>nonforfeitable</w:t>
      </w:r>
      <w:proofErr w:type="spellEnd"/>
      <w:r w:rsidRPr="000B38B4">
        <w:rPr>
          <w:rFonts w:ascii="Times New Roman" w:eastAsia="Times New Roman" w:hAnsi="Times New Roman" w:cs="Times New Roman"/>
          <w:sz w:val="24"/>
          <w:szCs w:val="24"/>
        </w:rPr>
        <w:t xml:space="preserve"> percentage. In addition, any employee with three or more years of service must be given the option of remaining with the top-heavy vesting schedule.</w:t>
      </w:r>
      <w:r w:rsidR="00761EA9">
        <w:rPr>
          <w:rStyle w:val="FootnoteReference"/>
          <w:rFonts w:ascii="Times New Roman" w:eastAsia="Times New Roman" w:hAnsi="Times New Roman" w:cs="Times New Roman"/>
          <w:sz w:val="24"/>
          <w:szCs w:val="24"/>
        </w:rPr>
        <w:footnoteReference w:id="16"/>
      </w:r>
      <w:r w:rsidR="00972A15">
        <w:rPr>
          <w:rFonts w:ascii="Times New Roman" w:eastAsia="Times New Roman" w:hAnsi="Times New Roman" w:cs="Times New Roman"/>
          <w:sz w:val="24"/>
          <w:szCs w:val="24"/>
        </w:rPr>
        <w:t xml:space="preserve"> </w:t>
      </w:r>
    </w:p>
    <w:p w:rsidR="000B38B4" w:rsidRDefault="000B38B4" w:rsidP="008805C0">
      <w:pPr>
        <w:pStyle w:val="NoSpacing"/>
        <w:ind w:left="1080"/>
        <w:rPr>
          <w:rFonts w:ascii="Times New Roman" w:eastAsia="Times New Roman" w:hAnsi="Times New Roman" w:cs="Times New Roman"/>
          <w:sz w:val="24"/>
          <w:szCs w:val="24"/>
        </w:rPr>
      </w:pPr>
    </w:p>
    <w:p w:rsidR="00315EDD" w:rsidRDefault="00315EDD" w:rsidP="00B85A8B">
      <w:pPr>
        <w:pStyle w:val="NoSpacing"/>
        <w:ind w:left="720"/>
        <w:rPr>
          <w:rFonts w:ascii="Times New Roman" w:eastAsia="Times New Roman" w:hAnsi="Times New Roman" w:cs="Times New Roman"/>
          <w:sz w:val="24"/>
          <w:szCs w:val="24"/>
        </w:rPr>
      </w:pPr>
      <w:proofErr w:type="gramStart"/>
      <w:r w:rsidRPr="00B85A8B">
        <w:rPr>
          <w:rFonts w:ascii="Times New Roman" w:eastAsia="Times New Roman" w:hAnsi="Times New Roman" w:cs="Times New Roman"/>
          <w:b/>
          <w:sz w:val="24"/>
          <w:szCs w:val="24"/>
        </w:rPr>
        <w:t xml:space="preserve">Example </w:t>
      </w:r>
      <w:r w:rsidR="000F42B7">
        <w:rPr>
          <w:rFonts w:ascii="Times New Roman" w:eastAsia="Times New Roman" w:hAnsi="Times New Roman" w:cs="Times New Roman"/>
          <w:b/>
          <w:sz w:val="24"/>
          <w:szCs w:val="24"/>
        </w:rPr>
        <w:t>4</w:t>
      </w:r>
      <w:r w:rsidRPr="00B85A8B">
        <w:rPr>
          <w:rFonts w:ascii="Times New Roman" w:eastAsia="Times New Roman" w:hAnsi="Times New Roman" w:cs="Times New Roman"/>
          <w:b/>
          <w:sz w:val="24"/>
          <w:szCs w:val="24"/>
        </w:rPr>
        <w:t>.</w:t>
      </w:r>
      <w:proofErr w:type="gramEnd"/>
      <w:r w:rsidRPr="00315EDD">
        <w:rPr>
          <w:rFonts w:ascii="Times New Roman" w:eastAsia="Times New Roman" w:hAnsi="Times New Roman" w:cs="Times New Roman"/>
          <w:sz w:val="24"/>
          <w:szCs w:val="24"/>
        </w:rPr>
        <w:t xml:space="preserve"> The plan’s top-heavy vesting schedule was a six-year graded schedule as </w:t>
      </w:r>
      <w:r w:rsidR="00761EA9">
        <w:rPr>
          <w:rFonts w:ascii="Times New Roman" w:eastAsia="Times New Roman" w:hAnsi="Times New Roman" w:cs="Times New Roman"/>
          <w:sz w:val="24"/>
          <w:szCs w:val="24"/>
        </w:rPr>
        <w:t>shown in the previous table</w:t>
      </w:r>
      <w:r w:rsidRPr="00315EDD">
        <w:rPr>
          <w:rFonts w:ascii="Times New Roman" w:eastAsia="Times New Roman" w:hAnsi="Times New Roman" w:cs="Times New Roman"/>
          <w:sz w:val="24"/>
          <w:szCs w:val="24"/>
        </w:rPr>
        <w:t>, but the plan’s non-top-heavy vesting schedule was a five-year-cliff vesting schedule (zero vesting for the first four years and then 100 percent in the fifth year). An employee who was 20</w:t>
      </w:r>
      <w:r w:rsidR="0096336B">
        <w:rPr>
          <w:rFonts w:ascii="Times New Roman" w:eastAsia="Times New Roman" w:hAnsi="Times New Roman" w:cs="Times New Roman"/>
          <w:sz w:val="24"/>
          <w:szCs w:val="24"/>
        </w:rPr>
        <w:t xml:space="preserve"> </w:t>
      </w:r>
      <w:r w:rsidRPr="00315EDD">
        <w:rPr>
          <w:rFonts w:ascii="Times New Roman" w:eastAsia="Times New Roman" w:hAnsi="Times New Roman" w:cs="Times New Roman"/>
          <w:sz w:val="24"/>
          <w:szCs w:val="24"/>
        </w:rPr>
        <w:t>percent vested after two years (the six-year schedule) could not be reduced to zero vesting but would continue to be 20</w:t>
      </w:r>
      <w:r w:rsidR="0096336B">
        <w:rPr>
          <w:rFonts w:ascii="Times New Roman" w:eastAsia="Times New Roman" w:hAnsi="Times New Roman" w:cs="Times New Roman"/>
          <w:sz w:val="24"/>
          <w:szCs w:val="24"/>
        </w:rPr>
        <w:t xml:space="preserve"> </w:t>
      </w:r>
      <w:r w:rsidRPr="00315EDD">
        <w:rPr>
          <w:rFonts w:ascii="Times New Roman" w:eastAsia="Times New Roman" w:hAnsi="Times New Roman" w:cs="Times New Roman"/>
          <w:sz w:val="24"/>
          <w:szCs w:val="24"/>
        </w:rPr>
        <w:t>percent vested when the plan went back to the five-year-cliff vesting in the third year, when the plan was not top-heavy.</w:t>
      </w:r>
    </w:p>
    <w:p w:rsidR="00315EDD" w:rsidRDefault="00315EDD" w:rsidP="008805C0">
      <w:pPr>
        <w:pStyle w:val="NoSpacing"/>
        <w:ind w:left="1080"/>
        <w:rPr>
          <w:rFonts w:ascii="Times New Roman" w:eastAsia="Times New Roman" w:hAnsi="Times New Roman" w:cs="Times New Roman"/>
          <w:sz w:val="24"/>
          <w:szCs w:val="24"/>
        </w:rPr>
      </w:pPr>
    </w:p>
    <w:p w:rsidR="002033BB" w:rsidRDefault="002033BB" w:rsidP="002033BB">
      <w:pPr>
        <w:pStyle w:val="NoSpacing"/>
        <w:ind w:left="720"/>
        <w:rPr>
          <w:rFonts w:ascii="Times New Roman" w:hAnsi="Times New Roman" w:cs="Times New Roman"/>
          <w:b/>
          <w:sz w:val="24"/>
          <w:szCs w:val="24"/>
        </w:rPr>
      </w:pPr>
      <w:r>
        <w:rPr>
          <w:rFonts w:ascii="Times New Roman" w:hAnsi="Times New Roman" w:cs="Times New Roman"/>
          <w:b/>
          <w:sz w:val="24"/>
          <w:szCs w:val="24"/>
        </w:rPr>
        <w:t>Q. 5.14:  What are the minimum benefit rules for a top-heavy defined benefit plan</w:t>
      </w:r>
      <w:r w:rsidRPr="000E5E99">
        <w:rPr>
          <w:rFonts w:ascii="Times New Roman" w:hAnsi="Times New Roman" w:cs="Times New Roman"/>
          <w:b/>
          <w:sz w:val="24"/>
          <w:szCs w:val="24"/>
        </w:rPr>
        <w:t>?</w:t>
      </w:r>
    </w:p>
    <w:p w:rsidR="002033BB" w:rsidRDefault="002033BB" w:rsidP="002033BB">
      <w:pPr>
        <w:pStyle w:val="NoSpacing"/>
        <w:ind w:left="720"/>
        <w:rPr>
          <w:rFonts w:ascii="Times New Roman" w:eastAsia="Times New Roman" w:hAnsi="Times New Roman" w:cs="Times New Roman"/>
          <w:sz w:val="24"/>
          <w:szCs w:val="24"/>
        </w:rPr>
      </w:pPr>
    </w:p>
    <w:p w:rsidR="002033BB" w:rsidRDefault="002033BB" w:rsidP="002033BB">
      <w:pPr>
        <w:pStyle w:val="NoSpacing"/>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07651E">
        <w:rPr>
          <w:rFonts w:ascii="Times New Roman" w:eastAsia="Times New Roman" w:hAnsi="Times New Roman" w:cs="Times New Roman"/>
          <w:sz w:val="24"/>
          <w:szCs w:val="24"/>
        </w:rPr>
        <w:t xml:space="preserve">he plan must provide minimum benefits to </w:t>
      </w:r>
      <w:proofErr w:type="spellStart"/>
      <w:r w:rsidRPr="0007651E">
        <w:rPr>
          <w:rFonts w:ascii="Times New Roman" w:eastAsia="Times New Roman" w:hAnsi="Times New Roman" w:cs="Times New Roman"/>
          <w:sz w:val="24"/>
          <w:szCs w:val="24"/>
        </w:rPr>
        <w:t>nonkey</w:t>
      </w:r>
      <w:proofErr w:type="spellEnd"/>
      <w:r w:rsidRPr="0007651E">
        <w:rPr>
          <w:rFonts w:ascii="Times New Roman" w:eastAsia="Times New Roman" w:hAnsi="Times New Roman" w:cs="Times New Roman"/>
          <w:sz w:val="24"/>
          <w:szCs w:val="24"/>
        </w:rPr>
        <w:t xml:space="preserve"> employees equal to the lesser of 2 percent multiplied by the number of years of service (excluding service when the plan was not top</w:t>
      </w:r>
      <w:r w:rsidR="005242F8">
        <w:rPr>
          <w:rFonts w:ascii="Times New Roman" w:eastAsia="Times New Roman" w:hAnsi="Times New Roman" w:cs="Times New Roman"/>
          <w:sz w:val="24"/>
          <w:szCs w:val="24"/>
        </w:rPr>
        <w:t>-</w:t>
      </w:r>
      <w:r w:rsidRPr="0007651E">
        <w:rPr>
          <w:rFonts w:ascii="Times New Roman" w:eastAsia="Times New Roman" w:hAnsi="Times New Roman" w:cs="Times New Roman"/>
          <w:sz w:val="24"/>
          <w:szCs w:val="24"/>
        </w:rPr>
        <w:t xml:space="preserve">heavy) but not more than 20 percent of the employee’s average compensation (averaged over the highest five or </w:t>
      </w:r>
      <w:r w:rsidR="00091CF4">
        <w:rPr>
          <w:rFonts w:ascii="Times New Roman" w:eastAsia="Times New Roman" w:hAnsi="Times New Roman" w:cs="Times New Roman"/>
          <w:sz w:val="24"/>
          <w:szCs w:val="24"/>
        </w:rPr>
        <w:t>fewer</w:t>
      </w:r>
      <w:r w:rsidR="00091CF4" w:rsidRPr="0007651E">
        <w:rPr>
          <w:rFonts w:ascii="Times New Roman" w:eastAsia="Times New Roman" w:hAnsi="Times New Roman" w:cs="Times New Roman"/>
          <w:sz w:val="24"/>
          <w:szCs w:val="24"/>
        </w:rPr>
        <w:t xml:space="preserve"> </w:t>
      </w:r>
      <w:r w:rsidRPr="0007651E">
        <w:rPr>
          <w:rFonts w:ascii="Times New Roman" w:eastAsia="Times New Roman" w:hAnsi="Times New Roman" w:cs="Times New Roman"/>
          <w:sz w:val="24"/>
          <w:szCs w:val="24"/>
        </w:rPr>
        <w:t xml:space="preserve">consecutive years of service as </w:t>
      </w:r>
      <w:r w:rsidRPr="0007651E">
        <w:rPr>
          <w:rFonts w:ascii="Times New Roman" w:eastAsia="Times New Roman" w:hAnsi="Times New Roman" w:cs="Times New Roman"/>
          <w:sz w:val="24"/>
          <w:szCs w:val="24"/>
        </w:rPr>
        <w:lastRenderedPageBreak/>
        <w:t xml:space="preserve">provided in the plan) payable for life beginning at the retirement </w:t>
      </w:r>
      <w:r>
        <w:rPr>
          <w:rFonts w:ascii="Times New Roman" w:eastAsia="Times New Roman" w:hAnsi="Times New Roman" w:cs="Times New Roman"/>
          <w:sz w:val="24"/>
          <w:szCs w:val="24"/>
        </w:rPr>
        <w:t>age as provided in the plan.</w:t>
      </w:r>
      <w:r w:rsidR="00091CF4">
        <w:rPr>
          <w:rStyle w:val="FootnoteReference"/>
          <w:rFonts w:ascii="Times New Roman" w:eastAsia="Times New Roman" w:hAnsi="Times New Roman" w:cs="Times New Roman"/>
          <w:sz w:val="24"/>
          <w:szCs w:val="24"/>
        </w:rPr>
        <w:footnoteReference w:id="17"/>
      </w:r>
    </w:p>
    <w:p w:rsidR="00091CF4" w:rsidRDefault="00091CF4" w:rsidP="002033BB">
      <w:pPr>
        <w:pStyle w:val="NoSpacing"/>
        <w:ind w:left="720"/>
        <w:rPr>
          <w:rFonts w:ascii="Times New Roman" w:eastAsia="Times New Roman" w:hAnsi="Times New Roman" w:cs="Times New Roman"/>
          <w:sz w:val="24"/>
          <w:szCs w:val="24"/>
        </w:rPr>
      </w:pPr>
    </w:p>
    <w:p w:rsidR="002033BB" w:rsidRDefault="002033BB" w:rsidP="002A7C66">
      <w:pPr>
        <w:pStyle w:val="NoSpacing"/>
        <w:ind w:left="720"/>
        <w:rPr>
          <w:rFonts w:ascii="Times New Roman" w:hAnsi="Times New Roman" w:cs="Times New Roman"/>
          <w:b/>
          <w:sz w:val="24"/>
          <w:szCs w:val="24"/>
        </w:rPr>
      </w:pPr>
      <w:r w:rsidRPr="00B218BA">
        <w:rPr>
          <w:rFonts w:ascii="Times New Roman" w:eastAsia="Times New Roman" w:hAnsi="Times New Roman" w:cs="Times New Roman"/>
          <w:sz w:val="24"/>
          <w:szCs w:val="24"/>
        </w:rPr>
        <w:t xml:space="preserve">Any eligible employee </w:t>
      </w:r>
      <w:r>
        <w:rPr>
          <w:rFonts w:ascii="Times New Roman" w:eastAsia="Times New Roman" w:hAnsi="Times New Roman" w:cs="Times New Roman"/>
          <w:sz w:val="24"/>
          <w:szCs w:val="24"/>
        </w:rPr>
        <w:t xml:space="preserve">in a defined benefit plan </w:t>
      </w:r>
      <w:r w:rsidRPr="00B218BA">
        <w:rPr>
          <w:rFonts w:ascii="Times New Roman" w:eastAsia="Times New Roman" w:hAnsi="Times New Roman" w:cs="Times New Roman"/>
          <w:sz w:val="24"/>
          <w:szCs w:val="24"/>
        </w:rPr>
        <w:t>who has at least 1,000 hours of service must accrue the top-heavy minimum benefit.</w:t>
      </w:r>
      <w:r w:rsidR="00091CF4">
        <w:rPr>
          <w:rStyle w:val="FootnoteReference"/>
          <w:rFonts w:ascii="Times New Roman" w:eastAsia="Times New Roman" w:hAnsi="Times New Roman" w:cs="Times New Roman"/>
          <w:sz w:val="24"/>
          <w:szCs w:val="24"/>
        </w:rPr>
        <w:footnoteReference w:id="18"/>
      </w:r>
      <w:r w:rsidR="00514910">
        <w:rPr>
          <w:rFonts w:ascii="Times New Roman" w:eastAsia="Times New Roman" w:hAnsi="Times New Roman" w:cs="Times New Roman"/>
          <w:sz w:val="24"/>
          <w:szCs w:val="24"/>
        </w:rPr>
        <w:t xml:space="preserve"> </w:t>
      </w:r>
    </w:p>
    <w:p w:rsidR="002033BB" w:rsidRDefault="002033BB" w:rsidP="00A16475">
      <w:pPr>
        <w:pStyle w:val="NoSpacing"/>
        <w:ind w:left="720"/>
        <w:rPr>
          <w:rFonts w:ascii="Times New Roman" w:hAnsi="Times New Roman" w:cs="Times New Roman"/>
          <w:b/>
          <w:sz w:val="24"/>
          <w:szCs w:val="24"/>
        </w:rPr>
      </w:pPr>
    </w:p>
    <w:p w:rsidR="00440957" w:rsidRDefault="00440957" w:rsidP="00A16475">
      <w:pPr>
        <w:pStyle w:val="NoSpacing"/>
        <w:ind w:left="720"/>
        <w:rPr>
          <w:rFonts w:ascii="Times New Roman" w:hAnsi="Times New Roman" w:cs="Times New Roman"/>
          <w:b/>
          <w:sz w:val="24"/>
          <w:szCs w:val="24"/>
        </w:rPr>
      </w:pPr>
    </w:p>
    <w:p w:rsidR="00037168" w:rsidRDefault="00037168" w:rsidP="00C92AEF">
      <w:pPr>
        <w:pStyle w:val="NoSpacing"/>
        <w:ind w:left="720"/>
        <w:rPr>
          <w:rFonts w:ascii="Times New Roman" w:eastAsia="Times New Roman" w:hAnsi="Times New Roman" w:cs="Times New Roman"/>
          <w:sz w:val="24"/>
          <w:szCs w:val="24"/>
        </w:rPr>
      </w:pPr>
      <w:proofErr w:type="gramStart"/>
      <w:r w:rsidRPr="00C92AEF">
        <w:rPr>
          <w:rFonts w:ascii="Times New Roman" w:eastAsia="Times New Roman" w:hAnsi="Times New Roman" w:cs="Times New Roman"/>
          <w:b/>
          <w:sz w:val="24"/>
          <w:szCs w:val="24"/>
        </w:rPr>
        <w:t xml:space="preserve">Example </w:t>
      </w:r>
      <w:r w:rsidR="000F42B7">
        <w:rPr>
          <w:rFonts w:ascii="Times New Roman" w:eastAsia="Times New Roman" w:hAnsi="Times New Roman" w:cs="Times New Roman"/>
          <w:b/>
          <w:sz w:val="24"/>
          <w:szCs w:val="24"/>
        </w:rPr>
        <w:t>5</w:t>
      </w:r>
      <w:r w:rsidRPr="00C92AEF">
        <w:rPr>
          <w:rFonts w:ascii="Times New Roman" w:eastAsia="Times New Roman" w:hAnsi="Times New Roman" w:cs="Times New Roman"/>
          <w:b/>
          <w:sz w:val="24"/>
          <w:szCs w:val="24"/>
        </w:rPr>
        <w:t>.</w:t>
      </w:r>
      <w:proofErr w:type="gramEnd"/>
      <w:r w:rsidR="00C92AEF" w:rsidRPr="00C92AEF">
        <w:rPr>
          <w:rFonts w:ascii="Times New Roman" w:eastAsia="Times New Roman" w:hAnsi="Times New Roman" w:cs="Times New Roman"/>
          <w:sz w:val="24"/>
          <w:szCs w:val="24"/>
        </w:rPr>
        <w:t xml:space="preserve">  </w:t>
      </w:r>
      <w:r w:rsidRPr="00C92AEF">
        <w:rPr>
          <w:rFonts w:ascii="Times New Roman" w:eastAsia="Times New Roman" w:hAnsi="Times New Roman" w:cs="Times New Roman"/>
          <w:sz w:val="24"/>
          <w:szCs w:val="24"/>
        </w:rPr>
        <w:t>An employer sponsors a defined benefit plan with a plan year ending on December 31, 201</w:t>
      </w:r>
      <w:r w:rsidR="00C92AEF">
        <w:rPr>
          <w:rFonts w:ascii="Times New Roman" w:eastAsia="Times New Roman" w:hAnsi="Times New Roman" w:cs="Times New Roman"/>
          <w:sz w:val="24"/>
          <w:szCs w:val="24"/>
        </w:rPr>
        <w:t>3</w:t>
      </w:r>
      <w:r w:rsidRPr="00C92AEF">
        <w:rPr>
          <w:rFonts w:ascii="Times New Roman" w:eastAsia="Times New Roman" w:hAnsi="Times New Roman" w:cs="Times New Roman"/>
          <w:sz w:val="24"/>
          <w:szCs w:val="24"/>
        </w:rPr>
        <w:t>:</w:t>
      </w:r>
    </w:p>
    <w:p w:rsidR="00C92AEF" w:rsidRPr="00C92AEF" w:rsidRDefault="00C92AEF" w:rsidP="00C92AEF">
      <w:pPr>
        <w:pStyle w:val="NoSpacing"/>
        <w:ind w:left="720"/>
        <w:rPr>
          <w:rFonts w:ascii="Times New Roman" w:eastAsia="Times New Roman" w:hAnsi="Times New Roman" w:cs="Times New Roman"/>
          <w:sz w:val="24"/>
          <w:szCs w:val="24"/>
        </w:rPr>
      </w:pPr>
    </w:p>
    <w:tbl>
      <w:tblPr>
        <w:tblW w:w="10368" w:type="dxa"/>
        <w:jc w:val="center"/>
        <w:tblLayout w:type="fixed"/>
        <w:tblCellMar>
          <w:left w:w="0" w:type="dxa"/>
          <w:right w:w="0" w:type="dxa"/>
        </w:tblCellMar>
        <w:tblLook w:val="0000" w:firstRow="0" w:lastRow="0" w:firstColumn="0" w:lastColumn="0" w:noHBand="0" w:noVBand="0"/>
      </w:tblPr>
      <w:tblGrid>
        <w:gridCol w:w="1046"/>
        <w:gridCol w:w="1132"/>
        <w:gridCol w:w="630"/>
        <w:gridCol w:w="1260"/>
        <w:gridCol w:w="598"/>
        <w:gridCol w:w="572"/>
        <w:gridCol w:w="1440"/>
        <w:gridCol w:w="1170"/>
        <w:gridCol w:w="1260"/>
        <w:gridCol w:w="1260"/>
      </w:tblGrid>
      <w:tr w:rsidR="00037168" w:rsidRPr="00C92AEF" w:rsidTr="00C92AEF">
        <w:trPr>
          <w:trHeight w:val="264"/>
          <w:jc w:val="center"/>
        </w:trPr>
        <w:tc>
          <w:tcPr>
            <w:tcW w:w="10368" w:type="dxa"/>
            <w:gridSpan w:val="10"/>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037168" w:rsidRPr="00C92AEF" w:rsidRDefault="00037168" w:rsidP="00C92AEF">
            <w:pPr>
              <w:pStyle w:val="TableHead"/>
              <w:rPr>
                <w:rFonts w:ascii="Times New Roman" w:hAnsi="Times New Roman" w:cs="Times New Roman"/>
                <w:sz w:val="24"/>
                <w:szCs w:val="24"/>
              </w:rPr>
            </w:pPr>
            <w:r w:rsidRPr="00C92AEF">
              <w:rPr>
                <w:rFonts w:ascii="Times New Roman" w:hAnsi="Times New Roman" w:cs="Times New Roman"/>
                <w:sz w:val="24"/>
                <w:szCs w:val="24"/>
              </w:rPr>
              <w:t xml:space="preserve">Table </w:t>
            </w:r>
            <w:r w:rsidR="00C92AEF">
              <w:rPr>
                <w:rFonts w:ascii="Times New Roman" w:hAnsi="Times New Roman" w:cs="Times New Roman"/>
                <w:sz w:val="24"/>
                <w:szCs w:val="24"/>
              </w:rPr>
              <w:t>5</w:t>
            </w:r>
            <w:r w:rsidRPr="00C92AEF">
              <w:rPr>
                <w:rFonts w:ascii="Times New Roman" w:hAnsi="Times New Roman" w:cs="Times New Roman"/>
                <w:sz w:val="24"/>
                <w:szCs w:val="24"/>
              </w:rPr>
              <w:t>-1. Determination of Top-Heavy Benefits in a Defined Benefit Plan</w:t>
            </w:r>
          </w:p>
        </w:tc>
      </w:tr>
      <w:tr w:rsidR="00037168" w:rsidRPr="00C92AEF" w:rsidTr="00C92AEF">
        <w:trPr>
          <w:trHeight w:val="264"/>
          <w:jc w:val="center"/>
        </w:trPr>
        <w:tc>
          <w:tcPr>
            <w:tcW w:w="466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7168" w:rsidRPr="00C92AEF" w:rsidRDefault="00037168" w:rsidP="00091CF4">
            <w:pPr>
              <w:suppressAutoHyphens/>
            </w:pPr>
            <w:r w:rsidRPr="00C92AEF">
              <w:t>Retirement benefit formula</w:t>
            </w:r>
          </w:p>
        </w:tc>
        <w:tc>
          <w:tcPr>
            <w:tcW w:w="570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7168" w:rsidRPr="00C92AEF" w:rsidRDefault="00037168" w:rsidP="000F42B7">
            <w:pPr>
              <w:suppressAutoHyphens/>
            </w:pPr>
            <w:r w:rsidRPr="00C92AEF">
              <w:t>50% of compensation</w:t>
            </w:r>
          </w:p>
        </w:tc>
      </w:tr>
      <w:tr w:rsidR="00037168" w:rsidRPr="00C92AEF" w:rsidTr="00C92AEF">
        <w:trPr>
          <w:trHeight w:val="259"/>
          <w:jc w:val="center"/>
        </w:trPr>
        <w:tc>
          <w:tcPr>
            <w:tcW w:w="4666" w:type="dxa"/>
            <w:gridSpan w:val="5"/>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037168" w:rsidRPr="00C92AEF" w:rsidRDefault="00037168" w:rsidP="000F42B7">
            <w:pPr>
              <w:suppressAutoHyphens/>
            </w:pPr>
            <w:r w:rsidRPr="00C92AEF">
              <w:t>Benefit accruals:</w:t>
            </w:r>
          </w:p>
        </w:tc>
        <w:tc>
          <w:tcPr>
            <w:tcW w:w="5702" w:type="dxa"/>
            <w:gridSpan w:val="5"/>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037168" w:rsidRPr="00C92AEF" w:rsidRDefault="00037168" w:rsidP="000F42B7">
            <w:pPr>
              <w:suppressAutoHyphens/>
            </w:pPr>
            <w:r w:rsidRPr="00C92AEF">
              <w:t>Based on total years of participation</w:t>
            </w:r>
          </w:p>
        </w:tc>
      </w:tr>
      <w:tr w:rsidR="00037168" w:rsidRPr="00C92AEF" w:rsidTr="00C92AEF">
        <w:trPr>
          <w:trHeight w:val="179"/>
          <w:jc w:val="center"/>
        </w:trPr>
        <w:tc>
          <w:tcPr>
            <w:tcW w:w="10368"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7168" w:rsidRPr="00C92AEF" w:rsidRDefault="00037168" w:rsidP="000F42B7">
            <w:pPr>
              <w:pStyle w:val="NoParagraphStyle"/>
              <w:spacing w:line="240" w:lineRule="auto"/>
              <w:textAlignment w:val="auto"/>
              <w:rPr>
                <w:rFonts w:ascii="Times New Roman" w:hAnsi="Times New Roman" w:cs="Times New Roman"/>
                <w:color w:val="auto"/>
              </w:rPr>
            </w:pPr>
          </w:p>
        </w:tc>
      </w:tr>
      <w:tr w:rsidR="00C92AEF" w:rsidRPr="00C92AEF" w:rsidTr="00C92AEF">
        <w:trPr>
          <w:trHeight w:val="931"/>
          <w:jc w:val="center"/>
        </w:trPr>
        <w:tc>
          <w:tcPr>
            <w:tcW w:w="1046"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037168" w:rsidRPr="00C92AEF" w:rsidRDefault="00037168" w:rsidP="000F42B7">
            <w:pPr>
              <w:suppressAutoHyphens/>
              <w:jc w:val="center"/>
            </w:pPr>
            <w:r w:rsidRPr="00C92AEF">
              <w:rPr>
                <w:b/>
                <w:bCs/>
              </w:rPr>
              <w:t>Name</w:t>
            </w:r>
          </w:p>
        </w:tc>
        <w:tc>
          <w:tcPr>
            <w:tcW w:w="1132"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037168" w:rsidRPr="00C92AEF" w:rsidRDefault="00037168" w:rsidP="00CA0FA3">
            <w:pPr>
              <w:suppressAutoHyphens/>
              <w:jc w:val="center"/>
            </w:pPr>
            <w:r w:rsidRPr="00C92AEF">
              <w:rPr>
                <w:b/>
                <w:bCs/>
              </w:rPr>
              <w:t xml:space="preserve">Date </w:t>
            </w:r>
            <w:r w:rsidR="00CA0FA3">
              <w:rPr>
                <w:b/>
                <w:bCs/>
              </w:rPr>
              <w:t>o</w:t>
            </w:r>
            <w:r w:rsidRPr="00C92AEF">
              <w:rPr>
                <w:b/>
                <w:bCs/>
              </w:rPr>
              <w:t xml:space="preserve">f </w:t>
            </w:r>
            <w:proofErr w:type="spellStart"/>
            <w:r w:rsidRPr="00C92AEF">
              <w:rPr>
                <w:b/>
                <w:bCs/>
              </w:rPr>
              <w:t>Partic</w:t>
            </w:r>
            <w:r w:rsidR="00C92AEF">
              <w:rPr>
                <w:b/>
                <w:bCs/>
              </w:rPr>
              <w:t>-</w:t>
            </w:r>
            <w:r w:rsidRPr="00C92AEF">
              <w:rPr>
                <w:b/>
                <w:bCs/>
              </w:rPr>
              <w:t>ipation</w:t>
            </w:r>
            <w:proofErr w:type="spellEnd"/>
          </w:p>
        </w:tc>
        <w:tc>
          <w:tcPr>
            <w:tcW w:w="63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037168" w:rsidRPr="00C92AEF" w:rsidRDefault="00037168" w:rsidP="000F42B7">
            <w:pPr>
              <w:suppressAutoHyphens/>
              <w:jc w:val="center"/>
            </w:pPr>
            <w:r w:rsidRPr="00C92AEF">
              <w:rPr>
                <w:b/>
                <w:bCs/>
              </w:rPr>
              <w:t>Age</w:t>
            </w:r>
          </w:p>
        </w:tc>
        <w:tc>
          <w:tcPr>
            <w:tcW w:w="126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037168" w:rsidRPr="00C92AEF" w:rsidRDefault="00037168" w:rsidP="000F42B7">
            <w:pPr>
              <w:suppressAutoHyphens/>
              <w:jc w:val="center"/>
              <w:rPr>
                <w:b/>
                <w:bCs/>
              </w:rPr>
            </w:pPr>
            <w:r w:rsidRPr="00C92AEF">
              <w:rPr>
                <w:b/>
                <w:bCs/>
              </w:rPr>
              <w:t>Officer/</w:t>
            </w:r>
          </w:p>
          <w:p w:rsidR="00037168" w:rsidRPr="00C92AEF" w:rsidRDefault="00037168" w:rsidP="000F42B7">
            <w:pPr>
              <w:suppressAutoHyphens/>
              <w:jc w:val="center"/>
            </w:pPr>
            <w:r w:rsidRPr="00C92AEF">
              <w:rPr>
                <w:b/>
                <w:bCs/>
              </w:rPr>
              <w:t>Owner</w:t>
            </w:r>
          </w:p>
        </w:tc>
        <w:tc>
          <w:tcPr>
            <w:tcW w:w="1170" w:type="dxa"/>
            <w:gridSpan w:val="2"/>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037168" w:rsidRPr="00C92AEF" w:rsidRDefault="00037168" w:rsidP="000F42B7">
            <w:pPr>
              <w:suppressAutoHyphens/>
              <w:jc w:val="center"/>
            </w:pPr>
            <w:r w:rsidRPr="00C92AEF">
              <w:rPr>
                <w:b/>
                <w:bCs/>
              </w:rPr>
              <w:t>Monthly Salary</w:t>
            </w:r>
          </w:p>
        </w:tc>
        <w:tc>
          <w:tcPr>
            <w:tcW w:w="144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037168" w:rsidRPr="00C92AEF" w:rsidRDefault="00037168" w:rsidP="000F42B7">
            <w:pPr>
              <w:suppressAutoHyphens/>
              <w:jc w:val="center"/>
            </w:pPr>
            <w:r w:rsidRPr="00C92AEF">
              <w:rPr>
                <w:b/>
                <w:bCs/>
              </w:rPr>
              <w:t>Monthly Retirement Benefit</w:t>
            </w:r>
          </w:p>
        </w:tc>
        <w:tc>
          <w:tcPr>
            <w:tcW w:w="117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037168" w:rsidRPr="00C92AEF" w:rsidRDefault="00037168" w:rsidP="000F42B7">
            <w:pPr>
              <w:suppressAutoHyphens/>
              <w:jc w:val="center"/>
            </w:pPr>
            <w:r w:rsidRPr="00C92AEF">
              <w:rPr>
                <w:b/>
                <w:bCs/>
              </w:rPr>
              <w:t>Plan Accrued Benefit</w:t>
            </w:r>
          </w:p>
        </w:tc>
        <w:tc>
          <w:tcPr>
            <w:tcW w:w="126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037168" w:rsidRPr="00C92AEF" w:rsidRDefault="00037168" w:rsidP="000F42B7">
            <w:pPr>
              <w:suppressAutoHyphens/>
              <w:jc w:val="center"/>
            </w:pPr>
            <w:r w:rsidRPr="00C92AEF">
              <w:rPr>
                <w:b/>
                <w:bCs/>
              </w:rPr>
              <w:t>Top</w:t>
            </w:r>
            <w:r w:rsidR="000F42B7">
              <w:rPr>
                <w:b/>
                <w:bCs/>
              </w:rPr>
              <w:t>-</w:t>
            </w:r>
            <w:r w:rsidRPr="00C92AEF">
              <w:rPr>
                <w:b/>
                <w:bCs/>
              </w:rPr>
              <w:t xml:space="preserve"> Heavy Minimum Benefit</w:t>
            </w:r>
          </w:p>
        </w:tc>
        <w:tc>
          <w:tcPr>
            <w:tcW w:w="126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037168" w:rsidRPr="00C92AEF" w:rsidRDefault="00037168" w:rsidP="00CA0FA3">
            <w:pPr>
              <w:suppressAutoHyphens/>
              <w:jc w:val="center"/>
            </w:pPr>
            <w:r w:rsidRPr="00C92AEF">
              <w:rPr>
                <w:b/>
                <w:bCs/>
              </w:rPr>
              <w:t xml:space="preserve">Present Value </w:t>
            </w:r>
            <w:r w:rsidR="00CA0FA3">
              <w:rPr>
                <w:b/>
                <w:bCs/>
              </w:rPr>
              <w:t>o</w:t>
            </w:r>
            <w:r w:rsidRPr="00C92AEF">
              <w:rPr>
                <w:b/>
                <w:bCs/>
              </w:rPr>
              <w:t>f Accrued Benefit*</w:t>
            </w:r>
          </w:p>
        </w:tc>
      </w:tr>
      <w:tr w:rsidR="00C92AEF" w:rsidRPr="00C92AEF" w:rsidTr="00C92AEF">
        <w:trPr>
          <w:trHeight w:val="186"/>
          <w:jc w:val="center"/>
        </w:trPr>
        <w:tc>
          <w:tcPr>
            <w:tcW w:w="10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7168" w:rsidRPr="00C92AEF" w:rsidRDefault="00037168" w:rsidP="000F42B7">
            <w:pPr>
              <w:pStyle w:val="NoParagraphStyle"/>
              <w:spacing w:line="240" w:lineRule="auto"/>
              <w:textAlignment w:val="auto"/>
              <w:rPr>
                <w:rFonts w:ascii="Times New Roman" w:hAnsi="Times New Roman" w:cs="Times New Roman"/>
                <w:color w:val="auto"/>
              </w:rPr>
            </w:pP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7168" w:rsidRPr="00C92AEF" w:rsidRDefault="00037168" w:rsidP="000F42B7">
            <w:pPr>
              <w:pStyle w:val="NoParagraphStyle"/>
              <w:spacing w:line="240" w:lineRule="auto"/>
              <w:textAlignment w:val="auto"/>
              <w:rPr>
                <w:rFonts w:ascii="Times New Roman" w:hAnsi="Times New Roman" w:cs="Times New Roman"/>
                <w:color w:val="auto"/>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7168" w:rsidRPr="00C92AEF" w:rsidRDefault="00037168" w:rsidP="000F42B7">
            <w:pPr>
              <w:pStyle w:val="NoParagraphStyle"/>
              <w:spacing w:line="240" w:lineRule="auto"/>
              <w:textAlignment w:val="auto"/>
              <w:rPr>
                <w:rFonts w:ascii="Times New Roman" w:hAnsi="Times New Roman" w:cs="Times New Roman"/>
                <w:color w:val="auto"/>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7168" w:rsidRPr="00C92AEF" w:rsidRDefault="00037168" w:rsidP="000F42B7">
            <w:pPr>
              <w:pStyle w:val="NoParagraphStyle"/>
              <w:spacing w:line="240" w:lineRule="auto"/>
              <w:textAlignment w:val="auto"/>
              <w:rPr>
                <w:rFonts w:ascii="Times New Roman" w:hAnsi="Times New Roman" w:cs="Times New Roman"/>
                <w:color w:val="auto"/>
              </w:rPr>
            </w:pPr>
          </w:p>
        </w:tc>
        <w:tc>
          <w:tcPr>
            <w:tcW w:w="11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7168" w:rsidRPr="00C92AEF" w:rsidRDefault="00037168" w:rsidP="000F42B7">
            <w:pPr>
              <w:pStyle w:val="NoParagraphStyle"/>
              <w:spacing w:line="240" w:lineRule="auto"/>
              <w:textAlignment w:val="auto"/>
              <w:rPr>
                <w:rFonts w:ascii="Times New Roman" w:hAnsi="Times New Roman" w:cs="Times New Roman"/>
                <w:color w:val="auto"/>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7168" w:rsidRPr="00C92AEF" w:rsidRDefault="00037168" w:rsidP="000F42B7">
            <w:pPr>
              <w:pStyle w:val="NoParagraphStyle"/>
              <w:spacing w:line="240" w:lineRule="auto"/>
              <w:textAlignment w:val="auto"/>
              <w:rPr>
                <w:rFonts w:ascii="Times New Roman" w:hAnsi="Times New Roman" w:cs="Times New Roman"/>
                <w:color w:val="auto"/>
              </w:rPr>
            </w:pP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7168" w:rsidRPr="00C92AEF" w:rsidRDefault="00037168" w:rsidP="000F42B7">
            <w:pPr>
              <w:pStyle w:val="NoParagraphStyle"/>
              <w:spacing w:line="240" w:lineRule="auto"/>
              <w:textAlignment w:val="auto"/>
              <w:rPr>
                <w:rFonts w:ascii="Times New Roman" w:hAnsi="Times New Roman" w:cs="Times New Roman"/>
                <w:color w:val="auto"/>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7168" w:rsidRPr="00C92AEF" w:rsidRDefault="00037168" w:rsidP="000F42B7">
            <w:pPr>
              <w:pStyle w:val="NoParagraphStyle"/>
              <w:spacing w:line="240" w:lineRule="auto"/>
              <w:textAlignment w:val="auto"/>
              <w:rPr>
                <w:rFonts w:ascii="Times New Roman" w:hAnsi="Times New Roman" w:cs="Times New Roman"/>
                <w:color w:val="auto"/>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7168" w:rsidRPr="00C92AEF" w:rsidRDefault="00037168" w:rsidP="000F42B7">
            <w:pPr>
              <w:pStyle w:val="NoParagraphStyle"/>
              <w:spacing w:line="240" w:lineRule="auto"/>
              <w:textAlignment w:val="auto"/>
              <w:rPr>
                <w:rFonts w:ascii="Times New Roman" w:hAnsi="Times New Roman" w:cs="Times New Roman"/>
                <w:color w:val="auto"/>
              </w:rPr>
            </w:pPr>
          </w:p>
        </w:tc>
      </w:tr>
      <w:tr w:rsidR="00C92AEF" w:rsidRPr="00C92AEF" w:rsidTr="00C92AEF">
        <w:trPr>
          <w:trHeight w:val="279"/>
          <w:jc w:val="center"/>
        </w:trPr>
        <w:tc>
          <w:tcPr>
            <w:tcW w:w="1046"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037168" w:rsidRPr="00C92AEF" w:rsidRDefault="00037168" w:rsidP="000F42B7">
            <w:pPr>
              <w:suppressAutoHyphens/>
            </w:pPr>
            <w:r w:rsidRPr="00C92AEF">
              <w:t>John</w:t>
            </w:r>
          </w:p>
        </w:tc>
        <w:tc>
          <w:tcPr>
            <w:tcW w:w="1132"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037168" w:rsidRPr="00C92AEF" w:rsidRDefault="00037168" w:rsidP="00D8574F">
            <w:pPr>
              <w:suppressAutoHyphens/>
              <w:jc w:val="center"/>
            </w:pPr>
            <w:r w:rsidRPr="00C92AEF">
              <w:t>1/1/201</w:t>
            </w:r>
            <w:r w:rsidR="00D8574F">
              <w:t>3</w:t>
            </w:r>
          </w:p>
        </w:tc>
        <w:tc>
          <w:tcPr>
            <w:tcW w:w="63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037168" w:rsidRPr="00C92AEF" w:rsidRDefault="00037168" w:rsidP="000F42B7">
            <w:pPr>
              <w:suppressAutoHyphens/>
              <w:jc w:val="center"/>
            </w:pPr>
            <w:r w:rsidRPr="00C92AEF">
              <w:t>50</w:t>
            </w:r>
          </w:p>
        </w:tc>
        <w:tc>
          <w:tcPr>
            <w:tcW w:w="126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037168" w:rsidRPr="00C92AEF" w:rsidRDefault="00037168" w:rsidP="000F42B7">
            <w:pPr>
              <w:suppressAutoHyphens/>
              <w:jc w:val="center"/>
            </w:pPr>
            <w:proofErr w:type="spellStart"/>
            <w:r w:rsidRPr="00C92AEF">
              <w:t>Pres</w:t>
            </w:r>
            <w:proofErr w:type="spellEnd"/>
            <w:r w:rsidRPr="00C92AEF">
              <w:t>/50%</w:t>
            </w:r>
          </w:p>
        </w:tc>
        <w:tc>
          <w:tcPr>
            <w:tcW w:w="1170" w:type="dxa"/>
            <w:gridSpan w:val="2"/>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037168" w:rsidRPr="00C92AEF" w:rsidRDefault="00037168" w:rsidP="000F42B7">
            <w:pPr>
              <w:suppressAutoHyphens/>
              <w:jc w:val="right"/>
            </w:pPr>
            <w:r w:rsidRPr="00C92AEF">
              <w:t>$10,000</w:t>
            </w:r>
          </w:p>
        </w:tc>
        <w:tc>
          <w:tcPr>
            <w:tcW w:w="144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037168" w:rsidRPr="00C92AEF" w:rsidRDefault="00037168" w:rsidP="000F42B7">
            <w:pPr>
              <w:suppressAutoHyphens/>
              <w:jc w:val="center"/>
            </w:pPr>
            <w:r w:rsidRPr="00C92AEF">
              <w:t>$ 5,000</w:t>
            </w:r>
          </w:p>
        </w:tc>
        <w:tc>
          <w:tcPr>
            <w:tcW w:w="117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037168" w:rsidRPr="00C92AEF" w:rsidRDefault="00037168" w:rsidP="000F42B7">
            <w:pPr>
              <w:suppressAutoHyphens/>
              <w:jc w:val="center"/>
            </w:pPr>
            <w:r w:rsidRPr="00C92AEF">
              <w:t>$ 333</w:t>
            </w:r>
          </w:p>
        </w:tc>
        <w:tc>
          <w:tcPr>
            <w:tcW w:w="126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037168" w:rsidRPr="00C92AEF" w:rsidRDefault="00037168" w:rsidP="000F42B7">
            <w:pPr>
              <w:pStyle w:val="NoParagraphStyle"/>
              <w:spacing w:line="240" w:lineRule="auto"/>
              <w:textAlignment w:val="auto"/>
              <w:rPr>
                <w:rFonts w:ascii="Times New Roman" w:hAnsi="Times New Roman" w:cs="Times New Roman"/>
                <w:color w:val="auto"/>
              </w:rPr>
            </w:pPr>
          </w:p>
        </w:tc>
        <w:tc>
          <w:tcPr>
            <w:tcW w:w="126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037168" w:rsidRPr="00C92AEF" w:rsidRDefault="00037168" w:rsidP="000F42B7">
            <w:pPr>
              <w:suppressAutoHyphens/>
            </w:pPr>
            <w:r w:rsidRPr="00C92AEF">
              <w:t>$ 15,492</w:t>
            </w:r>
          </w:p>
        </w:tc>
      </w:tr>
      <w:tr w:rsidR="00C92AEF" w:rsidRPr="00C92AEF" w:rsidTr="00C92AEF">
        <w:trPr>
          <w:trHeight w:val="279"/>
          <w:jc w:val="center"/>
        </w:trPr>
        <w:tc>
          <w:tcPr>
            <w:tcW w:w="10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7168" w:rsidRPr="00C92AEF" w:rsidRDefault="00037168" w:rsidP="000F42B7">
            <w:pPr>
              <w:suppressAutoHyphens/>
            </w:pPr>
            <w:r w:rsidRPr="00C92AEF">
              <w:t>Samuel</w:t>
            </w: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7168" w:rsidRPr="00C92AEF" w:rsidRDefault="00037168" w:rsidP="00D8574F">
            <w:pPr>
              <w:suppressAutoHyphens/>
              <w:jc w:val="center"/>
            </w:pPr>
            <w:r w:rsidRPr="00C92AEF">
              <w:t>1/1/201</w:t>
            </w:r>
            <w:r w:rsidR="00D8574F">
              <w:t>3</w:t>
            </w: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7168" w:rsidRPr="00C92AEF" w:rsidRDefault="00037168" w:rsidP="000F42B7">
            <w:pPr>
              <w:suppressAutoHyphens/>
              <w:jc w:val="center"/>
            </w:pPr>
            <w:r w:rsidRPr="00C92AEF">
              <w:t>39</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7168" w:rsidRPr="00C92AEF" w:rsidRDefault="00037168" w:rsidP="000F42B7">
            <w:pPr>
              <w:suppressAutoHyphens/>
              <w:jc w:val="center"/>
            </w:pPr>
            <w:r w:rsidRPr="00C92AEF">
              <w:t>VP/50%</w:t>
            </w:r>
          </w:p>
        </w:tc>
        <w:tc>
          <w:tcPr>
            <w:tcW w:w="11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7168" w:rsidRPr="00C92AEF" w:rsidRDefault="00037168" w:rsidP="000F42B7">
            <w:pPr>
              <w:suppressAutoHyphens/>
              <w:jc w:val="right"/>
            </w:pPr>
            <w:r w:rsidRPr="00C92AEF">
              <w:t>$  7,500</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7168" w:rsidRPr="00C92AEF" w:rsidRDefault="00037168" w:rsidP="000F42B7">
            <w:pPr>
              <w:suppressAutoHyphens/>
              <w:jc w:val="center"/>
            </w:pPr>
            <w:r w:rsidRPr="00C92AEF">
              <w:t>$ 3,750</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7168" w:rsidRPr="00C92AEF" w:rsidRDefault="00037168" w:rsidP="000F42B7">
            <w:pPr>
              <w:suppressAutoHyphens/>
              <w:jc w:val="center"/>
            </w:pPr>
            <w:r w:rsidRPr="00C92AEF">
              <w:t>$ 144</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7168" w:rsidRPr="00C92AEF" w:rsidRDefault="004C23F3" w:rsidP="000F42B7">
            <w:pPr>
              <w:pStyle w:val="NoParagraphStyle"/>
              <w:spacing w:line="240" w:lineRule="auto"/>
              <w:textAlignment w:val="auto"/>
              <w:rPr>
                <w:rFonts w:ascii="Times New Roman" w:hAnsi="Times New Roman" w:cs="Times New Roman"/>
                <w:color w:val="auto"/>
              </w:rPr>
            </w:pPr>
            <w:r>
              <w:rPr>
                <w:rFonts w:ascii="Times New Roman" w:hAnsi="Times New Roman" w:cs="Times New Roman"/>
                <w:color w:val="auto"/>
              </w:rPr>
              <w:t xml:space="preserve"> </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7168" w:rsidRPr="00C92AEF" w:rsidRDefault="004C23F3" w:rsidP="004C23F3">
            <w:pPr>
              <w:suppressAutoHyphens/>
            </w:pPr>
            <w:r>
              <w:rPr>
                <w:u w:val="thick" w:color="000000"/>
              </w:rPr>
              <w:t xml:space="preserve">$   </w:t>
            </w:r>
            <w:r w:rsidR="00037168" w:rsidRPr="00C92AEF">
              <w:rPr>
                <w:u w:val="thick" w:color="000000"/>
              </w:rPr>
              <w:t>3,026</w:t>
            </w:r>
          </w:p>
        </w:tc>
      </w:tr>
      <w:tr w:rsidR="00C92AEF" w:rsidRPr="00C92AEF" w:rsidTr="00C92AEF">
        <w:trPr>
          <w:trHeight w:val="279"/>
          <w:jc w:val="center"/>
        </w:trPr>
        <w:tc>
          <w:tcPr>
            <w:tcW w:w="1046"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037168" w:rsidRPr="00C92AEF" w:rsidRDefault="00037168" w:rsidP="000F42B7">
            <w:pPr>
              <w:pStyle w:val="NoParagraphStyle"/>
              <w:spacing w:line="240" w:lineRule="auto"/>
              <w:textAlignment w:val="auto"/>
              <w:rPr>
                <w:rFonts w:ascii="Times New Roman" w:hAnsi="Times New Roman" w:cs="Times New Roman"/>
                <w:color w:val="auto"/>
              </w:rPr>
            </w:pPr>
          </w:p>
        </w:tc>
        <w:tc>
          <w:tcPr>
            <w:tcW w:w="1132"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037168" w:rsidRPr="00C92AEF" w:rsidRDefault="00037168" w:rsidP="000F42B7">
            <w:pPr>
              <w:pStyle w:val="NoParagraphStyle"/>
              <w:spacing w:line="240" w:lineRule="auto"/>
              <w:textAlignment w:val="auto"/>
              <w:rPr>
                <w:rFonts w:ascii="Times New Roman" w:hAnsi="Times New Roman" w:cs="Times New Roman"/>
                <w:color w:val="auto"/>
              </w:rPr>
            </w:pPr>
          </w:p>
        </w:tc>
        <w:tc>
          <w:tcPr>
            <w:tcW w:w="63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037168" w:rsidRPr="00C92AEF" w:rsidRDefault="00037168" w:rsidP="000F42B7">
            <w:pPr>
              <w:pStyle w:val="NoParagraphStyle"/>
              <w:spacing w:line="240" w:lineRule="auto"/>
              <w:textAlignment w:val="auto"/>
              <w:rPr>
                <w:rFonts w:ascii="Times New Roman" w:hAnsi="Times New Roman" w:cs="Times New Roman"/>
                <w:color w:val="auto"/>
              </w:rPr>
            </w:pPr>
          </w:p>
        </w:tc>
        <w:tc>
          <w:tcPr>
            <w:tcW w:w="126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037168" w:rsidRPr="00C92AEF" w:rsidRDefault="00037168" w:rsidP="000F42B7">
            <w:pPr>
              <w:pStyle w:val="NoParagraphStyle"/>
              <w:spacing w:line="240" w:lineRule="auto"/>
              <w:textAlignment w:val="auto"/>
              <w:rPr>
                <w:rFonts w:ascii="Times New Roman" w:hAnsi="Times New Roman" w:cs="Times New Roman"/>
                <w:color w:val="auto"/>
              </w:rPr>
            </w:pPr>
          </w:p>
        </w:tc>
        <w:tc>
          <w:tcPr>
            <w:tcW w:w="1170" w:type="dxa"/>
            <w:gridSpan w:val="2"/>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037168" w:rsidRPr="00C92AEF" w:rsidRDefault="00037168" w:rsidP="000F42B7">
            <w:pPr>
              <w:pStyle w:val="NoParagraphStyle"/>
              <w:spacing w:line="240" w:lineRule="auto"/>
              <w:textAlignment w:val="auto"/>
              <w:rPr>
                <w:rFonts w:ascii="Times New Roman" w:hAnsi="Times New Roman" w:cs="Times New Roman"/>
                <w:color w:val="auto"/>
              </w:rPr>
            </w:pPr>
          </w:p>
        </w:tc>
        <w:tc>
          <w:tcPr>
            <w:tcW w:w="144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037168" w:rsidRPr="00C92AEF" w:rsidRDefault="00037168" w:rsidP="000F42B7">
            <w:pPr>
              <w:pStyle w:val="NoParagraphStyle"/>
              <w:spacing w:line="240" w:lineRule="auto"/>
              <w:textAlignment w:val="auto"/>
              <w:rPr>
                <w:rFonts w:ascii="Times New Roman" w:hAnsi="Times New Roman" w:cs="Times New Roman"/>
                <w:color w:val="auto"/>
              </w:rPr>
            </w:pPr>
          </w:p>
        </w:tc>
        <w:tc>
          <w:tcPr>
            <w:tcW w:w="117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037168" w:rsidRPr="00C92AEF" w:rsidRDefault="00037168" w:rsidP="000F42B7">
            <w:pPr>
              <w:pStyle w:val="NoParagraphStyle"/>
              <w:spacing w:line="240" w:lineRule="auto"/>
              <w:textAlignment w:val="auto"/>
              <w:rPr>
                <w:rFonts w:ascii="Times New Roman" w:hAnsi="Times New Roman" w:cs="Times New Roman"/>
                <w:color w:val="auto"/>
              </w:rPr>
            </w:pPr>
          </w:p>
        </w:tc>
        <w:tc>
          <w:tcPr>
            <w:tcW w:w="126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037168" w:rsidRPr="00C92AEF" w:rsidRDefault="00037168" w:rsidP="000F42B7">
            <w:pPr>
              <w:pStyle w:val="NoParagraphStyle"/>
              <w:spacing w:line="240" w:lineRule="auto"/>
              <w:textAlignment w:val="auto"/>
              <w:rPr>
                <w:rFonts w:ascii="Times New Roman" w:hAnsi="Times New Roman" w:cs="Times New Roman"/>
                <w:color w:val="auto"/>
              </w:rPr>
            </w:pPr>
          </w:p>
        </w:tc>
        <w:tc>
          <w:tcPr>
            <w:tcW w:w="126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037168" w:rsidRPr="00C92AEF" w:rsidRDefault="00037168" w:rsidP="000F42B7">
            <w:pPr>
              <w:suppressAutoHyphens/>
            </w:pPr>
            <w:r w:rsidRPr="00C92AEF">
              <w:t>$ 18,518</w:t>
            </w:r>
          </w:p>
        </w:tc>
      </w:tr>
      <w:tr w:rsidR="00037168" w:rsidRPr="00C92AEF" w:rsidTr="00C92AEF">
        <w:trPr>
          <w:trHeight w:val="272"/>
          <w:jc w:val="center"/>
        </w:trPr>
        <w:tc>
          <w:tcPr>
            <w:tcW w:w="7848"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7168" w:rsidRPr="00C92AEF" w:rsidRDefault="00037168" w:rsidP="005242F8">
            <w:pPr>
              <w:suppressAutoHyphens/>
              <w:jc w:val="right"/>
            </w:pPr>
            <w:r w:rsidRPr="00C92AEF">
              <w:rPr>
                <w:b/>
                <w:bCs/>
              </w:rPr>
              <w:t>Top</w:t>
            </w:r>
            <w:r w:rsidR="005242F8">
              <w:rPr>
                <w:b/>
                <w:bCs/>
              </w:rPr>
              <w:t>-</w:t>
            </w:r>
            <w:r w:rsidRPr="00C92AEF">
              <w:rPr>
                <w:b/>
                <w:bCs/>
              </w:rPr>
              <w:t>Heavy Percentage</w:t>
            </w:r>
          </w:p>
        </w:tc>
        <w:tc>
          <w:tcPr>
            <w:tcW w:w="25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7168" w:rsidRPr="00C92AEF" w:rsidRDefault="00037168" w:rsidP="000F42B7">
            <w:pPr>
              <w:suppressAutoHyphens/>
            </w:pPr>
            <w:r w:rsidRPr="00C92AEF">
              <w:rPr>
                <w:b/>
                <w:bCs/>
              </w:rPr>
              <w:t>64.62%</w:t>
            </w:r>
          </w:p>
        </w:tc>
      </w:tr>
      <w:tr w:rsidR="00C92AEF" w:rsidRPr="00C92AEF" w:rsidTr="00C92AEF">
        <w:trPr>
          <w:trHeight w:val="296"/>
          <w:jc w:val="center"/>
        </w:trPr>
        <w:tc>
          <w:tcPr>
            <w:tcW w:w="1046"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037168" w:rsidRPr="00C92AEF" w:rsidRDefault="00037168" w:rsidP="000F42B7">
            <w:pPr>
              <w:suppressAutoHyphens/>
            </w:pPr>
            <w:r w:rsidRPr="00C92AEF">
              <w:t>Mark</w:t>
            </w:r>
          </w:p>
        </w:tc>
        <w:tc>
          <w:tcPr>
            <w:tcW w:w="1132"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037168" w:rsidRPr="00C92AEF" w:rsidRDefault="00037168" w:rsidP="00D8574F">
            <w:pPr>
              <w:suppressAutoHyphens/>
              <w:jc w:val="center"/>
            </w:pPr>
            <w:r w:rsidRPr="00C92AEF">
              <w:t>1/1/201</w:t>
            </w:r>
            <w:r w:rsidR="00D8574F">
              <w:t>3</w:t>
            </w:r>
          </w:p>
        </w:tc>
        <w:tc>
          <w:tcPr>
            <w:tcW w:w="63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037168" w:rsidRPr="00C92AEF" w:rsidRDefault="00037168" w:rsidP="000F42B7">
            <w:pPr>
              <w:suppressAutoHyphens/>
              <w:jc w:val="center"/>
            </w:pPr>
            <w:r w:rsidRPr="00C92AEF">
              <w:t>27</w:t>
            </w:r>
          </w:p>
        </w:tc>
        <w:tc>
          <w:tcPr>
            <w:tcW w:w="126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037168" w:rsidRPr="00C92AEF" w:rsidRDefault="00037168" w:rsidP="000F42B7">
            <w:pPr>
              <w:pStyle w:val="NoParagraphStyle"/>
              <w:spacing w:line="240" w:lineRule="auto"/>
              <w:textAlignment w:val="auto"/>
              <w:rPr>
                <w:rFonts w:ascii="Times New Roman" w:hAnsi="Times New Roman" w:cs="Times New Roman"/>
                <w:color w:val="auto"/>
              </w:rPr>
            </w:pPr>
          </w:p>
        </w:tc>
        <w:tc>
          <w:tcPr>
            <w:tcW w:w="1170" w:type="dxa"/>
            <w:gridSpan w:val="2"/>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037168" w:rsidRPr="00C92AEF" w:rsidRDefault="00037168" w:rsidP="000F42B7">
            <w:pPr>
              <w:suppressAutoHyphens/>
              <w:jc w:val="right"/>
            </w:pPr>
            <w:r w:rsidRPr="00C92AEF">
              <w:t>$  2,500</w:t>
            </w:r>
          </w:p>
        </w:tc>
        <w:tc>
          <w:tcPr>
            <w:tcW w:w="144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037168" w:rsidRPr="00C92AEF" w:rsidRDefault="00037168" w:rsidP="000F42B7">
            <w:pPr>
              <w:suppressAutoHyphens/>
              <w:jc w:val="center"/>
            </w:pPr>
            <w:r w:rsidRPr="00C92AEF">
              <w:t>$ 1,250</w:t>
            </w:r>
          </w:p>
        </w:tc>
        <w:tc>
          <w:tcPr>
            <w:tcW w:w="117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037168" w:rsidRPr="00C92AEF" w:rsidRDefault="00037168" w:rsidP="000F42B7">
            <w:pPr>
              <w:suppressAutoHyphens/>
              <w:jc w:val="center"/>
            </w:pPr>
            <w:r w:rsidRPr="00C92AEF">
              <w:t>$  33</w:t>
            </w:r>
          </w:p>
        </w:tc>
        <w:tc>
          <w:tcPr>
            <w:tcW w:w="126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037168" w:rsidRPr="00C92AEF" w:rsidRDefault="00037168" w:rsidP="000F42B7">
            <w:pPr>
              <w:suppressAutoHyphens/>
              <w:jc w:val="center"/>
            </w:pPr>
            <w:r w:rsidRPr="00C92AEF">
              <w:t>$  50</w:t>
            </w:r>
          </w:p>
        </w:tc>
        <w:tc>
          <w:tcPr>
            <w:tcW w:w="126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037168" w:rsidRPr="00C92AEF" w:rsidRDefault="00037168" w:rsidP="000F42B7">
            <w:pPr>
              <w:suppressAutoHyphens/>
            </w:pPr>
            <w:r w:rsidRPr="00C92AEF">
              <w:t>$      440</w:t>
            </w:r>
          </w:p>
        </w:tc>
      </w:tr>
      <w:tr w:rsidR="00C92AEF" w:rsidRPr="00C92AEF" w:rsidTr="00C92AEF">
        <w:trPr>
          <w:trHeight w:val="279"/>
          <w:jc w:val="center"/>
        </w:trPr>
        <w:tc>
          <w:tcPr>
            <w:tcW w:w="10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7168" w:rsidRPr="00C92AEF" w:rsidRDefault="00037168" w:rsidP="000F42B7">
            <w:pPr>
              <w:suppressAutoHyphens/>
            </w:pPr>
            <w:r w:rsidRPr="00C92AEF">
              <w:t>Howard</w:t>
            </w: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7168" w:rsidRPr="00C92AEF" w:rsidRDefault="00037168" w:rsidP="00D8574F">
            <w:pPr>
              <w:suppressAutoHyphens/>
              <w:jc w:val="center"/>
            </w:pPr>
            <w:r w:rsidRPr="00C92AEF">
              <w:t>1/1/201</w:t>
            </w:r>
            <w:r w:rsidR="00D8574F">
              <w:t>3</w:t>
            </w: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7168" w:rsidRPr="00C92AEF" w:rsidRDefault="00037168" w:rsidP="000F42B7">
            <w:pPr>
              <w:suppressAutoHyphens/>
              <w:jc w:val="center"/>
            </w:pPr>
            <w:r w:rsidRPr="00C92AEF">
              <w:t>32</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7168" w:rsidRPr="00C92AEF" w:rsidRDefault="00037168" w:rsidP="000F42B7">
            <w:pPr>
              <w:pStyle w:val="NoParagraphStyle"/>
              <w:spacing w:line="240" w:lineRule="auto"/>
              <w:textAlignment w:val="auto"/>
              <w:rPr>
                <w:rFonts w:ascii="Times New Roman" w:hAnsi="Times New Roman" w:cs="Times New Roman"/>
                <w:color w:val="auto"/>
              </w:rPr>
            </w:pPr>
          </w:p>
        </w:tc>
        <w:tc>
          <w:tcPr>
            <w:tcW w:w="11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7168" w:rsidRPr="00C92AEF" w:rsidRDefault="00037168" w:rsidP="000F42B7">
            <w:pPr>
              <w:suppressAutoHyphens/>
              <w:jc w:val="right"/>
            </w:pPr>
            <w:r w:rsidRPr="00C92AEF">
              <w:t>$  3,200</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7168" w:rsidRPr="00C92AEF" w:rsidRDefault="00037168" w:rsidP="000F42B7">
            <w:pPr>
              <w:suppressAutoHyphens/>
              <w:jc w:val="center"/>
            </w:pPr>
            <w:r w:rsidRPr="00C92AEF">
              <w:t>$ 1,600</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7168" w:rsidRPr="00C92AEF" w:rsidRDefault="00037168" w:rsidP="000F42B7">
            <w:pPr>
              <w:suppressAutoHyphens/>
              <w:jc w:val="center"/>
            </w:pPr>
            <w:r w:rsidRPr="00C92AEF">
              <w:t>$  48</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7168" w:rsidRPr="00C92AEF" w:rsidRDefault="00037168" w:rsidP="000F42B7">
            <w:pPr>
              <w:suppressAutoHyphens/>
              <w:jc w:val="center"/>
            </w:pPr>
            <w:r w:rsidRPr="00C92AEF">
              <w:t>$  64</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7168" w:rsidRPr="00C92AEF" w:rsidRDefault="004C23F3" w:rsidP="000F42B7">
            <w:pPr>
              <w:suppressAutoHyphens/>
            </w:pPr>
            <w:r>
              <w:t xml:space="preserve">$      </w:t>
            </w:r>
            <w:r w:rsidR="00037168" w:rsidRPr="00C92AEF">
              <w:t>809</w:t>
            </w:r>
          </w:p>
        </w:tc>
      </w:tr>
      <w:tr w:rsidR="00C92AEF" w:rsidRPr="00C92AEF" w:rsidTr="00C92AEF">
        <w:trPr>
          <w:trHeight w:val="279"/>
          <w:jc w:val="center"/>
        </w:trPr>
        <w:tc>
          <w:tcPr>
            <w:tcW w:w="1046"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037168" w:rsidRPr="00C92AEF" w:rsidRDefault="00037168" w:rsidP="000F42B7">
            <w:pPr>
              <w:suppressAutoHyphens/>
            </w:pPr>
            <w:r w:rsidRPr="00C92AEF">
              <w:t>Scott</w:t>
            </w:r>
          </w:p>
        </w:tc>
        <w:tc>
          <w:tcPr>
            <w:tcW w:w="1132"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037168" w:rsidRPr="00C92AEF" w:rsidRDefault="00037168" w:rsidP="00D8574F">
            <w:pPr>
              <w:suppressAutoHyphens/>
              <w:jc w:val="center"/>
            </w:pPr>
            <w:r w:rsidRPr="00C92AEF">
              <w:t>1/1/201</w:t>
            </w:r>
            <w:r w:rsidR="00D8574F">
              <w:t>3</w:t>
            </w:r>
          </w:p>
        </w:tc>
        <w:tc>
          <w:tcPr>
            <w:tcW w:w="63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037168" w:rsidRPr="00C92AEF" w:rsidRDefault="00037168" w:rsidP="000F42B7">
            <w:pPr>
              <w:suppressAutoHyphens/>
              <w:jc w:val="center"/>
            </w:pPr>
            <w:r w:rsidRPr="00C92AEF">
              <w:t>49</w:t>
            </w:r>
          </w:p>
        </w:tc>
        <w:tc>
          <w:tcPr>
            <w:tcW w:w="126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037168" w:rsidRPr="00C92AEF" w:rsidRDefault="00037168" w:rsidP="000F42B7">
            <w:pPr>
              <w:pStyle w:val="NoParagraphStyle"/>
              <w:spacing w:line="240" w:lineRule="auto"/>
              <w:textAlignment w:val="auto"/>
              <w:rPr>
                <w:rFonts w:ascii="Times New Roman" w:hAnsi="Times New Roman" w:cs="Times New Roman"/>
                <w:color w:val="auto"/>
              </w:rPr>
            </w:pPr>
          </w:p>
        </w:tc>
        <w:tc>
          <w:tcPr>
            <w:tcW w:w="1170" w:type="dxa"/>
            <w:gridSpan w:val="2"/>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037168" w:rsidRPr="00C92AEF" w:rsidRDefault="00037168" w:rsidP="000F42B7">
            <w:pPr>
              <w:suppressAutoHyphens/>
              <w:jc w:val="right"/>
            </w:pPr>
            <w:r w:rsidRPr="00C92AEF">
              <w:t>$  5,000</w:t>
            </w:r>
          </w:p>
        </w:tc>
        <w:tc>
          <w:tcPr>
            <w:tcW w:w="144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037168" w:rsidRPr="00C92AEF" w:rsidRDefault="00037168" w:rsidP="000F42B7">
            <w:pPr>
              <w:suppressAutoHyphens/>
              <w:jc w:val="center"/>
            </w:pPr>
            <w:r w:rsidRPr="00C92AEF">
              <w:t>$ 2,500</w:t>
            </w:r>
          </w:p>
        </w:tc>
        <w:tc>
          <w:tcPr>
            <w:tcW w:w="117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037168" w:rsidRPr="00C92AEF" w:rsidRDefault="00037168" w:rsidP="000F42B7">
            <w:pPr>
              <w:suppressAutoHyphens/>
              <w:jc w:val="center"/>
            </w:pPr>
            <w:r w:rsidRPr="00C92AEF">
              <w:t>$156</w:t>
            </w:r>
          </w:p>
        </w:tc>
        <w:tc>
          <w:tcPr>
            <w:tcW w:w="126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037168" w:rsidRPr="00C92AEF" w:rsidRDefault="00037168" w:rsidP="000F42B7">
            <w:pPr>
              <w:suppressAutoHyphens/>
              <w:jc w:val="center"/>
            </w:pPr>
            <w:r w:rsidRPr="00C92AEF">
              <w:t>$100</w:t>
            </w:r>
          </w:p>
        </w:tc>
        <w:tc>
          <w:tcPr>
            <w:tcW w:w="126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037168" w:rsidRPr="00C92AEF" w:rsidRDefault="004C23F3" w:rsidP="004C23F3">
            <w:pPr>
              <w:suppressAutoHyphens/>
            </w:pPr>
            <w:r>
              <w:t xml:space="preserve">$   </w:t>
            </w:r>
            <w:r w:rsidR="00037168" w:rsidRPr="00C92AEF">
              <w:t>6,755</w:t>
            </w:r>
          </w:p>
        </w:tc>
      </w:tr>
      <w:tr w:rsidR="00C92AEF" w:rsidRPr="00C92AEF" w:rsidTr="00C92AEF">
        <w:trPr>
          <w:trHeight w:val="279"/>
          <w:jc w:val="center"/>
        </w:trPr>
        <w:tc>
          <w:tcPr>
            <w:tcW w:w="10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7168" w:rsidRPr="00C92AEF" w:rsidRDefault="00037168" w:rsidP="000F42B7">
            <w:pPr>
              <w:suppressAutoHyphens/>
            </w:pPr>
            <w:r w:rsidRPr="00C92AEF">
              <w:t>Michael</w:t>
            </w: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7168" w:rsidRPr="00C92AEF" w:rsidRDefault="00037168" w:rsidP="00D8574F">
            <w:pPr>
              <w:suppressAutoHyphens/>
              <w:jc w:val="center"/>
            </w:pPr>
            <w:r w:rsidRPr="00C92AEF">
              <w:t>1/1/201</w:t>
            </w:r>
            <w:r w:rsidR="00D8574F">
              <w:t>3</w:t>
            </w: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7168" w:rsidRPr="00C92AEF" w:rsidRDefault="00037168" w:rsidP="000F42B7">
            <w:pPr>
              <w:suppressAutoHyphens/>
              <w:jc w:val="center"/>
            </w:pPr>
            <w:r w:rsidRPr="00C92AEF">
              <w:t>38</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7168" w:rsidRPr="00C92AEF" w:rsidRDefault="00037168" w:rsidP="000F42B7">
            <w:pPr>
              <w:pStyle w:val="NoParagraphStyle"/>
              <w:spacing w:line="240" w:lineRule="auto"/>
              <w:textAlignment w:val="auto"/>
              <w:rPr>
                <w:rFonts w:ascii="Times New Roman" w:hAnsi="Times New Roman" w:cs="Times New Roman"/>
                <w:color w:val="auto"/>
              </w:rPr>
            </w:pPr>
          </w:p>
        </w:tc>
        <w:tc>
          <w:tcPr>
            <w:tcW w:w="11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7168" w:rsidRPr="00C92AEF" w:rsidRDefault="00037168" w:rsidP="000F42B7">
            <w:pPr>
              <w:suppressAutoHyphens/>
              <w:jc w:val="right"/>
            </w:pPr>
            <w:r w:rsidRPr="00C92AEF">
              <w:t>$  2,000</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7168" w:rsidRPr="00C92AEF" w:rsidRDefault="00037168" w:rsidP="000F42B7">
            <w:pPr>
              <w:suppressAutoHyphens/>
              <w:jc w:val="center"/>
            </w:pPr>
            <w:r w:rsidRPr="00C92AEF">
              <w:t>$ 1,000</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7168" w:rsidRPr="00C92AEF" w:rsidRDefault="00037168" w:rsidP="000F42B7">
            <w:pPr>
              <w:suppressAutoHyphens/>
              <w:jc w:val="center"/>
            </w:pPr>
            <w:r w:rsidRPr="00C92AEF">
              <w:t>$  37</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7168" w:rsidRPr="00C92AEF" w:rsidRDefault="00037168" w:rsidP="000F42B7">
            <w:pPr>
              <w:suppressAutoHyphens/>
              <w:jc w:val="center"/>
            </w:pPr>
            <w:r w:rsidRPr="00C92AEF">
              <w:t>$  40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7168" w:rsidRPr="00C92AEF" w:rsidRDefault="004C23F3" w:rsidP="000F42B7">
            <w:pPr>
              <w:suppressAutoHyphens/>
            </w:pPr>
            <w:r>
              <w:t xml:space="preserve">$      </w:t>
            </w:r>
            <w:r w:rsidR="00037168" w:rsidRPr="00C92AEF">
              <w:t>781</w:t>
            </w:r>
          </w:p>
        </w:tc>
      </w:tr>
      <w:tr w:rsidR="00C92AEF" w:rsidRPr="00C92AEF" w:rsidTr="00C92AEF">
        <w:trPr>
          <w:trHeight w:val="279"/>
          <w:jc w:val="center"/>
        </w:trPr>
        <w:tc>
          <w:tcPr>
            <w:tcW w:w="1046"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037168" w:rsidRPr="00C92AEF" w:rsidRDefault="00037168" w:rsidP="000F42B7">
            <w:pPr>
              <w:suppressAutoHyphens/>
            </w:pPr>
            <w:r w:rsidRPr="00C92AEF">
              <w:t>David</w:t>
            </w:r>
          </w:p>
        </w:tc>
        <w:tc>
          <w:tcPr>
            <w:tcW w:w="1132"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037168" w:rsidRPr="00C92AEF" w:rsidRDefault="00037168" w:rsidP="00D8574F">
            <w:pPr>
              <w:suppressAutoHyphens/>
              <w:jc w:val="center"/>
            </w:pPr>
            <w:r w:rsidRPr="00C92AEF">
              <w:t>1/1/201</w:t>
            </w:r>
            <w:r w:rsidR="00D8574F">
              <w:t>3</w:t>
            </w:r>
          </w:p>
        </w:tc>
        <w:tc>
          <w:tcPr>
            <w:tcW w:w="63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037168" w:rsidRPr="00C92AEF" w:rsidRDefault="00037168" w:rsidP="000F42B7">
            <w:pPr>
              <w:suppressAutoHyphens/>
              <w:jc w:val="center"/>
            </w:pPr>
            <w:r w:rsidRPr="00C92AEF">
              <w:t>40</w:t>
            </w:r>
          </w:p>
        </w:tc>
        <w:tc>
          <w:tcPr>
            <w:tcW w:w="126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037168" w:rsidRPr="00C92AEF" w:rsidRDefault="00037168" w:rsidP="000F42B7">
            <w:pPr>
              <w:pStyle w:val="NoParagraphStyle"/>
              <w:spacing w:line="240" w:lineRule="auto"/>
              <w:textAlignment w:val="auto"/>
              <w:rPr>
                <w:rFonts w:ascii="Times New Roman" w:hAnsi="Times New Roman" w:cs="Times New Roman"/>
                <w:color w:val="auto"/>
              </w:rPr>
            </w:pPr>
          </w:p>
        </w:tc>
        <w:tc>
          <w:tcPr>
            <w:tcW w:w="1170" w:type="dxa"/>
            <w:gridSpan w:val="2"/>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037168" w:rsidRPr="00C92AEF" w:rsidRDefault="00037168" w:rsidP="000F42B7">
            <w:pPr>
              <w:suppressAutoHyphens/>
              <w:jc w:val="right"/>
            </w:pPr>
            <w:r w:rsidRPr="00C92AEF">
              <w:t>$  3,000</w:t>
            </w:r>
          </w:p>
        </w:tc>
        <w:tc>
          <w:tcPr>
            <w:tcW w:w="144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037168" w:rsidRPr="00C92AEF" w:rsidRDefault="00037168" w:rsidP="000F42B7">
            <w:pPr>
              <w:suppressAutoHyphens/>
              <w:jc w:val="center"/>
            </w:pPr>
            <w:r w:rsidRPr="00C92AEF">
              <w:t>$ 1,500</w:t>
            </w:r>
          </w:p>
        </w:tc>
        <w:tc>
          <w:tcPr>
            <w:tcW w:w="117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037168" w:rsidRPr="00C92AEF" w:rsidRDefault="00037168" w:rsidP="000F42B7">
            <w:pPr>
              <w:suppressAutoHyphens/>
              <w:jc w:val="center"/>
            </w:pPr>
            <w:r w:rsidRPr="00C92AEF">
              <w:t>$  60</w:t>
            </w:r>
          </w:p>
        </w:tc>
        <w:tc>
          <w:tcPr>
            <w:tcW w:w="126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037168" w:rsidRPr="00C92AEF" w:rsidRDefault="00037168" w:rsidP="000F42B7">
            <w:pPr>
              <w:suppressAutoHyphens/>
              <w:jc w:val="center"/>
            </w:pPr>
            <w:r w:rsidRPr="00C92AEF">
              <w:t>$  60</w:t>
            </w:r>
          </w:p>
        </w:tc>
        <w:tc>
          <w:tcPr>
            <w:tcW w:w="126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037168" w:rsidRPr="00C92AEF" w:rsidRDefault="004C23F3" w:rsidP="004C23F3">
            <w:pPr>
              <w:suppressAutoHyphens/>
            </w:pPr>
            <w:r>
              <w:rPr>
                <w:u w:val="thick" w:color="000000"/>
              </w:rPr>
              <w:t xml:space="preserve">$   </w:t>
            </w:r>
            <w:r w:rsidR="00037168" w:rsidRPr="00C92AEF">
              <w:rPr>
                <w:u w:val="thick" w:color="000000"/>
              </w:rPr>
              <w:t>1,353</w:t>
            </w:r>
          </w:p>
        </w:tc>
      </w:tr>
      <w:tr w:rsidR="00C92AEF" w:rsidRPr="00C92AEF" w:rsidTr="00C92AEF">
        <w:trPr>
          <w:trHeight w:val="279"/>
          <w:jc w:val="center"/>
        </w:trPr>
        <w:tc>
          <w:tcPr>
            <w:tcW w:w="10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7168" w:rsidRPr="00C92AEF" w:rsidRDefault="00037168" w:rsidP="000F42B7">
            <w:pPr>
              <w:pStyle w:val="NoParagraphStyle"/>
              <w:spacing w:line="240" w:lineRule="auto"/>
              <w:textAlignment w:val="auto"/>
              <w:rPr>
                <w:rFonts w:ascii="Times New Roman" w:hAnsi="Times New Roman" w:cs="Times New Roman"/>
                <w:color w:val="auto"/>
              </w:rPr>
            </w:pP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7168" w:rsidRPr="00C92AEF" w:rsidRDefault="00037168" w:rsidP="000F42B7">
            <w:pPr>
              <w:pStyle w:val="NoParagraphStyle"/>
              <w:spacing w:line="240" w:lineRule="auto"/>
              <w:textAlignment w:val="auto"/>
              <w:rPr>
                <w:rFonts w:ascii="Times New Roman" w:hAnsi="Times New Roman" w:cs="Times New Roman"/>
                <w:color w:val="auto"/>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7168" w:rsidRPr="00C92AEF" w:rsidRDefault="00037168" w:rsidP="000F42B7">
            <w:pPr>
              <w:pStyle w:val="NoParagraphStyle"/>
              <w:spacing w:line="240" w:lineRule="auto"/>
              <w:textAlignment w:val="auto"/>
              <w:rPr>
                <w:rFonts w:ascii="Times New Roman" w:hAnsi="Times New Roman" w:cs="Times New Roman"/>
                <w:color w:val="auto"/>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7168" w:rsidRPr="00C92AEF" w:rsidRDefault="00037168" w:rsidP="000F42B7">
            <w:pPr>
              <w:pStyle w:val="NoParagraphStyle"/>
              <w:spacing w:line="240" w:lineRule="auto"/>
              <w:textAlignment w:val="auto"/>
              <w:rPr>
                <w:rFonts w:ascii="Times New Roman" w:hAnsi="Times New Roman" w:cs="Times New Roman"/>
                <w:color w:val="auto"/>
              </w:rPr>
            </w:pPr>
          </w:p>
        </w:tc>
        <w:tc>
          <w:tcPr>
            <w:tcW w:w="11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7168" w:rsidRPr="00C92AEF" w:rsidRDefault="00037168" w:rsidP="000F42B7">
            <w:pPr>
              <w:pStyle w:val="NoParagraphStyle"/>
              <w:spacing w:line="240" w:lineRule="auto"/>
              <w:textAlignment w:val="auto"/>
              <w:rPr>
                <w:rFonts w:ascii="Times New Roman" w:hAnsi="Times New Roman" w:cs="Times New Roman"/>
                <w:color w:val="auto"/>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7168" w:rsidRPr="00C92AEF" w:rsidRDefault="00037168" w:rsidP="000F42B7">
            <w:pPr>
              <w:pStyle w:val="NoParagraphStyle"/>
              <w:spacing w:line="240" w:lineRule="auto"/>
              <w:textAlignment w:val="auto"/>
              <w:rPr>
                <w:rFonts w:ascii="Times New Roman" w:hAnsi="Times New Roman" w:cs="Times New Roman"/>
                <w:color w:val="auto"/>
              </w:rPr>
            </w:pP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7168" w:rsidRPr="00C92AEF" w:rsidRDefault="00037168" w:rsidP="000F42B7">
            <w:pPr>
              <w:pStyle w:val="NoParagraphStyle"/>
              <w:spacing w:line="240" w:lineRule="auto"/>
              <w:textAlignment w:val="auto"/>
              <w:rPr>
                <w:rFonts w:ascii="Times New Roman" w:hAnsi="Times New Roman" w:cs="Times New Roman"/>
                <w:color w:val="auto"/>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7168" w:rsidRPr="00C92AEF" w:rsidRDefault="00037168" w:rsidP="000F42B7">
            <w:pPr>
              <w:pStyle w:val="NoParagraphStyle"/>
              <w:spacing w:line="240" w:lineRule="auto"/>
              <w:textAlignment w:val="auto"/>
              <w:rPr>
                <w:rFonts w:ascii="Times New Roman" w:hAnsi="Times New Roman" w:cs="Times New Roman"/>
                <w:color w:val="auto"/>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7168" w:rsidRPr="00C92AEF" w:rsidRDefault="00037168" w:rsidP="00091CF4">
            <w:pPr>
              <w:suppressAutoHyphens/>
            </w:pPr>
            <w:r w:rsidRPr="00C92AEF">
              <w:t>$ 10,</w:t>
            </w:r>
            <w:r w:rsidR="00091CF4" w:rsidRPr="00C92AEF">
              <w:t>13</w:t>
            </w:r>
            <w:r w:rsidR="00091CF4">
              <w:t>8</w:t>
            </w:r>
          </w:p>
        </w:tc>
      </w:tr>
      <w:tr w:rsidR="00037168" w:rsidRPr="00C92AEF" w:rsidTr="00C92AEF">
        <w:trPr>
          <w:trHeight w:val="289"/>
          <w:jc w:val="center"/>
        </w:trPr>
        <w:tc>
          <w:tcPr>
            <w:tcW w:w="10368" w:type="dxa"/>
            <w:gridSpan w:val="10"/>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037168" w:rsidRPr="00C92AEF" w:rsidRDefault="00037168" w:rsidP="000F42B7">
            <w:pPr>
              <w:suppressAutoHyphens/>
            </w:pPr>
            <w:r w:rsidRPr="00C92AEF">
              <w:t>*Assuming no increase in salary</w:t>
            </w:r>
          </w:p>
        </w:tc>
      </w:tr>
    </w:tbl>
    <w:p w:rsidR="00037168" w:rsidRPr="00C92AEF" w:rsidRDefault="00037168" w:rsidP="00037168">
      <w:pPr>
        <w:pStyle w:val="PA"/>
        <w:suppressAutoHyphens/>
        <w:rPr>
          <w:rFonts w:ascii="Times New Roman" w:hAnsi="Times New Roman"/>
          <w:sz w:val="24"/>
          <w:szCs w:val="24"/>
        </w:rPr>
      </w:pPr>
    </w:p>
    <w:p w:rsidR="00037168" w:rsidRPr="0098239D" w:rsidRDefault="00037168" w:rsidP="0098239D">
      <w:pPr>
        <w:pStyle w:val="NoSpacing"/>
        <w:ind w:left="720"/>
        <w:rPr>
          <w:rFonts w:ascii="Times New Roman" w:eastAsia="Times New Roman" w:hAnsi="Times New Roman" w:cs="Times New Roman"/>
          <w:sz w:val="24"/>
          <w:szCs w:val="24"/>
        </w:rPr>
      </w:pPr>
      <w:r w:rsidRPr="0098239D">
        <w:rPr>
          <w:rFonts w:ascii="Times New Roman" w:eastAsia="Times New Roman" w:hAnsi="Times New Roman" w:cs="Times New Roman"/>
          <w:sz w:val="24"/>
          <w:szCs w:val="24"/>
        </w:rPr>
        <w:t xml:space="preserve">The present value of the accrued benefit is based on the higher of the plan accrued benefit or the top-heavy minimum accrued benefit (the “determination date” for the first and second plan years is the last day of the first plan year).  </w:t>
      </w:r>
      <w:r w:rsidR="00091CF4">
        <w:rPr>
          <w:rFonts w:ascii="Times New Roman" w:eastAsia="Times New Roman" w:hAnsi="Times New Roman" w:cs="Times New Roman"/>
          <w:sz w:val="24"/>
          <w:szCs w:val="24"/>
        </w:rPr>
        <w:t>Because</w:t>
      </w:r>
      <w:r w:rsidR="00091CF4" w:rsidRPr="0098239D">
        <w:rPr>
          <w:rFonts w:ascii="Times New Roman" w:eastAsia="Times New Roman" w:hAnsi="Times New Roman" w:cs="Times New Roman"/>
          <w:sz w:val="24"/>
          <w:szCs w:val="24"/>
        </w:rPr>
        <w:t xml:space="preserve"> </w:t>
      </w:r>
      <w:r w:rsidRPr="0098239D">
        <w:rPr>
          <w:rFonts w:ascii="Times New Roman" w:eastAsia="Times New Roman" w:hAnsi="Times New Roman" w:cs="Times New Roman"/>
          <w:sz w:val="24"/>
          <w:szCs w:val="24"/>
        </w:rPr>
        <w:t>this is the first plan year, the determination that the plan is top-heavy will carry over to the year ending December 31, 201</w:t>
      </w:r>
      <w:r w:rsidR="00D8574F" w:rsidRPr="0098239D">
        <w:rPr>
          <w:rFonts w:ascii="Times New Roman" w:eastAsia="Times New Roman" w:hAnsi="Times New Roman" w:cs="Times New Roman"/>
          <w:sz w:val="24"/>
          <w:szCs w:val="24"/>
        </w:rPr>
        <w:t>4</w:t>
      </w:r>
      <w:r w:rsidRPr="0098239D">
        <w:rPr>
          <w:rFonts w:ascii="Times New Roman" w:eastAsia="Times New Roman" w:hAnsi="Times New Roman" w:cs="Times New Roman"/>
          <w:sz w:val="24"/>
          <w:szCs w:val="24"/>
        </w:rPr>
        <w:t xml:space="preserve"> (the status of the first plan year is based on the last day of the first plan year, which is the same date that top-heavy status is determined for the second plan year).</w:t>
      </w:r>
    </w:p>
    <w:p w:rsidR="00D8574F" w:rsidRPr="0098239D" w:rsidRDefault="00D8574F" w:rsidP="0098239D">
      <w:pPr>
        <w:pStyle w:val="NoSpacing"/>
        <w:ind w:left="720"/>
        <w:rPr>
          <w:rFonts w:ascii="Times New Roman" w:eastAsia="Times New Roman" w:hAnsi="Times New Roman" w:cs="Times New Roman"/>
          <w:sz w:val="24"/>
          <w:szCs w:val="24"/>
        </w:rPr>
      </w:pPr>
    </w:p>
    <w:p w:rsidR="00037168" w:rsidRPr="0098239D" w:rsidRDefault="00037168" w:rsidP="0098239D">
      <w:pPr>
        <w:pStyle w:val="NoSpacing"/>
        <w:ind w:left="720"/>
        <w:rPr>
          <w:rFonts w:ascii="Times New Roman" w:eastAsia="Times New Roman" w:hAnsi="Times New Roman" w:cs="Times New Roman"/>
          <w:sz w:val="24"/>
          <w:szCs w:val="24"/>
        </w:rPr>
      </w:pPr>
      <w:r w:rsidRPr="0098239D">
        <w:rPr>
          <w:rFonts w:ascii="Times New Roman" w:eastAsia="Times New Roman" w:hAnsi="Times New Roman" w:cs="Times New Roman"/>
          <w:sz w:val="24"/>
          <w:szCs w:val="24"/>
        </w:rPr>
        <w:t>Mark’s benefit is $1,250 per month at age 65 (salary of $2,500 per month times the benefit formula of 50 percent of compensation). His accrued benefit, which is based on years of plan participation, is $33 per month beginning at age 65, and his top-heavy minimum benefit is $50 per month beginning at age 65.</w:t>
      </w:r>
    </w:p>
    <w:p w:rsidR="00037168" w:rsidRPr="00C92AEF" w:rsidRDefault="00037168" w:rsidP="00037168">
      <w:pPr>
        <w:suppressAutoHyphens/>
      </w:pPr>
    </w:p>
    <w:tbl>
      <w:tblPr>
        <w:tblW w:w="0" w:type="auto"/>
        <w:jc w:val="center"/>
        <w:tblLayout w:type="fixed"/>
        <w:tblCellMar>
          <w:left w:w="0" w:type="dxa"/>
          <w:right w:w="0" w:type="dxa"/>
        </w:tblCellMar>
        <w:tblLook w:val="0000" w:firstRow="0" w:lastRow="0" w:firstColumn="0" w:lastColumn="0" w:noHBand="0" w:noVBand="0"/>
      </w:tblPr>
      <w:tblGrid>
        <w:gridCol w:w="3870"/>
        <w:gridCol w:w="3725"/>
      </w:tblGrid>
      <w:tr w:rsidR="00037168" w:rsidRPr="00C92AEF" w:rsidTr="000F42B7">
        <w:trPr>
          <w:trHeight w:val="60"/>
          <w:jc w:val="center"/>
        </w:trPr>
        <w:tc>
          <w:tcPr>
            <w:tcW w:w="38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37168" w:rsidRPr="00C92AEF" w:rsidRDefault="00037168" w:rsidP="000F42B7">
            <w:pPr>
              <w:suppressAutoHyphens/>
            </w:pPr>
            <w:r w:rsidRPr="00C92AEF">
              <w:t>Salary:</w:t>
            </w:r>
          </w:p>
        </w:tc>
        <w:tc>
          <w:tcPr>
            <w:tcW w:w="37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37168" w:rsidRPr="00C92AEF" w:rsidRDefault="00037168" w:rsidP="000F42B7">
            <w:pPr>
              <w:suppressAutoHyphens/>
            </w:pPr>
            <w:r w:rsidRPr="00C92AEF">
              <w:t>$2,500 per month</w:t>
            </w:r>
          </w:p>
        </w:tc>
      </w:tr>
      <w:tr w:rsidR="00037168" w:rsidRPr="00C92AEF" w:rsidTr="000F42B7">
        <w:trPr>
          <w:trHeight w:val="60"/>
          <w:jc w:val="center"/>
        </w:trPr>
        <w:tc>
          <w:tcPr>
            <w:tcW w:w="3870"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tcPr>
          <w:p w:rsidR="00037168" w:rsidRPr="00C92AEF" w:rsidRDefault="00037168" w:rsidP="000F42B7">
            <w:pPr>
              <w:suppressAutoHyphens/>
            </w:pPr>
            <w:r w:rsidRPr="00C92AEF">
              <w:t>Benefit formula:</w:t>
            </w:r>
          </w:p>
        </w:tc>
        <w:tc>
          <w:tcPr>
            <w:tcW w:w="3725"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tcPr>
          <w:p w:rsidR="00037168" w:rsidRPr="00C92AEF" w:rsidRDefault="00037168" w:rsidP="000F42B7">
            <w:pPr>
              <w:suppressAutoHyphens/>
            </w:pPr>
            <w:r w:rsidRPr="00C92AEF">
              <w:t>50%</w:t>
            </w:r>
          </w:p>
        </w:tc>
      </w:tr>
      <w:tr w:rsidR="00037168" w:rsidRPr="00C92AEF" w:rsidTr="000F42B7">
        <w:trPr>
          <w:trHeight w:val="60"/>
          <w:jc w:val="center"/>
        </w:trPr>
        <w:tc>
          <w:tcPr>
            <w:tcW w:w="38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37168" w:rsidRPr="00C92AEF" w:rsidRDefault="00037168" w:rsidP="000F42B7">
            <w:pPr>
              <w:suppressAutoHyphens/>
            </w:pPr>
            <w:r w:rsidRPr="00C92AEF">
              <w:t>Retirement benefit:</w:t>
            </w:r>
          </w:p>
        </w:tc>
        <w:tc>
          <w:tcPr>
            <w:tcW w:w="37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37168" w:rsidRPr="00C92AEF" w:rsidRDefault="00037168" w:rsidP="000F42B7">
            <w:pPr>
              <w:suppressAutoHyphens/>
            </w:pPr>
            <w:r w:rsidRPr="00C92AEF">
              <w:t>$1,250 per month</w:t>
            </w:r>
          </w:p>
        </w:tc>
      </w:tr>
      <w:tr w:rsidR="00037168" w:rsidRPr="00C92AEF" w:rsidTr="000F42B7">
        <w:trPr>
          <w:trHeight w:val="60"/>
          <w:jc w:val="center"/>
        </w:trPr>
        <w:tc>
          <w:tcPr>
            <w:tcW w:w="3870"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tcPr>
          <w:p w:rsidR="00037168" w:rsidRPr="00C92AEF" w:rsidRDefault="00037168" w:rsidP="000F42B7">
            <w:pPr>
              <w:suppressAutoHyphens/>
            </w:pPr>
            <w:r w:rsidRPr="00C92AEF">
              <w:t>Years of participation to end of plan year 1:</w:t>
            </w:r>
          </w:p>
        </w:tc>
        <w:tc>
          <w:tcPr>
            <w:tcW w:w="3725" w:type="dxa"/>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tcPr>
          <w:p w:rsidR="00037168" w:rsidRPr="00C92AEF" w:rsidRDefault="00037168" w:rsidP="00D8574F">
            <w:pPr>
              <w:suppressAutoHyphens/>
            </w:pPr>
            <w:r w:rsidRPr="00C92AEF">
              <w:t>(1/1/1</w:t>
            </w:r>
            <w:r w:rsidR="00D8574F">
              <w:t>3</w:t>
            </w:r>
            <w:r w:rsidRPr="00C92AEF">
              <w:t xml:space="preserve"> to 12/31/1</w:t>
            </w:r>
            <w:r w:rsidR="00D8574F">
              <w:t>3</w:t>
            </w:r>
            <w:r w:rsidRPr="00C92AEF">
              <w:t>)</w:t>
            </w:r>
          </w:p>
        </w:tc>
      </w:tr>
      <w:tr w:rsidR="00037168" w:rsidRPr="00C92AEF" w:rsidTr="000F42B7">
        <w:trPr>
          <w:trHeight w:val="60"/>
          <w:jc w:val="center"/>
        </w:trPr>
        <w:tc>
          <w:tcPr>
            <w:tcW w:w="38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37168" w:rsidRPr="00C92AEF" w:rsidRDefault="00037168" w:rsidP="000F42B7">
            <w:pPr>
              <w:suppressAutoHyphens/>
            </w:pPr>
            <w:r w:rsidRPr="00C92AEF">
              <w:t>Total years of participation to retirement:</w:t>
            </w:r>
          </w:p>
        </w:tc>
        <w:tc>
          <w:tcPr>
            <w:tcW w:w="37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037168" w:rsidRPr="00C92AEF" w:rsidRDefault="00037168" w:rsidP="00D8574F">
            <w:pPr>
              <w:suppressAutoHyphens/>
            </w:pPr>
            <w:r w:rsidRPr="00C92AEF">
              <w:t>38 (1/1/1</w:t>
            </w:r>
            <w:r w:rsidR="00D8574F">
              <w:t>3</w:t>
            </w:r>
            <w:r w:rsidRPr="00C92AEF">
              <w:t xml:space="preserve"> to 12/31/</w:t>
            </w:r>
            <w:r w:rsidR="00D8574F">
              <w:t>50</w:t>
            </w:r>
            <w:r w:rsidRPr="00C92AEF">
              <w:t>)</w:t>
            </w:r>
          </w:p>
        </w:tc>
      </w:tr>
      <w:tr w:rsidR="00037168" w:rsidRPr="00C92AEF" w:rsidTr="000F42B7">
        <w:trPr>
          <w:trHeight w:val="640"/>
          <w:jc w:val="center"/>
        </w:trPr>
        <w:tc>
          <w:tcPr>
            <w:tcW w:w="7595" w:type="dxa"/>
            <w:gridSpan w:val="2"/>
            <w:tcBorders>
              <w:top w:val="single" w:sz="4" w:space="0" w:color="000000"/>
              <w:left w:val="single" w:sz="4" w:space="0" w:color="000000"/>
              <w:bottom w:val="single" w:sz="4" w:space="0" w:color="000000"/>
              <w:right w:val="single" w:sz="4" w:space="0" w:color="000000"/>
            </w:tcBorders>
            <w:shd w:val="solid" w:color="000000" w:fill="auto"/>
            <w:tcMar>
              <w:top w:w="0" w:type="dxa"/>
              <w:left w:w="80" w:type="dxa"/>
              <w:bottom w:w="80" w:type="dxa"/>
              <w:right w:w="80" w:type="dxa"/>
            </w:tcMar>
            <w:vAlign w:val="center"/>
          </w:tcPr>
          <w:p w:rsidR="00037168" w:rsidRPr="00C92AEF" w:rsidRDefault="00037168" w:rsidP="00D8574F">
            <w:pPr>
              <w:suppressAutoHyphens/>
            </w:pPr>
            <w:r w:rsidRPr="00C92AEF">
              <w:t>(Mark is 27 as of 12/31/1</w:t>
            </w:r>
            <w:r w:rsidR="00D8574F">
              <w:t>3</w:t>
            </w:r>
            <w:r w:rsidRPr="00C92AEF">
              <w:t xml:space="preserve"> after one year of participation. He will have to participate an additional 37 years to reach </w:t>
            </w:r>
            <w:r w:rsidR="00091CF4">
              <w:t xml:space="preserve">the </w:t>
            </w:r>
            <w:r w:rsidRPr="00C92AEF">
              <w:t>retirement age of 65 for total years of participation of 38.)</w:t>
            </w:r>
          </w:p>
        </w:tc>
      </w:tr>
      <w:tr w:rsidR="00037168" w:rsidRPr="00C92AEF" w:rsidTr="000F42B7">
        <w:trPr>
          <w:trHeight w:val="400"/>
          <w:jc w:val="center"/>
        </w:trPr>
        <w:tc>
          <w:tcPr>
            <w:tcW w:w="3870" w:type="dxa"/>
            <w:tcBorders>
              <w:top w:val="single" w:sz="4" w:space="0" w:color="000000"/>
              <w:left w:val="single" w:sz="4" w:space="0" w:color="000000"/>
              <w:bottom w:val="single" w:sz="4" w:space="0" w:color="000000"/>
              <w:right w:val="single" w:sz="4" w:space="0" w:color="000000"/>
            </w:tcBorders>
            <w:tcMar>
              <w:top w:w="0" w:type="dxa"/>
              <w:left w:w="80" w:type="dxa"/>
              <w:bottom w:w="80" w:type="dxa"/>
              <w:right w:w="80" w:type="dxa"/>
            </w:tcMar>
            <w:vAlign w:val="center"/>
          </w:tcPr>
          <w:p w:rsidR="00037168" w:rsidRPr="00C92AEF" w:rsidRDefault="00037168" w:rsidP="000F42B7">
            <w:pPr>
              <w:suppressAutoHyphens/>
            </w:pPr>
            <w:r w:rsidRPr="00C92AEF">
              <w:t>Top-heavy minimum accrued benefit:</w:t>
            </w:r>
          </w:p>
        </w:tc>
        <w:tc>
          <w:tcPr>
            <w:tcW w:w="3725" w:type="dxa"/>
            <w:tcBorders>
              <w:top w:val="single" w:sz="4" w:space="0" w:color="000000"/>
              <w:left w:val="single" w:sz="4" w:space="0" w:color="000000"/>
              <w:bottom w:val="single" w:sz="4" w:space="0" w:color="000000"/>
              <w:right w:val="single" w:sz="4" w:space="0" w:color="000000"/>
            </w:tcBorders>
            <w:tcMar>
              <w:top w:w="0" w:type="dxa"/>
              <w:left w:w="80" w:type="dxa"/>
              <w:bottom w:w="80" w:type="dxa"/>
              <w:right w:w="80" w:type="dxa"/>
            </w:tcMar>
            <w:vAlign w:val="center"/>
          </w:tcPr>
          <w:p w:rsidR="00037168" w:rsidRPr="00C92AEF" w:rsidRDefault="00037168" w:rsidP="00091CF4">
            <w:pPr>
              <w:suppressAutoHyphens/>
            </w:pPr>
            <w:r w:rsidRPr="00C92AEF">
              <w:t xml:space="preserve">$50 per month (2% </w:t>
            </w:r>
            <w:r w:rsidR="00091CF4">
              <w:t>of</w:t>
            </w:r>
            <w:r w:rsidR="00091CF4" w:rsidRPr="00C92AEF">
              <w:t xml:space="preserve"> </w:t>
            </w:r>
            <w:r w:rsidRPr="00C92AEF">
              <w:t>$2,500)</w:t>
            </w:r>
          </w:p>
        </w:tc>
      </w:tr>
    </w:tbl>
    <w:p w:rsidR="00037168" w:rsidRPr="00C92AEF" w:rsidRDefault="00037168" w:rsidP="00037168">
      <w:pPr>
        <w:pStyle w:val="PA"/>
        <w:rPr>
          <w:rFonts w:ascii="Times New Roman" w:hAnsi="Times New Roman"/>
          <w:sz w:val="24"/>
          <w:szCs w:val="24"/>
        </w:rPr>
      </w:pPr>
    </w:p>
    <w:p w:rsidR="00037168" w:rsidRPr="0098239D" w:rsidRDefault="00037168" w:rsidP="0098239D">
      <w:pPr>
        <w:pStyle w:val="NoSpacing"/>
        <w:ind w:left="720"/>
        <w:rPr>
          <w:rFonts w:ascii="Times New Roman" w:eastAsia="Times New Roman" w:hAnsi="Times New Roman" w:cs="Times New Roman"/>
          <w:sz w:val="24"/>
          <w:szCs w:val="24"/>
        </w:rPr>
      </w:pPr>
      <w:r w:rsidRPr="0098239D">
        <w:rPr>
          <w:rFonts w:ascii="Times New Roman" w:eastAsia="Times New Roman" w:hAnsi="Times New Roman" w:cs="Times New Roman"/>
          <w:sz w:val="24"/>
          <w:szCs w:val="24"/>
        </w:rPr>
        <w:t>Accrued benefit calculation:</w:t>
      </w:r>
    </w:p>
    <w:p w:rsidR="00037168" w:rsidRPr="0098239D" w:rsidRDefault="00037168" w:rsidP="002A7C66">
      <w:pPr>
        <w:pStyle w:val="NoSpacing"/>
        <w:numPr>
          <w:ilvl w:val="0"/>
          <w:numId w:val="36"/>
        </w:numPr>
        <w:rPr>
          <w:rFonts w:ascii="Times New Roman" w:eastAsia="Times New Roman" w:hAnsi="Times New Roman" w:cs="Times New Roman"/>
          <w:sz w:val="24"/>
          <w:szCs w:val="24"/>
        </w:rPr>
      </w:pPr>
      <w:r w:rsidRPr="0098239D">
        <w:rPr>
          <w:rFonts w:ascii="Times New Roman" w:eastAsia="Times New Roman" w:hAnsi="Times New Roman" w:cs="Times New Roman"/>
          <w:sz w:val="24"/>
          <w:szCs w:val="24"/>
        </w:rPr>
        <w:t>Monthly salary × benefit percentage × participation to plan year-end / participation to retirement</w:t>
      </w:r>
    </w:p>
    <w:p w:rsidR="00037168" w:rsidRPr="0098239D" w:rsidRDefault="00037168" w:rsidP="002A7C66">
      <w:pPr>
        <w:pStyle w:val="NoSpacing"/>
        <w:numPr>
          <w:ilvl w:val="0"/>
          <w:numId w:val="36"/>
        </w:numPr>
        <w:rPr>
          <w:rFonts w:ascii="Times New Roman" w:eastAsia="Times New Roman" w:hAnsi="Times New Roman" w:cs="Times New Roman"/>
          <w:sz w:val="24"/>
          <w:szCs w:val="24"/>
        </w:rPr>
      </w:pPr>
      <w:r w:rsidRPr="0098239D">
        <w:rPr>
          <w:rFonts w:ascii="Times New Roman" w:eastAsia="Times New Roman" w:hAnsi="Times New Roman" w:cs="Times New Roman"/>
          <w:sz w:val="24"/>
          <w:szCs w:val="24"/>
        </w:rPr>
        <w:t>As of 12/31/1</w:t>
      </w:r>
      <w:r w:rsidR="00DF21ED" w:rsidRPr="0098239D">
        <w:rPr>
          <w:rFonts w:ascii="Times New Roman" w:eastAsia="Times New Roman" w:hAnsi="Times New Roman" w:cs="Times New Roman"/>
          <w:sz w:val="24"/>
          <w:szCs w:val="24"/>
        </w:rPr>
        <w:t>3</w:t>
      </w:r>
      <w:r w:rsidRPr="0098239D">
        <w:rPr>
          <w:rFonts w:ascii="Times New Roman" w:eastAsia="Times New Roman" w:hAnsi="Times New Roman" w:cs="Times New Roman"/>
          <w:sz w:val="24"/>
          <w:szCs w:val="24"/>
        </w:rPr>
        <w:t xml:space="preserve"> ( 2,500 × 50% × 1 )  /  38 = $</w:t>
      </w:r>
      <w:r w:rsidR="0096336B" w:rsidRPr="0098239D">
        <w:rPr>
          <w:rFonts w:ascii="Times New Roman" w:eastAsia="Times New Roman" w:hAnsi="Times New Roman" w:cs="Times New Roman"/>
          <w:sz w:val="24"/>
          <w:szCs w:val="24"/>
        </w:rPr>
        <w:t>3</w:t>
      </w:r>
      <w:r w:rsidR="0096336B">
        <w:rPr>
          <w:rFonts w:ascii="Times New Roman" w:eastAsia="Times New Roman" w:hAnsi="Times New Roman" w:cs="Times New Roman"/>
          <w:sz w:val="24"/>
          <w:szCs w:val="24"/>
        </w:rPr>
        <w:t>3</w:t>
      </w:r>
      <w:r w:rsidR="0096336B" w:rsidRPr="0098239D">
        <w:rPr>
          <w:rFonts w:ascii="Times New Roman" w:eastAsia="Times New Roman" w:hAnsi="Times New Roman" w:cs="Times New Roman"/>
          <w:sz w:val="24"/>
          <w:szCs w:val="24"/>
        </w:rPr>
        <w:t xml:space="preserve"> </w:t>
      </w:r>
      <w:r w:rsidRPr="0098239D">
        <w:rPr>
          <w:rFonts w:ascii="Times New Roman" w:eastAsia="Times New Roman" w:hAnsi="Times New Roman" w:cs="Times New Roman"/>
          <w:sz w:val="24"/>
          <w:szCs w:val="24"/>
        </w:rPr>
        <w:t>per month</w:t>
      </w:r>
    </w:p>
    <w:p w:rsidR="00037168" w:rsidRPr="0098239D" w:rsidRDefault="00037168" w:rsidP="002A7C66">
      <w:pPr>
        <w:pStyle w:val="NoSpacing"/>
        <w:numPr>
          <w:ilvl w:val="0"/>
          <w:numId w:val="36"/>
        </w:numPr>
        <w:rPr>
          <w:rFonts w:ascii="Times New Roman" w:eastAsia="Times New Roman" w:hAnsi="Times New Roman" w:cs="Times New Roman"/>
          <w:sz w:val="24"/>
          <w:szCs w:val="24"/>
        </w:rPr>
      </w:pPr>
      <w:r w:rsidRPr="0098239D">
        <w:rPr>
          <w:rFonts w:ascii="Times New Roman" w:eastAsia="Times New Roman" w:hAnsi="Times New Roman" w:cs="Times New Roman"/>
          <w:sz w:val="24"/>
          <w:szCs w:val="24"/>
        </w:rPr>
        <w:t>As of 12/31/1</w:t>
      </w:r>
      <w:r w:rsidR="00DF21ED" w:rsidRPr="0098239D">
        <w:rPr>
          <w:rFonts w:ascii="Times New Roman" w:eastAsia="Times New Roman" w:hAnsi="Times New Roman" w:cs="Times New Roman"/>
          <w:sz w:val="24"/>
          <w:szCs w:val="24"/>
        </w:rPr>
        <w:t>4</w:t>
      </w:r>
      <w:r w:rsidRPr="0098239D">
        <w:rPr>
          <w:rFonts w:ascii="Times New Roman" w:eastAsia="Times New Roman" w:hAnsi="Times New Roman" w:cs="Times New Roman"/>
          <w:sz w:val="24"/>
          <w:szCs w:val="24"/>
        </w:rPr>
        <w:t xml:space="preserve"> ( 2,500 × 50% × 2 )  /  38 = $66 per month</w:t>
      </w:r>
    </w:p>
    <w:p w:rsidR="00DF21ED" w:rsidRDefault="00DF21ED" w:rsidP="00DF21ED">
      <w:pPr>
        <w:pStyle w:val="ListParagraph"/>
        <w:widowControl w:val="0"/>
        <w:tabs>
          <w:tab w:val="decimal" w:pos="680"/>
          <w:tab w:val="left" w:pos="840"/>
        </w:tabs>
        <w:autoSpaceDE w:val="0"/>
        <w:autoSpaceDN w:val="0"/>
        <w:adjustRightInd w:val="0"/>
        <w:spacing w:line="240" w:lineRule="exact"/>
        <w:jc w:val="both"/>
      </w:pPr>
    </w:p>
    <w:p w:rsidR="00E6442A" w:rsidRDefault="00E6442A" w:rsidP="0098239D">
      <w:pPr>
        <w:pStyle w:val="NoSpacing"/>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Because</w:t>
      </w:r>
      <w:r w:rsidRPr="0098239D">
        <w:rPr>
          <w:rFonts w:ascii="Times New Roman" w:eastAsia="Times New Roman" w:hAnsi="Times New Roman" w:cs="Times New Roman"/>
          <w:sz w:val="24"/>
          <w:szCs w:val="24"/>
        </w:rPr>
        <w:t xml:space="preserve"> </w:t>
      </w:r>
      <w:r w:rsidR="00037168" w:rsidRPr="0098239D">
        <w:rPr>
          <w:rFonts w:ascii="Times New Roman" w:eastAsia="Times New Roman" w:hAnsi="Times New Roman" w:cs="Times New Roman"/>
          <w:sz w:val="24"/>
          <w:szCs w:val="24"/>
        </w:rPr>
        <w:t>Mark’s accrued benefit of $</w:t>
      </w:r>
      <w:r>
        <w:rPr>
          <w:rFonts w:ascii="Times New Roman" w:eastAsia="Times New Roman" w:hAnsi="Times New Roman" w:cs="Times New Roman"/>
          <w:sz w:val="24"/>
          <w:szCs w:val="24"/>
        </w:rPr>
        <w:t>33</w:t>
      </w:r>
      <w:r w:rsidRPr="0098239D">
        <w:rPr>
          <w:rFonts w:ascii="Times New Roman" w:eastAsia="Times New Roman" w:hAnsi="Times New Roman" w:cs="Times New Roman"/>
          <w:sz w:val="24"/>
          <w:szCs w:val="24"/>
        </w:rPr>
        <w:t xml:space="preserve"> </w:t>
      </w:r>
      <w:r w:rsidR="00037168" w:rsidRPr="0098239D">
        <w:rPr>
          <w:rFonts w:ascii="Times New Roman" w:eastAsia="Times New Roman" w:hAnsi="Times New Roman" w:cs="Times New Roman"/>
          <w:sz w:val="24"/>
          <w:szCs w:val="24"/>
        </w:rPr>
        <w:t xml:space="preserve">per month is less than the required top-heavy minimum benefit of $50 per month, he must accrue the higher top-heavy minimum benefit. In accordance with the top-heavy minimums required in defined benefit plans, the top-heavy accrued benefit is capped at 20 percent of compensation, i.e., 2 percent per year of top-heavy service for up to a maximum of </w:t>
      </w:r>
      <w:r>
        <w:rPr>
          <w:rFonts w:ascii="Times New Roman" w:eastAsia="Times New Roman" w:hAnsi="Times New Roman" w:cs="Times New Roman"/>
          <w:sz w:val="24"/>
          <w:szCs w:val="24"/>
        </w:rPr>
        <w:t>ten</w:t>
      </w:r>
      <w:r w:rsidRPr="0098239D">
        <w:rPr>
          <w:rFonts w:ascii="Times New Roman" w:eastAsia="Times New Roman" w:hAnsi="Times New Roman" w:cs="Times New Roman"/>
          <w:sz w:val="24"/>
          <w:szCs w:val="24"/>
        </w:rPr>
        <w:t xml:space="preserve"> </w:t>
      </w:r>
      <w:r w:rsidR="00037168" w:rsidRPr="0098239D">
        <w:rPr>
          <w:rFonts w:ascii="Times New Roman" w:eastAsia="Times New Roman" w:hAnsi="Times New Roman" w:cs="Times New Roman"/>
          <w:sz w:val="24"/>
          <w:szCs w:val="24"/>
        </w:rPr>
        <w:t xml:space="preserve">years. </w:t>
      </w:r>
    </w:p>
    <w:p w:rsidR="00F165CD" w:rsidRDefault="00F165CD" w:rsidP="0098239D">
      <w:pPr>
        <w:pStyle w:val="NoSpacing"/>
        <w:ind w:left="720"/>
        <w:rPr>
          <w:rFonts w:ascii="Times New Roman" w:eastAsia="Times New Roman" w:hAnsi="Times New Roman" w:cs="Times New Roman"/>
          <w:sz w:val="24"/>
          <w:szCs w:val="24"/>
        </w:rPr>
      </w:pPr>
    </w:p>
    <w:p w:rsidR="00037168" w:rsidRPr="0098239D" w:rsidRDefault="00037168" w:rsidP="0098239D">
      <w:pPr>
        <w:pStyle w:val="NoSpacing"/>
        <w:ind w:left="720"/>
        <w:rPr>
          <w:rFonts w:ascii="Times New Roman" w:eastAsia="Times New Roman" w:hAnsi="Times New Roman" w:cs="Times New Roman"/>
          <w:sz w:val="24"/>
          <w:szCs w:val="24"/>
        </w:rPr>
      </w:pPr>
      <w:r w:rsidRPr="0098239D">
        <w:rPr>
          <w:rFonts w:ascii="Times New Roman" w:eastAsia="Times New Roman" w:hAnsi="Times New Roman" w:cs="Times New Roman"/>
          <w:sz w:val="24"/>
          <w:szCs w:val="24"/>
        </w:rPr>
        <w:t>Consider the same accrued benefit calculation in years 10, 11, 15, and 16, again assuming salary stays constant.</w:t>
      </w:r>
    </w:p>
    <w:p w:rsidR="00DF21ED" w:rsidRPr="00C92AEF" w:rsidRDefault="00DF21ED" w:rsidP="00DF21ED">
      <w:pPr>
        <w:pStyle w:val="ListParagraph"/>
        <w:widowControl w:val="0"/>
        <w:tabs>
          <w:tab w:val="decimal" w:pos="680"/>
          <w:tab w:val="left" w:pos="840"/>
        </w:tabs>
        <w:autoSpaceDE w:val="0"/>
        <w:autoSpaceDN w:val="0"/>
        <w:adjustRightInd w:val="0"/>
        <w:spacing w:line="240" w:lineRule="exact"/>
        <w:jc w:val="both"/>
      </w:pPr>
    </w:p>
    <w:tbl>
      <w:tblPr>
        <w:tblW w:w="0" w:type="auto"/>
        <w:jc w:val="center"/>
        <w:tblLayout w:type="fixed"/>
        <w:tblCellMar>
          <w:left w:w="0" w:type="dxa"/>
          <w:right w:w="0" w:type="dxa"/>
        </w:tblCellMar>
        <w:tblLook w:val="0000" w:firstRow="0" w:lastRow="0" w:firstColumn="0" w:lastColumn="0" w:noHBand="0" w:noVBand="0"/>
      </w:tblPr>
      <w:tblGrid>
        <w:gridCol w:w="1220"/>
        <w:gridCol w:w="1726"/>
        <w:gridCol w:w="2767"/>
        <w:gridCol w:w="2112"/>
      </w:tblGrid>
      <w:tr w:rsidR="00037168" w:rsidRPr="00C92AEF" w:rsidTr="0098239D">
        <w:trPr>
          <w:trHeight w:val="562"/>
          <w:jc w:val="center"/>
        </w:trPr>
        <w:tc>
          <w:tcPr>
            <w:tcW w:w="122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037168" w:rsidRPr="00C92AEF" w:rsidRDefault="00037168" w:rsidP="000F42B7">
            <w:pPr>
              <w:suppressAutoHyphens/>
            </w:pPr>
            <w:r w:rsidRPr="00C92AEF">
              <w:t>Year 10</w:t>
            </w:r>
          </w:p>
        </w:tc>
        <w:tc>
          <w:tcPr>
            <w:tcW w:w="1726"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037168" w:rsidRPr="00C92AEF" w:rsidRDefault="00037168" w:rsidP="000F42B7">
            <w:pPr>
              <w:suppressAutoHyphens/>
            </w:pPr>
            <w:r w:rsidRPr="00C92AEF">
              <w:t>As of 12/31/2</w:t>
            </w:r>
            <w:r w:rsidR="00DF21ED">
              <w:t>2</w:t>
            </w:r>
          </w:p>
          <w:p w:rsidR="00037168" w:rsidRPr="00C92AEF" w:rsidRDefault="00037168" w:rsidP="005242F8">
            <w:pPr>
              <w:suppressAutoHyphens/>
            </w:pPr>
            <w:r w:rsidRPr="00C92AEF">
              <w:t>For top</w:t>
            </w:r>
            <w:r w:rsidR="005242F8">
              <w:t>-</w:t>
            </w:r>
            <w:r w:rsidRPr="00C92AEF">
              <w:t>heavy</w:t>
            </w:r>
          </w:p>
        </w:tc>
        <w:tc>
          <w:tcPr>
            <w:tcW w:w="2767"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037168" w:rsidRPr="00C92AEF" w:rsidRDefault="00037168" w:rsidP="000F42B7">
            <w:pPr>
              <w:suppressAutoHyphens/>
            </w:pPr>
            <w:r w:rsidRPr="00C92AEF">
              <w:t xml:space="preserve">($2,500 × 50% × 10) / 38 </w:t>
            </w:r>
          </w:p>
          <w:p w:rsidR="00037168" w:rsidRPr="00C92AEF" w:rsidRDefault="00037168" w:rsidP="000F42B7">
            <w:pPr>
              <w:suppressAutoHyphens/>
            </w:pPr>
            <w:r w:rsidRPr="00C92AEF">
              <w:t>($2,500 × 2% × 10)</w:t>
            </w:r>
          </w:p>
        </w:tc>
        <w:tc>
          <w:tcPr>
            <w:tcW w:w="2112"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037168" w:rsidRPr="00C92AEF" w:rsidRDefault="00037168" w:rsidP="000F42B7">
            <w:pPr>
              <w:suppressAutoHyphens/>
            </w:pPr>
            <w:r w:rsidRPr="00C92AEF">
              <w:t>=    $329 per month</w:t>
            </w:r>
          </w:p>
          <w:p w:rsidR="00037168" w:rsidRPr="00C92AEF" w:rsidRDefault="00037168" w:rsidP="000F42B7">
            <w:pPr>
              <w:suppressAutoHyphens/>
            </w:pPr>
            <w:r w:rsidRPr="00C92AEF">
              <w:t>=    $500 per month</w:t>
            </w:r>
          </w:p>
        </w:tc>
      </w:tr>
      <w:tr w:rsidR="00037168" w:rsidRPr="00C92AEF" w:rsidTr="0098239D">
        <w:trPr>
          <w:trHeight w:val="561"/>
          <w:jc w:val="center"/>
        </w:trPr>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7168" w:rsidRPr="00C92AEF" w:rsidRDefault="00037168" w:rsidP="000F42B7">
            <w:pPr>
              <w:suppressAutoHyphens/>
            </w:pPr>
            <w:r w:rsidRPr="00C92AEF">
              <w:t>Year 11</w:t>
            </w:r>
          </w:p>
        </w:tc>
        <w:tc>
          <w:tcPr>
            <w:tcW w:w="1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7168" w:rsidRPr="00C92AEF" w:rsidRDefault="00037168" w:rsidP="000F42B7">
            <w:pPr>
              <w:suppressAutoHyphens/>
            </w:pPr>
            <w:r w:rsidRPr="00C92AEF">
              <w:t>As of 12/31/2</w:t>
            </w:r>
            <w:r w:rsidR="00DF21ED">
              <w:t>3</w:t>
            </w:r>
          </w:p>
          <w:p w:rsidR="00037168" w:rsidRPr="00C92AEF" w:rsidRDefault="00037168" w:rsidP="005242F8">
            <w:pPr>
              <w:suppressAutoHyphens/>
            </w:pPr>
            <w:r w:rsidRPr="00C92AEF">
              <w:t>For top</w:t>
            </w:r>
            <w:r w:rsidR="005242F8">
              <w:t>-</w:t>
            </w:r>
            <w:r w:rsidRPr="00C92AEF">
              <w:t>heavy</w:t>
            </w:r>
          </w:p>
        </w:tc>
        <w:tc>
          <w:tcPr>
            <w:tcW w:w="2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7168" w:rsidRPr="00C92AEF" w:rsidRDefault="00037168" w:rsidP="000F42B7">
            <w:pPr>
              <w:suppressAutoHyphens/>
            </w:pPr>
            <w:r w:rsidRPr="00C92AEF">
              <w:t xml:space="preserve">($2,500 × 50% × 11) / 38 </w:t>
            </w:r>
          </w:p>
          <w:p w:rsidR="00037168" w:rsidRPr="00C92AEF" w:rsidRDefault="00037168" w:rsidP="000F42B7">
            <w:pPr>
              <w:suppressAutoHyphens/>
            </w:pPr>
            <w:r w:rsidRPr="00C92AEF">
              <w:t>($2,500 × 2% × 10)</w:t>
            </w:r>
          </w:p>
        </w:tc>
        <w:tc>
          <w:tcPr>
            <w:tcW w:w="2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7168" w:rsidRPr="00C92AEF" w:rsidRDefault="00037168" w:rsidP="000F42B7">
            <w:pPr>
              <w:suppressAutoHyphens/>
            </w:pPr>
            <w:r w:rsidRPr="00C92AEF">
              <w:t>=    $362 per month</w:t>
            </w:r>
          </w:p>
          <w:p w:rsidR="00037168" w:rsidRPr="00C92AEF" w:rsidRDefault="00037168" w:rsidP="000F42B7">
            <w:pPr>
              <w:suppressAutoHyphens/>
            </w:pPr>
            <w:r w:rsidRPr="00C92AEF">
              <w:t>=    $500 per month</w:t>
            </w:r>
          </w:p>
        </w:tc>
      </w:tr>
      <w:tr w:rsidR="00037168" w:rsidRPr="00C92AEF" w:rsidTr="0098239D">
        <w:trPr>
          <w:trHeight w:val="503"/>
          <w:jc w:val="center"/>
        </w:trPr>
        <w:tc>
          <w:tcPr>
            <w:tcW w:w="122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037168" w:rsidRPr="00C92AEF" w:rsidRDefault="00037168" w:rsidP="000F42B7">
            <w:pPr>
              <w:suppressAutoHyphens/>
            </w:pPr>
            <w:r w:rsidRPr="00C92AEF">
              <w:t>Year 15</w:t>
            </w:r>
          </w:p>
        </w:tc>
        <w:tc>
          <w:tcPr>
            <w:tcW w:w="1726"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037168" w:rsidRPr="00C92AEF" w:rsidRDefault="00037168" w:rsidP="000F42B7">
            <w:pPr>
              <w:suppressAutoHyphens/>
            </w:pPr>
            <w:r w:rsidRPr="00C92AEF">
              <w:t>As of 12/31/2</w:t>
            </w:r>
            <w:r w:rsidR="00DF21ED">
              <w:t>7</w:t>
            </w:r>
          </w:p>
          <w:p w:rsidR="00037168" w:rsidRPr="00C92AEF" w:rsidRDefault="00037168" w:rsidP="005242F8">
            <w:pPr>
              <w:suppressAutoHyphens/>
            </w:pPr>
            <w:r w:rsidRPr="00C92AEF">
              <w:t>For top</w:t>
            </w:r>
            <w:r w:rsidR="005242F8">
              <w:t>-</w:t>
            </w:r>
            <w:r w:rsidRPr="00C92AEF">
              <w:t>heavy</w:t>
            </w:r>
          </w:p>
        </w:tc>
        <w:tc>
          <w:tcPr>
            <w:tcW w:w="2767"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037168" w:rsidRPr="00C92AEF" w:rsidRDefault="00037168" w:rsidP="000F42B7">
            <w:pPr>
              <w:suppressAutoHyphens/>
            </w:pPr>
            <w:r w:rsidRPr="00C92AEF">
              <w:t>($2,500 × 50% × 15) / 38</w:t>
            </w:r>
          </w:p>
          <w:p w:rsidR="00037168" w:rsidRPr="00C92AEF" w:rsidRDefault="00037168" w:rsidP="000F42B7">
            <w:pPr>
              <w:suppressAutoHyphens/>
            </w:pPr>
            <w:r w:rsidRPr="00C92AEF">
              <w:t>($2,500 × 2% × 10)</w:t>
            </w:r>
          </w:p>
        </w:tc>
        <w:tc>
          <w:tcPr>
            <w:tcW w:w="2112"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037168" w:rsidRPr="00C92AEF" w:rsidRDefault="00037168" w:rsidP="000F42B7">
            <w:pPr>
              <w:suppressAutoHyphens/>
            </w:pPr>
            <w:r w:rsidRPr="00C92AEF">
              <w:t>=    $493 per month</w:t>
            </w:r>
          </w:p>
          <w:p w:rsidR="00037168" w:rsidRPr="00C92AEF" w:rsidRDefault="00037168" w:rsidP="000F42B7">
            <w:pPr>
              <w:suppressAutoHyphens/>
            </w:pPr>
            <w:r w:rsidRPr="00C92AEF">
              <w:t>=    $500 per month</w:t>
            </w:r>
          </w:p>
        </w:tc>
      </w:tr>
      <w:tr w:rsidR="00037168" w:rsidRPr="00C92AEF" w:rsidTr="0098239D">
        <w:trPr>
          <w:trHeight w:val="585"/>
          <w:jc w:val="center"/>
        </w:trPr>
        <w:tc>
          <w:tcPr>
            <w:tcW w:w="1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7168" w:rsidRPr="00C92AEF" w:rsidRDefault="00037168" w:rsidP="000F42B7">
            <w:pPr>
              <w:suppressAutoHyphens/>
            </w:pPr>
            <w:r w:rsidRPr="00C92AEF">
              <w:t>Year 16</w:t>
            </w:r>
          </w:p>
        </w:tc>
        <w:tc>
          <w:tcPr>
            <w:tcW w:w="1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7168" w:rsidRPr="00C92AEF" w:rsidRDefault="00037168" w:rsidP="000F42B7">
            <w:pPr>
              <w:suppressAutoHyphens/>
            </w:pPr>
            <w:r w:rsidRPr="00C92AEF">
              <w:t>As of 12/31/2</w:t>
            </w:r>
            <w:r w:rsidR="00DF21ED">
              <w:t>8</w:t>
            </w:r>
          </w:p>
          <w:p w:rsidR="00037168" w:rsidRPr="00C92AEF" w:rsidRDefault="00037168" w:rsidP="005242F8">
            <w:pPr>
              <w:suppressAutoHyphens/>
            </w:pPr>
            <w:r w:rsidRPr="00C92AEF">
              <w:t>For top</w:t>
            </w:r>
            <w:r w:rsidR="005242F8">
              <w:t>-</w:t>
            </w:r>
            <w:r w:rsidRPr="00C92AEF">
              <w:t>heavy</w:t>
            </w:r>
          </w:p>
        </w:tc>
        <w:tc>
          <w:tcPr>
            <w:tcW w:w="2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7168" w:rsidRPr="00C92AEF" w:rsidRDefault="00037168" w:rsidP="000F42B7">
            <w:pPr>
              <w:suppressAutoHyphens/>
            </w:pPr>
            <w:r w:rsidRPr="00C92AEF">
              <w:t>($2,500 × 50% × 16) / 38</w:t>
            </w:r>
          </w:p>
          <w:p w:rsidR="00037168" w:rsidRPr="00C92AEF" w:rsidRDefault="00037168" w:rsidP="000F42B7">
            <w:pPr>
              <w:suppressAutoHyphens/>
            </w:pPr>
            <w:r w:rsidRPr="00C92AEF">
              <w:t>($2,500 × 2% × 10)</w:t>
            </w:r>
          </w:p>
        </w:tc>
        <w:tc>
          <w:tcPr>
            <w:tcW w:w="2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7168" w:rsidRPr="00C92AEF" w:rsidRDefault="00037168" w:rsidP="000F42B7">
            <w:pPr>
              <w:suppressAutoHyphens/>
            </w:pPr>
            <w:r w:rsidRPr="00C92AEF">
              <w:t>=    $526 per month</w:t>
            </w:r>
          </w:p>
          <w:p w:rsidR="00037168" w:rsidRPr="00C92AEF" w:rsidRDefault="00037168" w:rsidP="000F42B7">
            <w:pPr>
              <w:suppressAutoHyphens/>
            </w:pPr>
            <w:r w:rsidRPr="00C92AEF">
              <w:t>=    $500 per month</w:t>
            </w:r>
          </w:p>
        </w:tc>
      </w:tr>
    </w:tbl>
    <w:p w:rsidR="00037168" w:rsidRPr="00C92AEF" w:rsidRDefault="00037168" w:rsidP="00037168">
      <w:pPr>
        <w:pStyle w:val="NoParagraphStyle"/>
        <w:suppressAutoHyphens/>
        <w:spacing w:after="90"/>
        <w:rPr>
          <w:rFonts w:ascii="Times New Roman" w:hAnsi="Times New Roman" w:cs="Times New Roman"/>
        </w:rPr>
      </w:pPr>
    </w:p>
    <w:p w:rsidR="00037168" w:rsidRPr="0098239D" w:rsidRDefault="00037168" w:rsidP="0098239D">
      <w:pPr>
        <w:pStyle w:val="NoSpacing"/>
        <w:ind w:left="720"/>
        <w:rPr>
          <w:rFonts w:ascii="Times New Roman" w:eastAsia="Times New Roman" w:hAnsi="Times New Roman" w:cs="Times New Roman"/>
          <w:sz w:val="24"/>
          <w:szCs w:val="24"/>
        </w:rPr>
      </w:pPr>
      <w:r w:rsidRPr="0098239D">
        <w:rPr>
          <w:rFonts w:ascii="Times New Roman" w:eastAsia="Times New Roman" w:hAnsi="Times New Roman" w:cs="Times New Roman"/>
          <w:sz w:val="24"/>
          <w:szCs w:val="24"/>
        </w:rPr>
        <w:t xml:space="preserve">In year 10, Mark reaches the maximum required accrued benefit in a top-heavy defined benefit plan, 20 percent of compensation ($2,500 × 20%), so in year 11 his accrued benefit for top-heavy purposes does not increase. In year 15, his accrued benefit based on the plan provisions approaches his top-heavy accrued benefit, and in year 16 the plan’s </w:t>
      </w:r>
      <w:r w:rsidRPr="0098239D">
        <w:rPr>
          <w:rFonts w:ascii="Times New Roman" w:eastAsia="Times New Roman" w:hAnsi="Times New Roman" w:cs="Times New Roman"/>
          <w:sz w:val="24"/>
          <w:szCs w:val="24"/>
        </w:rPr>
        <w:lastRenderedPageBreak/>
        <w:t xml:space="preserve">accrued benefit surpasses his top-heavy accrued benefit. In the event that Mark terminated employment and was paid out, he would receive a distribution based on the higher of the top-heavy accrued benefit </w:t>
      </w:r>
      <w:r w:rsidR="004204C0">
        <w:rPr>
          <w:rFonts w:ascii="Times New Roman" w:eastAsia="Times New Roman" w:hAnsi="Times New Roman" w:cs="Times New Roman"/>
          <w:sz w:val="24"/>
          <w:szCs w:val="24"/>
        </w:rPr>
        <w:t>or</w:t>
      </w:r>
      <w:r w:rsidR="004204C0" w:rsidRPr="0098239D">
        <w:rPr>
          <w:rFonts w:ascii="Times New Roman" w:eastAsia="Times New Roman" w:hAnsi="Times New Roman" w:cs="Times New Roman"/>
          <w:sz w:val="24"/>
          <w:szCs w:val="24"/>
        </w:rPr>
        <w:t xml:space="preserve"> </w:t>
      </w:r>
      <w:r w:rsidRPr="0098239D">
        <w:rPr>
          <w:rFonts w:ascii="Times New Roman" w:eastAsia="Times New Roman" w:hAnsi="Times New Roman" w:cs="Times New Roman"/>
          <w:sz w:val="24"/>
          <w:szCs w:val="24"/>
        </w:rPr>
        <w:t>the plan’s accrued benefit.</w:t>
      </w:r>
    </w:p>
    <w:p w:rsidR="00037168" w:rsidRPr="0098239D" w:rsidRDefault="00037168" w:rsidP="0098239D">
      <w:pPr>
        <w:pStyle w:val="NoSpacing"/>
        <w:ind w:left="720"/>
        <w:rPr>
          <w:rFonts w:ascii="Times New Roman" w:eastAsia="Times New Roman" w:hAnsi="Times New Roman" w:cs="Times New Roman"/>
          <w:sz w:val="24"/>
          <w:szCs w:val="24"/>
        </w:rPr>
      </w:pPr>
    </w:p>
    <w:p w:rsidR="008805C0" w:rsidRDefault="008805C0" w:rsidP="00A16475">
      <w:pPr>
        <w:pStyle w:val="NoSpacing"/>
        <w:ind w:left="720"/>
        <w:rPr>
          <w:rFonts w:ascii="Times New Roman" w:hAnsi="Times New Roman" w:cs="Times New Roman"/>
          <w:b/>
          <w:sz w:val="24"/>
          <w:szCs w:val="24"/>
        </w:rPr>
      </w:pPr>
      <w:r>
        <w:rPr>
          <w:rFonts w:ascii="Times New Roman" w:hAnsi="Times New Roman" w:cs="Times New Roman"/>
          <w:b/>
          <w:sz w:val="24"/>
          <w:szCs w:val="24"/>
        </w:rPr>
        <w:t>Q. 5.</w:t>
      </w:r>
      <w:r w:rsidR="00D23016">
        <w:rPr>
          <w:rFonts w:ascii="Times New Roman" w:hAnsi="Times New Roman" w:cs="Times New Roman"/>
          <w:b/>
          <w:sz w:val="24"/>
          <w:szCs w:val="24"/>
        </w:rPr>
        <w:t>1</w:t>
      </w:r>
      <w:r w:rsidR="002033BB">
        <w:rPr>
          <w:rFonts w:ascii="Times New Roman" w:hAnsi="Times New Roman" w:cs="Times New Roman"/>
          <w:b/>
          <w:sz w:val="24"/>
          <w:szCs w:val="24"/>
        </w:rPr>
        <w:t>5</w:t>
      </w:r>
      <w:r>
        <w:rPr>
          <w:rFonts w:ascii="Times New Roman" w:hAnsi="Times New Roman" w:cs="Times New Roman"/>
          <w:b/>
          <w:sz w:val="24"/>
          <w:szCs w:val="24"/>
        </w:rPr>
        <w:t xml:space="preserve">:  </w:t>
      </w:r>
      <w:r w:rsidR="00A16475">
        <w:rPr>
          <w:rFonts w:ascii="Times New Roman" w:hAnsi="Times New Roman" w:cs="Times New Roman"/>
          <w:b/>
          <w:sz w:val="24"/>
          <w:szCs w:val="24"/>
        </w:rPr>
        <w:t xml:space="preserve">What are the minimum benefit rules for </w:t>
      </w:r>
      <w:r w:rsidR="002033BB">
        <w:rPr>
          <w:rFonts w:ascii="Times New Roman" w:hAnsi="Times New Roman" w:cs="Times New Roman"/>
          <w:b/>
          <w:sz w:val="24"/>
          <w:szCs w:val="24"/>
        </w:rPr>
        <w:t xml:space="preserve">a </w:t>
      </w:r>
      <w:r w:rsidR="00A16475">
        <w:rPr>
          <w:rFonts w:ascii="Times New Roman" w:hAnsi="Times New Roman" w:cs="Times New Roman"/>
          <w:b/>
          <w:sz w:val="24"/>
          <w:szCs w:val="24"/>
        </w:rPr>
        <w:t xml:space="preserve">top-heavy </w:t>
      </w:r>
      <w:r w:rsidR="007827DF">
        <w:rPr>
          <w:rFonts w:ascii="Times New Roman" w:hAnsi="Times New Roman" w:cs="Times New Roman"/>
          <w:b/>
          <w:sz w:val="24"/>
          <w:szCs w:val="24"/>
        </w:rPr>
        <w:t xml:space="preserve">401(k) plan or other </w:t>
      </w:r>
      <w:r w:rsidR="002033BB">
        <w:rPr>
          <w:rFonts w:ascii="Times New Roman" w:hAnsi="Times New Roman" w:cs="Times New Roman"/>
          <w:b/>
          <w:sz w:val="24"/>
          <w:szCs w:val="24"/>
        </w:rPr>
        <w:t xml:space="preserve">defined contribution </w:t>
      </w:r>
      <w:r w:rsidR="00A16475">
        <w:rPr>
          <w:rFonts w:ascii="Times New Roman" w:hAnsi="Times New Roman" w:cs="Times New Roman"/>
          <w:b/>
          <w:sz w:val="24"/>
          <w:szCs w:val="24"/>
        </w:rPr>
        <w:t>plan</w:t>
      </w:r>
      <w:r w:rsidRPr="000E5E99">
        <w:rPr>
          <w:rFonts w:ascii="Times New Roman" w:hAnsi="Times New Roman" w:cs="Times New Roman"/>
          <w:b/>
          <w:sz w:val="24"/>
          <w:szCs w:val="24"/>
        </w:rPr>
        <w:t>?</w:t>
      </w:r>
    </w:p>
    <w:p w:rsidR="008805C0" w:rsidRDefault="008805C0" w:rsidP="00A16475">
      <w:pPr>
        <w:pStyle w:val="NoSpacing"/>
        <w:ind w:left="720"/>
        <w:rPr>
          <w:rFonts w:ascii="Times New Roman" w:eastAsia="Times New Roman" w:hAnsi="Times New Roman" w:cs="Times New Roman"/>
          <w:sz w:val="24"/>
          <w:szCs w:val="24"/>
        </w:rPr>
      </w:pPr>
    </w:p>
    <w:p w:rsidR="00FB3658" w:rsidRDefault="002033BB" w:rsidP="002033BB">
      <w:pPr>
        <w:pStyle w:val="NoSpacing"/>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07651E">
        <w:rPr>
          <w:rFonts w:ascii="Times New Roman" w:eastAsia="Times New Roman" w:hAnsi="Times New Roman" w:cs="Times New Roman"/>
          <w:sz w:val="24"/>
          <w:szCs w:val="24"/>
        </w:rPr>
        <w:t xml:space="preserve">he plan must provide </w:t>
      </w:r>
      <w:r>
        <w:rPr>
          <w:rFonts w:ascii="Times New Roman" w:eastAsia="Times New Roman" w:hAnsi="Times New Roman" w:cs="Times New Roman"/>
          <w:sz w:val="24"/>
          <w:szCs w:val="24"/>
        </w:rPr>
        <w:t xml:space="preserve">a </w:t>
      </w:r>
      <w:r w:rsidRPr="0007651E">
        <w:rPr>
          <w:rFonts w:ascii="Times New Roman" w:eastAsia="Times New Roman" w:hAnsi="Times New Roman" w:cs="Times New Roman"/>
          <w:sz w:val="24"/>
          <w:szCs w:val="24"/>
        </w:rPr>
        <w:t xml:space="preserve">minimum </w:t>
      </w:r>
      <w:r w:rsidR="00A16475" w:rsidRPr="0007651E">
        <w:rPr>
          <w:rFonts w:ascii="Times New Roman" w:eastAsia="Times New Roman" w:hAnsi="Times New Roman" w:cs="Times New Roman"/>
          <w:sz w:val="24"/>
          <w:szCs w:val="24"/>
        </w:rPr>
        <w:t xml:space="preserve">contribution </w:t>
      </w:r>
      <w:r>
        <w:rPr>
          <w:rFonts w:ascii="Times New Roman" w:eastAsia="Times New Roman" w:hAnsi="Times New Roman" w:cs="Times New Roman"/>
          <w:sz w:val="24"/>
          <w:szCs w:val="24"/>
        </w:rPr>
        <w:t>equal to</w:t>
      </w:r>
      <w:r w:rsidR="00A16475" w:rsidRPr="0007651E">
        <w:rPr>
          <w:rFonts w:ascii="Times New Roman" w:eastAsia="Times New Roman" w:hAnsi="Times New Roman" w:cs="Times New Roman"/>
          <w:sz w:val="24"/>
          <w:szCs w:val="24"/>
        </w:rPr>
        <w:t xml:space="preserve"> 3 percent of the employee’s compensation</w:t>
      </w:r>
      <w:r w:rsidR="00331610">
        <w:rPr>
          <w:rFonts w:ascii="Times New Roman" w:eastAsia="Times New Roman" w:hAnsi="Times New Roman" w:cs="Times New Roman"/>
          <w:sz w:val="24"/>
          <w:szCs w:val="24"/>
        </w:rPr>
        <w:t xml:space="preserve"> </w:t>
      </w:r>
      <w:r w:rsidR="00CA512E">
        <w:rPr>
          <w:rFonts w:ascii="Times New Roman" w:eastAsia="Times New Roman" w:hAnsi="Times New Roman" w:cs="Times New Roman"/>
          <w:sz w:val="24"/>
          <w:szCs w:val="24"/>
        </w:rPr>
        <w:t xml:space="preserve">or, if less, </w:t>
      </w:r>
      <w:r w:rsidR="00A16475" w:rsidRPr="0007651E">
        <w:rPr>
          <w:rFonts w:ascii="Times New Roman" w:eastAsia="Times New Roman" w:hAnsi="Times New Roman" w:cs="Times New Roman"/>
          <w:sz w:val="24"/>
          <w:szCs w:val="24"/>
        </w:rPr>
        <w:t>the highest percentage contribution made for any key employee</w:t>
      </w:r>
      <w:r w:rsidR="00FB3658">
        <w:rPr>
          <w:rFonts w:ascii="Times New Roman" w:eastAsia="Times New Roman" w:hAnsi="Times New Roman" w:cs="Times New Roman"/>
          <w:sz w:val="24"/>
          <w:szCs w:val="24"/>
        </w:rPr>
        <w:t>.</w:t>
      </w:r>
      <w:r w:rsidR="000652A9">
        <w:rPr>
          <w:rStyle w:val="FootnoteReference"/>
          <w:rFonts w:ascii="Times New Roman" w:eastAsia="Times New Roman" w:hAnsi="Times New Roman" w:cs="Times New Roman"/>
          <w:sz w:val="24"/>
          <w:szCs w:val="24"/>
        </w:rPr>
        <w:footnoteReference w:id="19"/>
      </w:r>
    </w:p>
    <w:p w:rsidR="00A16475" w:rsidRDefault="00FB3658" w:rsidP="002033BB">
      <w:pPr>
        <w:pStyle w:val="NoSpacing"/>
        <w:numPr>
          <w:ilvl w:val="0"/>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minimum contribution may </w:t>
      </w:r>
      <w:r w:rsidR="00257B0E">
        <w:rPr>
          <w:rFonts w:ascii="Times New Roman" w:eastAsia="Times New Roman" w:hAnsi="Times New Roman" w:cs="Times New Roman"/>
          <w:sz w:val="24"/>
          <w:szCs w:val="24"/>
        </w:rPr>
        <w:t xml:space="preserve">not </w:t>
      </w:r>
      <w:r>
        <w:rPr>
          <w:rFonts w:ascii="Times New Roman" w:eastAsia="Times New Roman" w:hAnsi="Times New Roman" w:cs="Times New Roman"/>
          <w:sz w:val="24"/>
          <w:szCs w:val="24"/>
        </w:rPr>
        <w:t>include</w:t>
      </w:r>
      <w:r w:rsidR="00A16475" w:rsidRPr="0007651E">
        <w:rPr>
          <w:rFonts w:ascii="Times New Roman" w:eastAsia="Times New Roman" w:hAnsi="Times New Roman" w:cs="Times New Roman"/>
          <w:sz w:val="24"/>
          <w:szCs w:val="24"/>
        </w:rPr>
        <w:t xml:space="preserve"> </w:t>
      </w:r>
      <w:r w:rsidR="00257B0E">
        <w:rPr>
          <w:rFonts w:ascii="Times New Roman" w:eastAsia="Times New Roman" w:hAnsi="Times New Roman" w:cs="Times New Roman"/>
          <w:sz w:val="24"/>
          <w:szCs w:val="24"/>
        </w:rPr>
        <w:t xml:space="preserve">investment earnings or employee </w:t>
      </w:r>
      <w:r w:rsidR="00A16475" w:rsidRPr="0007651E">
        <w:rPr>
          <w:rFonts w:ascii="Times New Roman" w:eastAsia="Times New Roman" w:hAnsi="Times New Roman" w:cs="Times New Roman"/>
          <w:sz w:val="24"/>
          <w:szCs w:val="24"/>
        </w:rPr>
        <w:t>elective deferrals</w:t>
      </w:r>
      <w:r w:rsidR="00257B0E">
        <w:rPr>
          <w:rFonts w:ascii="Times New Roman" w:eastAsia="Times New Roman" w:hAnsi="Times New Roman" w:cs="Times New Roman"/>
          <w:sz w:val="24"/>
          <w:szCs w:val="24"/>
        </w:rPr>
        <w:t xml:space="preserve"> </w:t>
      </w:r>
      <w:r w:rsidR="00A16475" w:rsidRPr="0007651E">
        <w:rPr>
          <w:rFonts w:ascii="Times New Roman" w:eastAsia="Times New Roman" w:hAnsi="Times New Roman" w:cs="Times New Roman"/>
          <w:sz w:val="24"/>
          <w:szCs w:val="24"/>
        </w:rPr>
        <w:t xml:space="preserve">under </w:t>
      </w:r>
      <w:r w:rsidR="00A51BDB">
        <w:rPr>
          <w:rFonts w:ascii="Times New Roman" w:eastAsia="Times New Roman" w:hAnsi="Times New Roman" w:cs="Times New Roman"/>
          <w:sz w:val="24"/>
          <w:szCs w:val="24"/>
        </w:rPr>
        <w:t>Code</w:t>
      </w:r>
      <w:r w:rsidR="00A51BDB" w:rsidRPr="0007651E">
        <w:rPr>
          <w:rFonts w:ascii="Times New Roman" w:eastAsia="Times New Roman" w:hAnsi="Times New Roman" w:cs="Times New Roman"/>
          <w:sz w:val="24"/>
          <w:szCs w:val="24"/>
        </w:rPr>
        <w:t xml:space="preserve"> </w:t>
      </w:r>
      <w:r w:rsidR="00A16475" w:rsidRPr="0007651E">
        <w:rPr>
          <w:rFonts w:ascii="Times New Roman" w:eastAsia="Times New Roman" w:hAnsi="Times New Roman" w:cs="Times New Roman"/>
          <w:sz w:val="24"/>
          <w:szCs w:val="24"/>
        </w:rPr>
        <w:t>Section 402(g) in a 401(k)</w:t>
      </w:r>
      <w:r w:rsidR="00257B0E">
        <w:rPr>
          <w:rFonts w:ascii="Times New Roman" w:eastAsia="Times New Roman" w:hAnsi="Times New Roman" w:cs="Times New Roman"/>
          <w:sz w:val="24"/>
          <w:szCs w:val="24"/>
        </w:rPr>
        <w:t xml:space="preserve"> plan (although elective deferrals of key employees are included in the determination of the highest percentage contribution made for any key employee).</w:t>
      </w:r>
      <w:r w:rsidR="00A51BDB">
        <w:rPr>
          <w:rStyle w:val="FootnoteReference"/>
          <w:rFonts w:ascii="Times New Roman" w:eastAsia="Times New Roman" w:hAnsi="Times New Roman" w:cs="Times New Roman"/>
          <w:sz w:val="24"/>
          <w:szCs w:val="24"/>
        </w:rPr>
        <w:footnoteReference w:id="20"/>
      </w:r>
      <w:r w:rsidR="00720943">
        <w:rPr>
          <w:rFonts w:ascii="Times New Roman" w:eastAsia="Times New Roman" w:hAnsi="Times New Roman" w:cs="Times New Roman"/>
          <w:sz w:val="24"/>
          <w:szCs w:val="24"/>
        </w:rPr>
        <w:t xml:space="preserve"> </w:t>
      </w:r>
    </w:p>
    <w:p w:rsidR="00257B0E" w:rsidRDefault="00257B0E" w:rsidP="002033BB">
      <w:pPr>
        <w:pStyle w:val="NoSpacing"/>
        <w:numPr>
          <w:ilvl w:val="0"/>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Pr="00257B0E">
        <w:rPr>
          <w:rFonts w:ascii="Times New Roman" w:eastAsia="Times New Roman" w:hAnsi="Times New Roman" w:cs="Times New Roman"/>
          <w:sz w:val="24"/>
          <w:szCs w:val="24"/>
        </w:rPr>
        <w:t xml:space="preserve">ualified </w:t>
      </w:r>
      <w:proofErr w:type="spellStart"/>
      <w:r w:rsidRPr="00257B0E">
        <w:rPr>
          <w:rFonts w:ascii="Times New Roman" w:eastAsia="Times New Roman" w:hAnsi="Times New Roman" w:cs="Times New Roman"/>
          <w:sz w:val="24"/>
          <w:szCs w:val="24"/>
        </w:rPr>
        <w:t>nonelective</w:t>
      </w:r>
      <w:proofErr w:type="spellEnd"/>
      <w:r w:rsidRPr="00257B0E">
        <w:rPr>
          <w:rFonts w:ascii="Times New Roman" w:eastAsia="Times New Roman" w:hAnsi="Times New Roman" w:cs="Times New Roman"/>
          <w:sz w:val="24"/>
          <w:szCs w:val="24"/>
        </w:rPr>
        <w:t xml:space="preserve"> contributions</w:t>
      </w:r>
      <w:r>
        <w:rPr>
          <w:rFonts w:ascii="Times New Roman" w:eastAsia="Times New Roman" w:hAnsi="Times New Roman" w:cs="Times New Roman"/>
          <w:sz w:val="24"/>
          <w:szCs w:val="24"/>
        </w:rPr>
        <w:t xml:space="preserve"> (QNECs) i</w:t>
      </w:r>
      <w:r w:rsidRPr="00257B0E">
        <w:rPr>
          <w:rFonts w:ascii="Times New Roman" w:eastAsia="Times New Roman" w:hAnsi="Times New Roman" w:cs="Times New Roman"/>
          <w:sz w:val="24"/>
          <w:szCs w:val="24"/>
        </w:rPr>
        <w:t xml:space="preserve">n a 401(k) plan, as described in </w:t>
      </w:r>
      <w:r w:rsidR="00A51BDB">
        <w:rPr>
          <w:rFonts w:ascii="Times New Roman" w:eastAsia="Times New Roman" w:hAnsi="Times New Roman" w:cs="Times New Roman"/>
          <w:sz w:val="24"/>
          <w:szCs w:val="24"/>
        </w:rPr>
        <w:t>Code</w:t>
      </w:r>
      <w:r w:rsidR="00A51BDB" w:rsidRPr="00257B0E">
        <w:rPr>
          <w:rFonts w:ascii="Times New Roman" w:eastAsia="Times New Roman" w:hAnsi="Times New Roman" w:cs="Times New Roman"/>
          <w:sz w:val="24"/>
          <w:szCs w:val="24"/>
        </w:rPr>
        <w:t xml:space="preserve"> </w:t>
      </w:r>
      <w:r w:rsidRPr="00257B0E">
        <w:rPr>
          <w:rFonts w:ascii="Times New Roman" w:eastAsia="Times New Roman" w:hAnsi="Times New Roman" w:cs="Times New Roman"/>
          <w:sz w:val="24"/>
          <w:szCs w:val="24"/>
        </w:rPr>
        <w:t>Section 401(m</w:t>
      </w:r>
      <w:proofErr w:type="gramStart"/>
      <w:r w:rsidRPr="00257B0E">
        <w:rPr>
          <w:rFonts w:ascii="Times New Roman" w:eastAsia="Times New Roman" w:hAnsi="Times New Roman" w:cs="Times New Roman"/>
          <w:sz w:val="24"/>
          <w:szCs w:val="24"/>
        </w:rPr>
        <w:t>)(</w:t>
      </w:r>
      <w:proofErr w:type="gramEnd"/>
      <w:r w:rsidRPr="00257B0E">
        <w:rPr>
          <w:rFonts w:ascii="Times New Roman" w:eastAsia="Times New Roman" w:hAnsi="Times New Roman" w:cs="Times New Roman"/>
          <w:sz w:val="24"/>
          <w:szCs w:val="24"/>
        </w:rPr>
        <w:t>4)(C), may be treated as employer contributions for purposes of top-heavy minimum contributions.</w:t>
      </w:r>
      <w:r w:rsidR="00A51BDB">
        <w:rPr>
          <w:rStyle w:val="FootnoteReference"/>
          <w:rFonts w:ascii="Times New Roman" w:eastAsia="Times New Roman" w:hAnsi="Times New Roman" w:cs="Times New Roman"/>
          <w:sz w:val="24"/>
          <w:szCs w:val="24"/>
        </w:rPr>
        <w:footnoteReference w:id="21"/>
      </w:r>
      <w:r w:rsidR="00720943">
        <w:rPr>
          <w:rFonts w:ascii="Times New Roman" w:eastAsia="Times New Roman" w:hAnsi="Times New Roman" w:cs="Times New Roman"/>
          <w:sz w:val="24"/>
          <w:szCs w:val="24"/>
        </w:rPr>
        <w:t xml:space="preserve"> </w:t>
      </w:r>
    </w:p>
    <w:p w:rsidR="00257B0E" w:rsidRPr="00331610" w:rsidRDefault="00331610" w:rsidP="002033BB">
      <w:pPr>
        <w:pStyle w:val="NoSpacing"/>
        <w:numPr>
          <w:ilvl w:val="0"/>
          <w:numId w:val="27"/>
        </w:numPr>
        <w:rPr>
          <w:rFonts w:ascii="Times New Roman" w:eastAsia="Times New Roman" w:hAnsi="Times New Roman" w:cs="Times New Roman"/>
          <w:sz w:val="24"/>
          <w:szCs w:val="24"/>
        </w:rPr>
      </w:pPr>
      <w:r w:rsidRPr="00331610">
        <w:rPr>
          <w:rFonts w:ascii="Times New Roman" w:eastAsia="Times New Roman" w:hAnsi="Times New Roman" w:cs="Times New Roman"/>
          <w:sz w:val="24"/>
          <w:szCs w:val="24"/>
        </w:rPr>
        <w:t>Matching contributions</w:t>
      </w:r>
      <w:r>
        <w:rPr>
          <w:rFonts w:ascii="Times New Roman" w:eastAsia="Times New Roman" w:hAnsi="Times New Roman" w:cs="Times New Roman"/>
          <w:sz w:val="24"/>
          <w:szCs w:val="24"/>
        </w:rPr>
        <w:t xml:space="preserve">, </w:t>
      </w:r>
      <w:r w:rsidRPr="00331610">
        <w:rPr>
          <w:rFonts w:ascii="Times New Roman" w:eastAsia="Times New Roman" w:hAnsi="Times New Roman" w:cs="Times New Roman"/>
          <w:sz w:val="24"/>
          <w:szCs w:val="24"/>
        </w:rPr>
        <w:t xml:space="preserve">as described in </w:t>
      </w:r>
      <w:r w:rsidR="00A51BDB">
        <w:rPr>
          <w:rFonts w:ascii="Times New Roman" w:eastAsia="Times New Roman" w:hAnsi="Times New Roman" w:cs="Times New Roman"/>
          <w:sz w:val="24"/>
          <w:szCs w:val="24"/>
        </w:rPr>
        <w:t>Code</w:t>
      </w:r>
      <w:r w:rsidR="00A51BDB" w:rsidRPr="00331610">
        <w:rPr>
          <w:rFonts w:ascii="Times New Roman" w:eastAsia="Times New Roman" w:hAnsi="Times New Roman" w:cs="Times New Roman"/>
          <w:sz w:val="24"/>
          <w:szCs w:val="24"/>
        </w:rPr>
        <w:t xml:space="preserve"> </w:t>
      </w:r>
      <w:r w:rsidRPr="00331610">
        <w:rPr>
          <w:rFonts w:ascii="Times New Roman" w:eastAsia="Times New Roman" w:hAnsi="Times New Roman" w:cs="Times New Roman"/>
          <w:sz w:val="24"/>
          <w:szCs w:val="24"/>
        </w:rPr>
        <w:t>Section 401(m</w:t>
      </w:r>
      <w:proofErr w:type="gramStart"/>
      <w:r w:rsidRPr="00331610">
        <w:rPr>
          <w:rFonts w:ascii="Times New Roman" w:eastAsia="Times New Roman" w:hAnsi="Times New Roman" w:cs="Times New Roman"/>
          <w:sz w:val="24"/>
          <w:szCs w:val="24"/>
        </w:rPr>
        <w:t>)(</w:t>
      </w:r>
      <w:proofErr w:type="gramEnd"/>
      <w:r w:rsidRPr="00331610">
        <w:rPr>
          <w:rFonts w:ascii="Times New Roman" w:eastAsia="Times New Roman" w:hAnsi="Times New Roman" w:cs="Times New Roman"/>
          <w:sz w:val="24"/>
          <w:szCs w:val="24"/>
        </w:rPr>
        <w:t xml:space="preserve">4)(A), </w:t>
      </w:r>
      <w:r>
        <w:rPr>
          <w:rFonts w:ascii="Times New Roman" w:eastAsia="Times New Roman" w:hAnsi="Times New Roman" w:cs="Times New Roman"/>
          <w:sz w:val="24"/>
          <w:szCs w:val="24"/>
        </w:rPr>
        <w:t>can</w:t>
      </w:r>
      <w:r w:rsidRPr="00331610">
        <w:rPr>
          <w:rFonts w:ascii="Times New Roman" w:eastAsia="Times New Roman" w:hAnsi="Times New Roman" w:cs="Times New Roman"/>
          <w:sz w:val="24"/>
          <w:szCs w:val="24"/>
        </w:rPr>
        <w:t xml:space="preserve"> be counted towards the minimum top-heavy contribution requirement.</w:t>
      </w:r>
      <w:r w:rsidR="00A51BDB">
        <w:rPr>
          <w:rStyle w:val="FootnoteReference"/>
          <w:rFonts w:ascii="Times New Roman" w:eastAsia="Times New Roman" w:hAnsi="Times New Roman" w:cs="Times New Roman"/>
          <w:sz w:val="24"/>
          <w:szCs w:val="24"/>
        </w:rPr>
        <w:footnoteReference w:id="22"/>
      </w:r>
      <w:r w:rsidR="00720943">
        <w:rPr>
          <w:rFonts w:ascii="Times New Roman" w:eastAsia="Times New Roman" w:hAnsi="Times New Roman" w:cs="Times New Roman"/>
          <w:sz w:val="24"/>
          <w:szCs w:val="24"/>
        </w:rPr>
        <w:t xml:space="preserve"> </w:t>
      </w:r>
    </w:p>
    <w:p w:rsidR="00B218BA" w:rsidRDefault="00B218BA" w:rsidP="002033BB">
      <w:pPr>
        <w:pStyle w:val="NoSpacing"/>
        <w:numPr>
          <w:ilvl w:val="0"/>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B218BA">
        <w:rPr>
          <w:rFonts w:ascii="Times New Roman" w:eastAsia="Times New Roman" w:hAnsi="Times New Roman" w:cs="Times New Roman"/>
          <w:sz w:val="24"/>
          <w:szCs w:val="24"/>
        </w:rPr>
        <w:t xml:space="preserve">articipants </w:t>
      </w:r>
      <w:r>
        <w:rPr>
          <w:rFonts w:ascii="Times New Roman" w:eastAsia="Times New Roman" w:hAnsi="Times New Roman" w:cs="Times New Roman"/>
          <w:sz w:val="24"/>
          <w:szCs w:val="24"/>
        </w:rPr>
        <w:t xml:space="preserve">in a defined contribution plan </w:t>
      </w:r>
      <w:r w:rsidRPr="00B218BA">
        <w:rPr>
          <w:rFonts w:ascii="Times New Roman" w:eastAsia="Times New Roman" w:hAnsi="Times New Roman" w:cs="Times New Roman"/>
          <w:sz w:val="24"/>
          <w:szCs w:val="24"/>
        </w:rPr>
        <w:t xml:space="preserve">employed on the last day of the plan year must receive a contribution regardless of whether they have 1,000 hours of service </w:t>
      </w:r>
      <w:r w:rsidR="00F165CD">
        <w:rPr>
          <w:rFonts w:ascii="Times New Roman" w:eastAsia="Times New Roman" w:hAnsi="Times New Roman" w:cs="Times New Roman"/>
          <w:sz w:val="24"/>
          <w:szCs w:val="24"/>
        </w:rPr>
        <w:t xml:space="preserve">or not </w:t>
      </w:r>
      <w:r w:rsidRPr="00B218BA">
        <w:rPr>
          <w:rFonts w:ascii="Times New Roman" w:eastAsia="Times New Roman" w:hAnsi="Times New Roman" w:cs="Times New Roman"/>
          <w:sz w:val="24"/>
          <w:szCs w:val="24"/>
        </w:rPr>
        <w:t>during that plan year.</w:t>
      </w:r>
      <w:r w:rsidR="000652A9">
        <w:rPr>
          <w:rStyle w:val="FootnoteReference"/>
          <w:rFonts w:ascii="Times New Roman" w:eastAsia="Times New Roman" w:hAnsi="Times New Roman" w:cs="Times New Roman"/>
          <w:sz w:val="24"/>
          <w:szCs w:val="24"/>
        </w:rPr>
        <w:footnoteReference w:id="23"/>
      </w:r>
      <w:r w:rsidR="00720943">
        <w:rPr>
          <w:rFonts w:ascii="Times New Roman" w:eastAsia="Times New Roman" w:hAnsi="Times New Roman" w:cs="Times New Roman"/>
          <w:sz w:val="24"/>
          <w:szCs w:val="24"/>
        </w:rPr>
        <w:t xml:space="preserve"> </w:t>
      </w:r>
    </w:p>
    <w:p w:rsidR="00440957" w:rsidRDefault="00440957" w:rsidP="00440957">
      <w:pPr>
        <w:pStyle w:val="NoSpacing"/>
        <w:rPr>
          <w:rFonts w:ascii="Times New Roman" w:eastAsia="Times New Roman" w:hAnsi="Times New Roman" w:cs="Times New Roman"/>
          <w:sz w:val="24"/>
          <w:szCs w:val="24"/>
        </w:rPr>
      </w:pPr>
    </w:p>
    <w:p w:rsidR="00440957" w:rsidRDefault="00440957" w:rsidP="00440957">
      <w:pPr>
        <w:pStyle w:val="NoSpacing"/>
        <w:ind w:left="720"/>
        <w:rPr>
          <w:rFonts w:ascii="Times New Roman" w:hAnsi="Times New Roman" w:cs="Times New Roman"/>
          <w:sz w:val="20"/>
          <w:szCs w:val="20"/>
        </w:rPr>
      </w:pPr>
    </w:p>
    <w:p w:rsidR="0047401D" w:rsidRDefault="0047401D" w:rsidP="0047401D">
      <w:pPr>
        <w:pStyle w:val="NoSpacing"/>
        <w:ind w:left="1080"/>
        <w:rPr>
          <w:rFonts w:ascii="Times New Roman" w:hAnsi="Times New Roman" w:cs="Times New Roman"/>
          <w:b/>
          <w:sz w:val="24"/>
          <w:szCs w:val="24"/>
        </w:rPr>
      </w:pPr>
    </w:p>
    <w:p w:rsidR="00F165CD" w:rsidRDefault="00DF21ED" w:rsidP="0047401D">
      <w:pPr>
        <w:pStyle w:val="NoSpacing"/>
        <w:ind w:left="1080"/>
        <w:rPr>
          <w:rFonts w:ascii="Times New Roman" w:eastAsia="Times New Roman" w:hAnsi="Times New Roman" w:cs="Times New Roman"/>
          <w:sz w:val="24"/>
          <w:szCs w:val="24"/>
        </w:rPr>
      </w:pPr>
      <w:proofErr w:type="gramStart"/>
      <w:r w:rsidRPr="00C92AEF">
        <w:rPr>
          <w:rFonts w:ascii="Times New Roman" w:eastAsia="Times New Roman" w:hAnsi="Times New Roman" w:cs="Times New Roman"/>
          <w:b/>
          <w:sz w:val="24"/>
          <w:szCs w:val="24"/>
        </w:rPr>
        <w:t xml:space="preserve">Example </w:t>
      </w:r>
      <w:r w:rsidR="000F42B7">
        <w:rPr>
          <w:rFonts w:ascii="Times New Roman" w:eastAsia="Times New Roman" w:hAnsi="Times New Roman" w:cs="Times New Roman"/>
          <w:b/>
          <w:sz w:val="24"/>
          <w:szCs w:val="24"/>
        </w:rPr>
        <w:t>6</w:t>
      </w:r>
      <w:r w:rsidRPr="00C92AEF">
        <w:rPr>
          <w:rFonts w:ascii="Times New Roman" w:eastAsia="Times New Roman" w:hAnsi="Times New Roman" w:cs="Times New Roman"/>
          <w:b/>
          <w:sz w:val="24"/>
          <w:szCs w:val="24"/>
        </w:rPr>
        <w:t>.</w:t>
      </w:r>
      <w:proofErr w:type="gramEnd"/>
      <w:r w:rsidRPr="00C92AEF">
        <w:rPr>
          <w:rFonts w:ascii="Times New Roman" w:eastAsia="Times New Roman" w:hAnsi="Times New Roman" w:cs="Times New Roman"/>
          <w:sz w:val="24"/>
          <w:szCs w:val="24"/>
        </w:rPr>
        <w:t xml:space="preserve">  </w:t>
      </w:r>
      <w:r w:rsidR="00CA0FA3" w:rsidRPr="00077F32">
        <w:rPr>
          <w:rFonts w:ascii="Times New Roman" w:eastAsia="Times New Roman" w:hAnsi="Times New Roman" w:cs="Times New Roman"/>
          <w:sz w:val="24"/>
          <w:szCs w:val="24"/>
        </w:rPr>
        <w:t>Following are the top-heavy considerations if the employer discussed in Table 5-1</w:t>
      </w:r>
      <w:r w:rsidR="00B118EF">
        <w:rPr>
          <w:rFonts w:ascii="Times New Roman" w:eastAsia="Times New Roman" w:hAnsi="Times New Roman" w:cs="Times New Roman"/>
          <w:sz w:val="24"/>
          <w:szCs w:val="24"/>
        </w:rPr>
        <w:t xml:space="preserve"> (see Q. 5.14)</w:t>
      </w:r>
      <w:r w:rsidR="00CA0FA3" w:rsidRPr="00077F32">
        <w:rPr>
          <w:rFonts w:ascii="Times New Roman" w:eastAsia="Times New Roman" w:hAnsi="Times New Roman" w:cs="Times New Roman"/>
          <w:sz w:val="24"/>
          <w:szCs w:val="24"/>
        </w:rPr>
        <w:t xml:space="preserve"> sponsors a traditional 401(k) plan instead (</w:t>
      </w:r>
      <w:r w:rsidR="00B118EF">
        <w:rPr>
          <w:rFonts w:ascii="Times New Roman" w:eastAsia="Times New Roman" w:hAnsi="Times New Roman" w:cs="Times New Roman"/>
          <w:sz w:val="24"/>
          <w:szCs w:val="24"/>
        </w:rPr>
        <w:t>s</w:t>
      </w:r>
      <w:r w:rsidR="00B118EF" w:rsidRPr="00077F32">
        <w:rPr>
          <w:rFonts w:ascii="Times New Roman" w:eastAsia="Times New Roman" w:hAnsi="Times New Roman" w:cs="Times New Roman"/>
          <w:sz w:val="24"/>
          <w:szCs w:val="24"/>
        </w:rPr>
        <w:t xml:space="preserve">ee </w:t>
      </w:r>
      <w:r w:rsidR="00CA0FA3" w:rsidRPr="00077F32">
        <w:rPr>
          <w:rFonts w:ascii="Times New Roman" w:eastAsia="Times New Roman" w:hAnsi="Times New Roman" w:cs="Times New Roman"/>
          <w:sz w:val="24"/>
          <w:szCs w:val="24"/>
        </w:rPr>
        <w:t xml:space="preserve">Chapter 6). </w:t>
      </w:r>
      <w:r w:rsidR="00F165CD" w:rsidRPr="00077F32">
        <w:rPr>
          <w:rFonts w:ascii="Times New Roman" w:eastAsia="Times New Roman" w:hAnsi="Times New Roman" w:cs="Times New Roman"/>
          <w:sz w:val="24"/>
          <w:szCs w:val="24"/>
        </w:rPr>
        <w:t>The plan year-end in this case is still December 31, 2013.</w:t>
      </w:r>
      <w:r w:rsidR="00CA0FA3" w:rsidRPr="00077F32">
        <w:rPr>
          <w:rFonts w:ascii="Times New Roman" w:eastAsia="Times New Roman" w:hAnsi="Times New Roman" w:cs="Times New Roman"/>
          <w:sz w:val="24"/>
          <w:szCs w:val="24"/>
        </w:rPr>
        <w:t xml:space="preserve"> </w:t>
      </w:r>
    </w:p>
    <w:p w:rsidR="00F165CD" w:rsidRDefault="00F165CD" w:rsidP="0047401D">
      <w:pPr>
        <w:pStyle w:val="NoSpacing"/>
        <w:ind w:left="1080"/>
        <w:rPr>
          <w:rFonts w:ascii="Times New Roman" w:eastAsia="Times New Roman" w:hAnsi="Times New Roman" w:cs="Times New Roman"/>
          <w:sz w:val="24"/>
          <w:szCs w:val="24"/>
        </w:rPr>
      </w:pPr>
    </w:p>
    <w:p w:rsidR="00DF21ED" w:rsidRPr="00077F32" w:rsidRDefault="00CA0FA3" w:rsidP="0047401D">
      <w:pPr>
        <w:pStyle w:val="NoSpacing"/>
        <w:ind w:left="1080"/>
        <w:rPr>
          <w:rFonts w:ascii="Times New Roman" w:eastAsia="Times New Roman" w:hAnsi="Times New Roman" w:cs="Times New Roman"/>
          <w:sz w:val="24"/>
          <w:szCs w:val="24"/>
        </w:rPr>
      </w:pPr>
      <w:r w:rsidRPr="00077F32">
        <w:rPr>
          <w:rFonts w:ascii="Times New Roman" w:eastAsia="Times New Roman" w:hAnsi="Times New Roman" w:cs="Times New Roman"/>
          <w:sz w:val="24"/>
          <w:szCs w:val="24"/>
        </w:rPr>
        <w:t xml:space="preserve">The ADP test, which includes the 100 percent vested match, is satisfied. The </w:t>
      </w:r>
      <w:r w:rsidR="00261051">
        <w:rPr>
          <w:rFonts w:ascii="Times New Roman" w:eastAsia="Times New Roman" w:hAnsi="Times New Roman" w:cs="Times New Roman"/>
          <w:sz w:val="24"/>
          <w:szCs w:val="24"/>
        </w:rPr>
        <w:t>highly compensated employees</w:t>
      </w:r>
      <w:r w:rsidR="00261051" w:rsidRPr="00077F32">
        <w:rPr>
          <w:rFonts w:ascii="Times New Roman" w:eastAsia="Times New Roman" w:hAnsi="Times New Roman" w:cs="Times New Roman"/>
          <w:sz w:val="24"/>
          <w:szCs w:val="24"/>
        </w:rPr>
        <w:t xml:space="preserve">’ </w:t>
      </w:r>
      <w:r w:rsidRPr="00077F32">
        <w:rPr>
          <w:rFonts w:ascii="Times New Roman" w:eastAsia="Times New Roman" w:hAnsi="Times New Roman" w:cs="Times New Roman"/>
          <w:sz w:val="24"/>
          <w:szCs w:val="24"/>
        </w:rPr>
        <w:t xml:space="preserve">average percentage is 14.25 percent and the </w:t>
      </w:r>
      <w:proofErr w:type="spellStart"/>
      <w:r w:rsidR="00261051">
        <w:rPr>
          <w:rFonts w:ascii="Times New Roman" w:eastAsia="Times New Roman" w:hAnsi="Times New Roman" w:cs="Times New Roman"/>
          <w:sz w:val="24"/>
          <w:szCs w:val="24"/>
        </w:rPr>
        <w:t>nonhighly</w:t>
      </w:r>
      <w:proofErr w:type="spellEnd"/>
      <w:r w:rsidR="00261051">
        <w:rPr>
          <w:rFonts w:ascii="Times New Roman" w:eastAsia="Times New Roman" w:hAnsi="Times New Roman" w:cs="Times New Roman"/>
          <w:sz w:val="24"/>
          <w:szCs w:val="24"/>
        </w:rPr>
        <w:t xml:space="preserve"> compensated employees</w:t>
      </w:r>
      <w:r w:rsidR="00261051" w:rsidRPr="00077F32">
        <w:rPr>
          <w:rFonts w:ascii="Times New Roman" w:eastAsia="Times New Roman" w:hAnsi="Times New Roman" w:cs="Times New Roman"/>
          <w:sz w:val="24"/>
          <w:szCs w:val="24"/>
        </w:rPr>
        <w:t xml:space="preserve">’ </w:t>
      </w:r>
      <w:r w:rsidRPr="00077F32">
        <w:rPr>
          <w:rFonts w:ascii="Times New Roman" w:eastAsia="Times New Roman" w:hAnsi="Times New Roman" w:cs="Times New Roman"/>
          <w:sz w:val="24"/>
          <w:szCs w:val="24"/>
        </w:rPr>
        <w:t xml:space="preserve">average percentage is 12.20 percent.  </w:t>
      </w:r>
    </w:p>
    <w:p w:rsidR="00CA0FA3" w:rsidRDefault="00CA0FA3" w:rsidP="0047401D">
      <w:pPr>
        <w:pStyle w:val="NoSpacing"/>
        <w:ind w:left="1080"/>
        <w:rPr>
          <w:rFonts w:ascii="Times New Roman" w:hAnsi="Times New Roman" w:cs="Times New Roman"/>
          <w:b/>
          <w:sz w:val="24"/>
          <w:szCs w:val="24"/>
        </w:rPr>
      </w:pPr>
    </w:p>
    <w:tbl>
      <w:tblPr>
        <w:tblW w:w="10004" w:type="dxa"/>
        <w:jc w:val="center"/>
        <w:tblLayout w:type="fixed"/>
        <w:tblCellMar>
          <w:left w:w="0" w:type="dxa"/>
          <w:right w:w="0" w:type="dxa"/>
        </w:tblCellMar>
        <w:tblLook w:val="0000" w:firstRow="0" w:lastRow="0" w:firstColumn="0" w:lastColumn="0" w:noHBand="0" w:noVBand="0"/>
      </w:tblPr>
      <w:tblGrid>
        <w:gridCol w:w="1009"/>
        <w:gridCol w:w="1103"/>
        <w:gridCol w:w="643"/>
        <w:gridCol w:w="1170"/>
        <w:gridCol w:w="1170"/>
        <w:gridCol w:w="1233"/>
        <w:gridCol w:w="1246"/>
        <w:gridCol w:w="1260"/>
        <w:gridCol w:w="1170"/>
      </w:tblGrid>
      <w:tr w:rsidR="00DF21ED" w:rsidRPr="00DF21ED" w:rsidTr="0098239D">
        <w:trPr>
          <w:trHeight w:val="300"/>
          <w:jc w:val="center"/>
        </w:trPr>
        <w:tc>
          <w:tcPr>
            <w:tcW w:w="10004" w:type="dxa"/>
            <w:gridSpan w:val="9"/>
            <w:tcBorders>
              <w:top w:val="single" w:sz="6" w:space="0" w:color="auto"/>
              <w:left w:val="single" w:sz="6" w:space="0" w:color="auto"/>
              <w:bottom w:val="single" w:sz="6" w:space="0" w:color="auto"/>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CA0FA3">
            <w:pPr>
              <w:pStyle w:val="TableHead"/>
              <w:rPr>
                <w:rFonts w:ascii="Times New Roman" w:hAnsi="Times New Roman" w:cs="Times New Roman"/>
                <w:sz w:val="24"/>
                <w:szCs w:val="24"/>
              </w:rPr>
            </w:pPr>
            <w:r w:rsidRPr="00DF21ED">
              <w:rPr>
                <w:rFonts w:ascii="Times New Roman" w:hAnsi="Times New Roman" w:cs="Times New Roman"/>
                <w:sz w:val="24"/>
                <w:szCs w:val="24"/>
              </w:rPr>
              <w:t xml:space="preserve">Table </w:t>
            </w:r>
            <w:r w:rsidR="00CA0FA3">
              <w:rPr>
                <w:rFonts w:ascii="Times New Roman" w:hAnsi="Times New Roman" w:cs="Times New Roman"/>
                <w:sz w:val="24"/>
                <w:szCs w:val="24"/>
              </w:rPr>
              <w:t>5</w:t>
            </w:r>
            <w:r w:rsidRPr="00DF21ED">
              <w:rPr>
                <w:rFonts w:ascii="Times New Roman" w:hAnsi="Times New Roman" w:cs="Times New Roman"/>
                <w:sz w:val="24"/>
                <w:szCs w:val="24"/>
              </w:rPr>
              <w:t>-2. Determination of Top-Heavy Contributions in a 401(k) Plan</w:t>
            </w:r>
          </w:p>
        </w:tc>
      </w:tr>
      <w:tr w:rsidR="00DF21ED" w:rsidRPr="00DF21ED" w:rsidTr="0098239D">
        <w:trPr>
          <w:trHeight w:val="300"/>
          <w:jc w:val="center"/>
        </w:trPr>
        <w:tc>
          <w:tcPr>
            <w:tcW w:w="10004" w:type="dxa"/>
            <w:gridSpan w:val="9"/>
            <w:tcBorders>
              <w:top w:val="single" w:sz="6"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suppressAutoHyphens/>
            </w:pPr>
            <w:r w:rsidRPr="00DF21ED">
              <w:t>Matching formula: 100% of the first 3-percent deferral</w:t>
            </w:r>
          </w:p>
        </w:tc>
      </w:tr>
      <w:tr w:rsidR="00CA0FA3" w:rsidRPr="00DF21ED" w:rsidTr="0098239D">
        <w:trPr>
          <w:trHeight w:val="911"/>
          <w:jc w:val="center"/>
        </w:trPr>
        <w:tc>
          <w:tcPr>
            <w:tcW w:w="1009"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suppressAutoHyphens/>
              <w:jc w:val="center"/>
            </w:pPr>
            <w:r w:rsidRPr="00DF21ED">
              <w:rPr>
                <w:b/>
                <w:bCs/>
                <w:i/>
                <w:iCs/>
              </w:rPr>
              <w:t>Name</w:t>
            </w:r>
          </w:p>
        </w:tc>
        <w:tc>
          <w:tcPr>
            <w:tcW w:w="1103"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CA0FA3">
            <w:pPr>
              <w:suppressAutoHyphens/>
              <w:jc w:val="center"/>
            </w:pPr>
            <w:r w:rsidRPr="00DF21ED">
              <w:rPr>
                <w:b/>
                <w:bCs/>
                <w:i/>
                <w:iCs/>
              </w:rPr>
              <w:t xml:space="preserve">Date </w:t>
            </w:r>
            <w:r w:rsidR="00CA0FA3">
              <w:rPr>
                <w:b/>
                <w:bCs/>
                <w:i/>
                <w:iCs/>
              </w:rPr>
              <w:t>o</w:t>
            </w:r>
            <w:r w:rsidRPr="00DF21ED">
              <w:rPr>
                <w:b/>
                <w:bCs/>
                <w:i/>
                <w:iCs/>
              </w:rPr>
              <w:t xml:space="preserve">f </w:t>
            </w:r>
            <w:proofErr w:type="spellStart"/>
            <w:r w:rsidRPr="00DF21ED">
              <w:rPr>
                <w:b/>
                <w:bCs/>
                <w:i/>
                <w:iCs/>
              </w:rPr>
              <w:t>Partici</w:t>
            </w:r>
            <w:r w:rsidR="00CA0FA3">
              <w:rPr>
                <w:b/>
                <w:bCs/>
                <w:i/>
                <w:iCs/>
              </w:rPr>
              <w:t>-</w:t>
            </w:r>
            <w:r w:rsidRPr="00DF21ED">
              <w:rPr>
                <w:b/>
                <w:bCs/>
                <w:i/>
                <w:iCs/>
              </w:rPr>
              <w:t>pation</w:t>
            </w:r>
            <w:proofErr w:type="spellEnd"/>
          </w:p>
        </w:tc>
        <w:tc>
          <w:tcPr>
            <w:tcW w:w="643"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suppressAutoHyphens/>
              <w:jc w:val="center"/>
            </w:pPr>
            <w:r w:rsidRPr="00DF21ED">
              <w:rPr>
                <w:b/>
                <w:bCs/>
                <w:i/>
                <w:iCs/>
              </w:rPr>
              <w:t>Age</w:t>
            </w:r>
          </w:p>
        </w:tc>
        <w:tc>
          <w:tcPr>
            <w:tcW w:w="117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suppressAutoHyphens/>
              <w:jc w:val="center"/>
              <w:rPr>
                <w:b/>
                <w:bCs/>
                <w:i/>
                <w:iCs/>
              </w:rPr>
            </w:pPr>
            <w:r w:rsidRPr="00DF21ED">
              <w:rPr>
                <w:b/>
                <w:bCs/>
                <w:i/>
                <w:iCs/>
              </w:rPr>
              <w:t>Officer/</w:t>
            </w:r>
          </w:p>
          <w:p w:rsidR="00DF21ED" w:rsidRPr="00DF21ED" w:rsidRDefault="00DF21ED" w:rsidP="000F42B7">
            <w:pPr>
              <w:suppressAutoHyphens/>
              <w:jc w:val="center"/>
            </w:pPr>
            <w:r w:rsidRPr="00DF21ED">
              <w:rPr>
                <w:b/>
                <w:bCs/>
                <w:i/>
                <w:iCs/>
              </w:rPr>
              <w:t>Owner</w:t>
            </w:r>
          </w:p>
        </w:tc>
        <w:tc>
          <w:tcPr>
            <w:tcW w:w="117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suppressAutoHyphens/>
              <w:jc w:val="center"/>
            </w:pPr>
            <w:r w:rsidRPr="00DF21ED">
              <w:rPr>
                <w:b/>
                <w:bCs/>
                <w:i/>
                <w:iCs/>
              </w:rPr>
              <w:t>Monthly Salary</w:t>
            </w:r>
          </w:p>
        </w:tc>
        <w:tc>
          <w:tcPr>
            <w:tcW w:w="1233"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suppressAutoHyphens/>
              <w:jc w:val="center"/>
            </w:pPr>
            <w:r w:rsidRPr="00DF21ED">
              <w:rPr>
                <w:b/>
                <w:bCs/>
                <w:i/>
                <w:iCs/>
              </w:rPr>
              <w:t>Employee Deferral</w:t>
            </w:r>
          </w:p>
        </w:tc>
        <w:tc>
          <w:tcPr>
            <w:tcW w:w="1246"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suppressAutoHyphens/>
              <w:jc w:val="center"/>
            </w:pPr>
            <w:r w:rsidRPr="00DF21ED">
              <w:rPr>
                <w:b/>
                <w:bCs/>
                <w:i/>
                <w:iCs/>
              </w:rPr>
              <w:t>Employee Match</w:t>
            </w:r>
          </w:p>
        </w:tc>
        <w:tc>
          <w:tcPr>
            <w:tcW w:w="126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suppressAutoHyphens/>
              <w:jc w:val="center"/>
            </w:pPr>
            <w:r w:rsidRPr="00DF21ED">
              <w:rPr>
                <w:b/>
                <w:bCs/>
                <w:i/>
                <w:iCs/>
              </w:rPr>
              <w:t>Top</w:t>
            </w:r>
            <w:r w:rsidR="005242F8">
              <w:rPr>
                <w:b/>
                <w:bCs/>
                <w:i/>
                <w:iCs/>
              </w:rPr>
              <w:t>-</w:t>
            </w:r>
            <w:r w:rsidRPr="00DF21ED">
              <w:rPr>
                <w:b/>
                <w:bCs/>
                <w:i/>
                <w:iCs/>
              </w:rPr>
              <w:t xml:space="preserve"> Heavy Minimum Deposit</w:t>
            </w:r>
          </w:p>
        </w:tc>
        <w:tc>
          <w:tcPr>
            <w:tcW w:w="1170" w:type="dxa"/>
            <w:tcBorders>
              <w:top w:val="single" w:sz="4" w:space="0" w:color="000000"/>
              <w:left w:val="single" w:sz="4" w:space="0" w:color="000000"/>
              <w:bottom w:val="single" w:sz="4" w:space="0" w:color="000000"/>
              <w:right w:val="single" w:sz="4" w:space="0" w:color="000000"/>
            </w:tcBorders>
            <w:shd w:val="solid" w:color="000000" w:fill="auto"/>
            <w:tcMar>
              <w:top w:w="0" w:type="dxa"/>
              <w:left w:w="90" w:type="dxa"/>
              <w:bottom w:w="0" w:type="dxa"/>
              <w:right w:w="90" w:type="dxa"/>
            </w:tcMar>
            <w:vAlign w:val="center"/>
          </w:tcPr>
          <w:p w:rsidR="00DF21ED" w:rsidRPr="00DF21ED" w:rsidRDefault="00DF21ED" w:rsidP="0098239D">
            <w:pPr>
              <w:suppressAutoHyphens/>
              <w:jc w:val="center"/>
            </w:pPr>
            <w:r w:rsidRPr="00DF21ED">
              <w:rPr>
                <w:b/>
                <w:bCs/>
                <w:i/>
                <w:iCs/>
              </w:rPr>
              <w:t>Account Balance</w:t>
            </w:r>
            <w:r w:rsidR="0098239D">
              <w:rPr>
                <w:b/>
                <w:bCs/>
                <w:i/>
                <w:iCs/>
              </w:rPr>
              <w:t>*</w:t>
            </w:r>
          </w:p>
        </w:tc>
      </w:tr>
      <w:tr w:rsidR="00CA0FA3" w:rsidRPr="00DF21ED" w:rsidTr="0098239D">
        <w:trPr>
          <w:trHeight w:val="260"/>
          <w:jc w:val="center"/>
        </w:trPr>
        <w:tc>
          <w:tcPr>
            <w:tcW w:w="1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suppressAutoHyphens/>
            </w:pPr>
            <w:r w:rsidRPr="00DF21ED">
              <w:t>John</w:t>
            </w:r>
          </w:p>
        </w:tc>
        <w:tc>
          <w:tcPr>
            <w:tcW w:w="1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suppressAutoHyphens/>
              <w:jc w:val="center"/>
            </w:pPr>
            <w:r w:rsidRPr="00DF21ED">
              <w:t>1/1/</w:t>
            </w:r>
            <w:r w:rsidR="00CA0FA3">
              <w:t>2013</w:t>
            </w:r>
          </w:p>
        </w:tc>
        <w:tc>
          <w:tcPr>
            <w:tcW w:w="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suppressAutoHyphens/>
              <w:jc w:val="center"/>
            </w:pPr>
            <w:r w:rsidRPr="00DF21ED">
              <w:t>50</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suppressAutoHyphens/>
              <w:jc w:val="center"/>
            </w:pPr>
            <w:proofErr w:type="spellStart"/>
            <w:r w:rsidRPr="00DF21ED">
              <w:t>Pres</w:t>
            </w:r>
            <w:proofErr w:type="spellEnd"/>
            <w:r w:rsidRPr="00DF21ED">
              <w:t>/50%</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suppressAutoHyphens/>
              <w:jc w:val="right"/>
            </w:pPr>
            <w:r w:rsidRPr="00DF21ED">
              <w:t>$120,000</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suppressAutoHyphens/>
              <w:jc w:val="center"/>
            </w:pPr>
            <w:r w:rsidRPr="00DF21ED">
              <w:t>$15,000</w:t>
            </w:r>
          </w:p>
        </w:tc>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suppressAutoHyphens/>
              <w:ind w:right="72"/>
              <w:jc w:val="right"/>
            </w:pPr>
            <w:r w:rsidRPr="00DF21ED">
              <w:t>$3,600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pStyle w:val="NoParagraphStyle"/>
              <w:spacing w:line="240" w:lineRule="auto"/>
              <w:textAlignment w:val="auto"/>
              <w:rPr>
                <w:rFonts w:ascii="Times New Roman" w:hAnsi="Times New Roman" w:cs="Times New Roman"/>
                <w:color w:val="auto"/>
              </w:rPr>
            </w:pPr>
          </w:p>
        </w:tc>
        <w:tc>
          <w:tcPr>
            <w:tcW w:w="1170" w:type="dxa"/>
            <w:tcBorders>
              <w:top w:val="single" w:sz="4" w:space="0" w:color="000000"/>
              <w:left w:val="single" w:sz="4" w:space="0" w:color="000000"/>
              <w:bottom w:val="single" w:sz="4" w:space="0" w:color="000000"/>
              <w:right w:val="single" w:sz="4" w:space="0" w:color="000000"/>
            </w:tcBorders>
            <w:tcMar>
              <w:top w:w="0" w:type="dxa"/>
              <w:left w:w="90" w:type="dxa"/>
              <w:bottom w:w="0" w:type="dxa"/>
              <w:right w:w="90" w:type="dxa"/>
            </w:tcMar>
            <w:vAlign w:val="center"/>
          </w:tcPr>
          <w:p w:rsidR="00DF21ED" w:rsidRPr="00DF21ED" w:rsidRDefault="00DF21ED" w:rsidP="000F42B7">
            <w:pPr>
              <w:suppressAutoHyphens/>
              <w:jc w:val="right"/>
            </w:pPr>
            <w:r w:rsidRPr="00DF21ED">
              <w:t>$18,600</w:t>
            </w:r>
          </w:p>
        </w:tc>
      </w:tr>
      <w:tr w:rsidR="00CA0FA3" w:rsidRPr="00DF21ED" w:rsidTr="0098239D">
        <w:trPr>
          <w:trHeight w:val="260"/>
          <w:jc w:val="center"/>
        </w:trPr>
        <w:tc>
          <w:tcPr>
            <w:tcW w:w="1009"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suppressAutoHyphens/>
            </w:pPr>
            <w:r w:rsidRPr="00DF21ED">
              <w:t>Samuel</w:t>
            </w:r>
          </w:p>
        </w:tc>
        <w:tc>
          <w:tcPr>
            <w:tcW w:w="1103"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suppressAutoHyphens/>
              <w:jc w:val="center"/>
            </w:pPr>
            <w:r w:rsidRPr="00DF21ED">
              <w:t>1/1/</w:t>
            </w:r>
            <w:r w:rsidR="00CA0FA3">
              <w:t>2013</w:t>
            </w:r>
          </w:p>
        </w:tc>
        <w:tc>
          <w:tcPr>
            <w:tcW w:w="643"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suppressAutoHyphens/>
              <w:jc w:val="center"/>
            </w:pPr>
            <w:r w:rsidRPr="00DF21ED">
              <w:t>39</w:t>
            </w:r>
          </w:p>
        </w:tc>
        <w:tc>
          <w:tcPr>
            <w:tcW w:w="117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suppressAutoHyphens/>
              <w:jc w:val="center"/>
            </w:pPr>
            <w:r w:rsidRPr="00DF21ED">
              <w:t>VP/50%</w:t>
            </w:r>
          </w:p>
        </w:tc>
        <w:tc>
          <w:tcPr>
            <w:tcW w:w="117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suppressAutoHyphens/>
              <w:jc w:val="right"/>
            </w:pPr>
            <w:r w:rsidRPr="00DF21ED">
              <w:t>$  90,000</w:t>
            </w:r>
          </w:p>
        </w:tc>
        <w:tc>
          <w:tcPr>
            <w:tcW w:w="1233"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suppressAutoHyphens/>
              <w:jc w:val="center"/>
            </w:pPr>
            <w:r w:rsidRPr="00DF21ED">
              <w:t>$ 9,000</w:t>
            </w:r>
          </w:p>
        </w:tc>
        <w:tc>
          <w:tcPr>
            <w:tcW w:w="1246"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suppressAutoHyphens/>
              <w:ind w:right="72"/>
              <w:jc w:val="right"/>
            </w:pPr>
            <w:r w:rsidRPr="00DF21ED">
              <w:t>$2,700</w:t>
            </w:r>
          </w:p>
        </w:tc>
        <w:tc>
          <w:tcPr>
            <w:tcW w:w="126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pStyle w:val="NoParagraphStyle"/>
              <w:spacing w:line="240" w:lineRule="auto"/>
              <w:textAlignment w:val="auto"/>
              <w:rPr>
                <w:rFonts w:ascii="Times New Roman" w:hAnsi="Times New Roman" w:cs="Times New Roman"/>
                <w:color w:val="auto"/>
              </w:rPr>
            </w:pPr>
          </w:p>
        </w:tc>
        <w:tc>
          <w:tcPr>
            <w:tcW w:w="1170" w:type="dxa"/>
            <w:tcBorders>
              <w:top w:val="single" w:sz="4" w:space="0" w:color="000000"/>
              <w:left w:val="single" w:sz="4" w:space="0" w:color="000000"/>
              <w:bottom w:val="single" w:sz="4" w:space="0" w:color="000000"/>
              <w:right w:val="single" w:sz="4" w:space="0" w:color="000000"/>
            </w:tcBorders>
            <w:shd w:val="solid" w:color="000000" w:fill="auto"/>
            <w:tcMar>
              <w:top w:w="0" w:type="dxa"/>
              <w:left w:w="90" w:type="dxa"/>
              <w:bottom w:w="0" w:type="dxa"/>
              <w:right w:w="90" w:type="dxa"/>
            </w:tcMar>
            <w:vAlign w:val="center"/>
          </w:tcPr>
          <w:p w:rsidR="00DF21ED" w:rsidRPr="00DF21ED" w:rsidRDefault="00DF21ED" w:rsidP="000F42B7">
            <w:pPr>
              <w:suppressAutoHyphens/>
              <w:jc w:val="right"/>
            </w:pPr>
            <w:r w:rsidRPr="00DF21ED">
              <w:rPr>
                <w:u w:val="thick"/>
              </w:rPr>
              <w:t xml:space="preserve">  11,700</w:t>
            </w:r>
          </w:p>
        </w:tc>
      </w:tr>
      <w:tr w:rsidR="00CA0FA3" w:rsidRPr="00DF21ED" w:rsidTr="0098239D">
        <w:trPr>
          <w:trHeight w:val="260"/>
          <w:jc w:val="center"/>
        </w:trPr>
        <w:tc>
          <w:tcPr>
            <w:tcW w:w="1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pStyle w:val="NoParagraphStyle"/>
              <w:spacing w:line="240" w:lineRule="auto"/>
              <w:textAlignment w:val="auto"/>
              <w:rPr>
                <w:rFonts w:ascii="Times New Roman" w:hAnsi="Times New Roman" w:cs="Times New Roman"/>
                <w:color w:val="auto"/>
              </w:rPr>
            </w:pPr>
          </w:p>
        </w:tc>
        <w:tc>
          <w:tcPr>
            <w:tcW w:w="1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pStyle w:val="NoParagraphStyle"/>
              <w:spacing w:line="240" w:lineRule="auto"/>
              <w:textAlignment w:val="auto"/>
              <w:rPr>
                <w:rFonts w:ascii="Times New Roman" w:hAnsi="Times New Roman" w:cs="Times New Roman"/>
                <w:color w:val="auto"/>
              </w:rPr>
            </w:pPr>
          </w:p>
        </w:tc>
        <w:tc>
          <w:tcPr>
            <w:tcW w:w="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pStyle w:val="NoParagraphStyle"/>
              <w:spacing w:line="240" w:lineRule="auto"/>
              <w:textAlignment w:val="auto"/>
              <w:rPr>
                <w:rFonts w:ascii="Times New Roman" w:hAnsi="Times New Roman" w:cs="Times New Roman"/>
                <w:color w:val="auto"/>
              </w:rPr>
            </w:pP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pStyle w:val="NoParagraphStyle"/>
              <w:spacing w:line="240" w:lineRule="auto"/>
              <w:textAlignment w:val="auto"/>
              <w:rPr>
                <w:rFonts w:ascii="Times New Roman" w:hAnsi="Times New Roman" w:cs="Times New Roman"/>
                <w:color w:val="auto"/>
              </w:rPr>
            </w:pP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pStyle w:val="NoParagraphStyle"/>
              <w:spacing w:line="240" w:lineRule="auto"/>
              <w:textAlignment w:val="auto"/>
              <w:rPr>
                <w:rFonts w:ascii="Times New Roman" w:hAnsi="Times New Roman" w:cs="Times New Roman"/>
                <w:color w:val="auto"/>
              </w:rPr>
            </w:pP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pStyle w:val="NoParagraphStyle"/>
              <w:spacing w:line="240" w:lineRule="auto"/>
              <w:textAlignment w:val="auto"/>
              <w:rPr>
                <w:rFonts w:ascii="Times New Roman" w:hAnsi="Times New Roman" w:cs="Times New Roman"/>
                <w:color w:val="auto"/>
              </w:rPr>
            </w:pPr>
          </w:p>
        </w:tc>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pStyle w:val="NoParagraphStyle"/>
              <w:spacing w:line="240" w:lineRule="auto"/>
              <w:textAlignment w:val="auto"/>
              <w:rPr>
                <w:rFonts w:ascii="Times New Roman" w:hAnsi="Times New Roman" w:cs="Times New Roman"/>
                <w:color w:val="auto"/>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pStyle w:val="NoParagraphStyle"/>
              <w:spacing w:line="240" w:lineRule="auto"/>
              <w:textAlignment w:val="auto"/>
              <w:rPr>
                <w:rFonts w:ascii="Times New Roman" w:hAnsi="Times New Roman" w:cs="Times New Roman"/>
                <w:color w:val="auto"/>
              </w:rPr>
            </w:pPr>
          </w:p>
        </w:tc>
        <w:tc>
          <w:tcPr>
            <w:tcW w:w="1170" w:type="dxa"/>
            <w:tcBorders>
              <w:top w:val="single" w:sz="4" w:space="0" w:color="000000"/>
              <w:left w:val="single" w:sz="4" w:space="0" w:color="000000"/>
              <w:bottom w:val="single" w:sz="4" w:space="0" w:color="000000"/>
              <w:right w:val="single" w:sz="4" w:space="0" w:color="000000"/>
            </w:tcBorders>
            <w:tcMar>
              <w:top w:w="0" w:type="dxa"/>
              <w:left w:w="90" w:type="dxa"/>
              <w:bottom w:w="0" w:type="dxa"/>
              <w:right w:w="90" w:type="dxa"/>
            </w:tcMar>
            <w:vAlign w:val="center"/>
          </w:tcPr>
          <w:p w:rsidR="00DF21ED" w:rsidRPr="00DF21ED" w:rsidRDefault="00DF21ED" w:rsidP="000F42B7">
            <w:pPr>
              <w:suppressAutoHyphens/>
              <w:jc w:val="right"/>
            </w:pPr>
            <w:r w:rsidRPr="00DF21ED">
              <w:t>$30,300</w:t>
            </w:r>
          </w:p>
        </w:tc>
      </w:tr>
      <w:tr w:rsidR="00DF21ED" w:rsidRPr="00DF21ED" w:rsidTr="0098239D">
        <w:trPr>
          <w:trHeight w:val="305"/>
          <w:jc w:val="center"/>
        </w:trPr>
        <w:tc>
          <w:tcPr>
            <w:tcW w:w="8834" w:type="dxa"/>
            <w:gridSpan w:val="8"/>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5242F8">
            <w:pPr>
              <w:suppressAutoHyphens/>
              <w:jc w:val="right"/>
              <w:rPr>
                <w:color w:val="FFFFFF"/>
              </w:rPr>
            </w:pPr>
            <w:r w:rsidRPr="00DF21ED">
              <w:rPr>
                <w:b/>
                <w:bCs/>
                <w:color w:val="FFFFFF"/>
              </w:rPr>
              <w:t>Top</w:t>
            </w:r>
            <w:r w:rsidR="005242F8">
              <w:rPr>
                <w:b/>
                <w:bCs/>
                <w:color w:val="FFFFFF"/>
              </w:rPr>
              <w:t>-</w:t>
            </w:r>
            <w:r w:rsidRPr="00DF21ED">
              <w:rPr>
                <w:b/>
                <w:bCs/>
                <w:color w:val="FFFFFF"/>
              </w:rPr>
              <w:t>Heavy Percentage</w:t>
            </w:r>
          </w:p>
        </w:tc>
        <w:tc>
          <w:tcPr>
            <w:tcW w:w="1170" w:type="dxa"/>
            <w:tcBorders>
              <w:top w:val="single" w:sz="4" w:space="0" w:color="000000"/>
              <w:left w:val="single" w:sz="4" w:space="0" w:color="000000"/>
              <w:bottom w:val="single" w:sz="4" w:space="0" w:color="000000"/>
              <w:right w:val="single" w:sz="4" w:space="0" w:color="000000"/>
            </w:tcBorders>
            <w:shd w:val="solid" w:color="000000" w:fill="auto"/>
            <w:tcMar>
              <w:top w:w="0" w:type="dxa"/>
              <w:left w:w="90" w:type="dxa"/>
              <w:bottom w:w="0" w:type="dxa"/>
              <w:right w:w="90" w:type="dxa"/>
            </w:tcMar>
            <w:vAlign w:val="center"/>
          </w:tcPr>
          <w:p w:rsidR="00DF21ED" w:rsidRPr="00DF21ED" w:rsidRDefault="00DF21ED" w:rsidP="000F42B7">
            <w:pPr>
              <w:suppressAutoHyphens/>
              <w:jc w:val="right"/>
              <w:rPr>
                <w:color w:val="FFFFFF"/>
              </w:rPr>
            </w:pPr>
            <w:r w:rsidRPr="00DF21ED">
              <w:rPr>
                <w:b/>
                <w:bCs/>
                <w:color w:val="FFFFFF"/>
              </w:rPr>
              <w:t>61.71%</w:t>
            </w:r>
          </w:p>
        </w:tc>
      </w:tr>
      <w:tr w:rsidR="00CA0FA3" w:rsidRPr="00DF21ED" w:rsidTr="0098239D">
        <w:trPr>
          <w:trHeight w:val="373"/>
          <w:jc w:val="center"/>
        </w:trPr>
        <w:tc>
          <w:tcPr>
            <w:tcW w:w="1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suppressAutoHyphens/>
            </w:pPr>
            <w:r w:rsidRPr="00DF21ED">
              <w:t>Mark</w:t>
            </w:r>
          </w:p>
        </w:tc>
        <w:tc>
          <w:tcPr>
            <w:tcW w:w="1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suppressAutoHyphens/>
              <w:jc w:val="center"/>
            </w:pPr>
            <w:r w:rsidRPr="00DF21ED">
              <w:t>1/1/</w:t>
            </w:r>
            <w:r w:rsidR="00CA0FA3">
              <w:t>2013</w:t>
            </w:r>
          </w:p>
        </w:tc>
        <w:tc>
          <w:tcPr>
            <w:tcW w:w="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suppressAutoHyphens/>
              <w:jc w:val="center"/>
            </w:pPr>
            <w:r w:rsidRPr="00DF21ED">
              <w:t>27</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pStyle w:val="NoParagraphStyle"/>
              <w:spacing w:line="240" w:lineRule="auto"/>
              <w:textAlignment w:val="auto"/>
              <w:rPr>
                <w:rFonts w:ascii="Times New Roman" w:hAnsi="Times New Roman" w:cs="Times New Roman"/>
                <w:color w:val="auto"/>
              </w:rPr>
            </w:pP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suppressAutoHyphens/>
              <w:jc w:val="right"/>
            </w:pPr>
            <w:r w:rsidRPr="00DF21ED">
              <w:t>$  30,000</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suppressAutoHyphens/>
              <w:jc w:val="center"/>
            </w:pPr>
            <w:r w:rsidRPr="00DF21ED">
              <w:t>$ 4,450</w:t>
            </w:r>
          </w:p>
        </w:tc>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suppressAutoHyphens/>
              <w:ind w:right="72"/>
              <w:jc w:val="right"/>
            </w:pPr>
            <w:r w:rsidRPr="00DF21ED">
              <w:t>$   900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suppressAutoHyphens/>
              <w:ind w:right="124"/>
              <w:jc w:val="right"/>
            </w:pPr>
            <w:r w:rsidRPr="00DF21ED">
              <w:t>$   900</w:t>
            </w:r>
          </w:p>
        </w:tc>
        <w:tc>
          <w:tcPr>
            <w:tcW w:w="1170" w:type="dxa"/>
            <w:tcBorders>
              <w:top w:val="single" w:sz="4" w:space="0" w:color="000000"/>
              <w:left w:val="single" w:sz="4" w:space="0" w:color="000000"/>
              <w:bottom w:val="single" w:sz="4" w:space="0" w:color="000000"/>
              <w:right w:val="single" w:sz="4" w:space="0" w:color="000000"/>
            </w:tcBorders>
            <w:tcMar>
              <w:top w:w="0" w:type="dxa"/>
              <w:left w:w="90" w:type="dxa"/>
              <w:bottom w:w="0" w:type="dxa"/>
              <w:right w:w="90" w:type="dxa"/>
            </w:tcMar>
            <w:vAlign w:val="center"/>
          </w:tcPr>
          <w:p w:rsidR="00DF21ED" w:rsidRPr="00DF21ED" w:rsidRDefault="00DF21ED" w:rsidP="000F42B7">
            <w:pPr>
              <w:suppressAutoHyphens/>
              <w:jc w:val="right"/>
            </w:pPr>
            <w:r w:rsidRPr="00DF21ED">
              <w:t>$  5,350</w:t>
            </w:r>
          </w:p>
        </w:tc>
      </w:tr>
      <w:tr w:rsidR="00CA0FA3" w:rsidRPr="00DF21ED" w:rsidTr="0098239D">
        <w:trPr>
          <w:trHeight w:val="260"/>
          <w:jc w:val="center"/>
        </w:trPr>
        <w:tc>
          <w:tcPr>
            <w:tcW w:w="1009"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suppressAutoHyphens/>
            </w:pPr>
            <w:r w:rsidRPr="00DF21ED">
              <w:t>Howard</w:t>
            </w:r>
          </w:p>
        </w:tc>
        <w:tc>
          <w:tcPr>
            <w:tcW w:w="1103"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suppressAutoHyphens/>
              <w:jc w:val="center"/>
            </w:pPr>
            <w:r w:rsidRPr="00DF21ED">
              <w:t>1/1/</w:t>
            </w:r>
            <w:r w:rsidR="00CA0FA3">
              <w:t>2013</w:t>
            </w:r>
          </w:p>
        </w:tc>
        <w:tc>
          <w:tcPr>
            <w:tcW w:w="643"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suppressAutoHyphens/>
              <w:jc w:val="center"/>
            </w:pPr>
            <w:r w:rsidRPr="00DF21ED">
              <w:t>32</w:t>
            </w:r>
          </w:p>
        </w:tc>
        <w:tc>
          <w:tcPr>
            <w:tcW w:w="117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pStyle w:val="NoParagraphStyle"/>
              <w:spacing w:line="240" w:lineRule="auto"/>
              <w:textAlignment w:val="auto"/>
              <w:rPr>
                <w:rFonts w:ascii="Times New Roman" w:hAnsi="Times New Roman" w:cs="Times New Roman"/>
                <w:color w:val="auto"/>
              </w:rPr>
            </w:pPr>
          </w:p>
        </w:tc>
        <w:tc>
          <w:tcPr>
            <w:tcW w:w="117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suppressAutoHyphens/>
              <w:jc w:val="right"/>
            </w:pPr>
            <w:r w:rsidRPr="00DF21ED">
              <w:t>$  38,400</w:t>
            </w:r>
          </w:p>
        </w:tc>
        <w:tc>
          <w:tcPr>
            <w:tcW w:w="1233"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suppressAutoHyphens/>
              <w:jc w:val="center"/>
            </w:pPr>
            <w:r w:rsidRPr="00DF21ED">
              <w:t>$ 4,350</w:t>
            </w:r>
          </w:p>
        </w:tc>
        <w:tc>
          <w:tcPr>
            <w:tcW w:w="1246"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suppressAutoHyphens/>
              <w:ind w:right="72"/>
              <w:jc w:val="right"/>
            </w:pPr>
            <w:r w:rsidRPr="00DF21ED">
              <w:t>$1,152</w:t>
            </w:r>
          </w:p>
        </w:tc>
        <w:tc>
          <w:tcPr>
            <w:tcW w:w="126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suppressAutoHyphens/>
              <w:ind w:right="124"/>
              <w:jc w:val="right"/>
            </w:pPr>
            <w:r w:rsidRPr="00DF21ED">
              <w:t>$1,152</w:t>
            </w:r>
          </w:p>
        </w:tc>
        <w:tc>
          <w:tcPr>
            <w:tcW w:w="1170" w:type="dxa"/>
            <w:tcBorders>
              <w:top w:val="single" w:sz="4" w:space="0" w:color="000000"/>
              <w:left w:val="single" w:sz="4" w:space="0" w:color="000000"/>
              <w:bottom w:val="single" w:sz="4" w:space="0" w:color="000000"/>
              <w:right w:val="single" w:sz="4" w:space="0" w:color="000000"/>
            </w:tcBorders>
            <w:shd w:val="solid" w:color="000000" w:fill="auto"/>
            <w:tcMar>
              <w:top w:w="0" w:type="dxa"/>
              <w:left w:w="90" w:type="dxa"/>
              <w:bottom w:w="0" w:type="dxa"/>
              <w:right w:w="90" w:type="dxa"/>
            </w:tcMar>
            <w:vAlign w:val="center"/>
          </w:tcPr>
          <w:p w:rsidR="00DF21ED" w:rsidRPr="00DF21ED" w:rsidRDefault="0098239D" w:rsidP="000F42B7">
            <w:pPr>
              <w:suppressAutoHyphens/>
              <w:jc w:val="right"/>
            </w:pPr>
            <w:r>
              <w:t xml:space="preserve">$  </w:t>
            </w:r>
            <w:r w:rsidR="00DF21ED" w:rsidRPr="00DF21ED">
              <w:t>5,502</w:t>
            </w:r>
          </w:p>
        </w:tc>
      </w:tr>
      <w:tr w:rsidR="00CA0FA3" w:rsidRPr="00DF21ED" w:rsidTr="0098239D">
        <w:trPr>
          <w:trHeight w:val="260"/>
          <w:jc w:val="center"/>
        </w:trPr>
        <w:tc>
          <w:tcPr>
            <w:tcW w:w="1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suppressAutoHyphens/>
            </w:pPr>
            <w:r w:rsidRPr="00DF21ED">
              <w:t>Scott</w:t>
            </w:r>
          </w:p>
        </w:tc>
        <w:tc>
          <w:tcPr>
            <w:tcW w:w="1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suppressAutoHyphens/>
              <w:jc w:val="center"/>
            </w:pPr>
            <w:r w:rsidRPr="00DF21ED">
              <w:t>1/1/</w:t>
            </w:r>
            <w:r w:rsidR="00CA0FA3">
              <w:t>2013</w:t>
            </w:r>
          </w:p>
        </w:tc>
        <w:tc>
          <w:tcPr>
            <w:tcW w:w="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suppressAutoHyphens/>
              <w:jc w:val="center"/>
            </w:pPr>
            <w:r w:rsidRPr="00DF21ED">
              <w:t>49</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pStyle w:val="NoParagraphStyle"/>
              <w:spacing w:line="240" w:lineRule="auto"/>
              <w:textAlignment w:val="auto"/>
              <w:rPr>
                <w:rFonts w:ascii="Times New Roman" w:hAnsi="Times New Roman" w:cs="Times New Roman"/>
                <w:color w:val="auto"/>
              </w:rPr>
            </w:pP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suppressAutoHyphens/>
              <w:jc w:val="right"/>
            </w:pPr>
            <w:r w:rsidRPr="00DF21ED">
              <w:t>$  60,000</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D83A23">
            <w:pPr>
              <w:suppressAutoHyphens/>
              <w:jc w:val="center"/>
            </w:pPr>
            <w:r w:rsidRPr="00DF21ED">
              <w:t xml:space="preserve">$        </w:t>
            </w:r>
            <w:r w:rsidR="00D83A23">
              <w:t>0</w:t>
            </w:r>
            <w:r w:rsidR="00D83A23" w:rsidRPr="00DF21ED">
              <w:t xml:space="preserve">  </w:t>
            </w:r>
          </w:p>
        </w:tc>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D83A23">
            <w:pPr>
              <w:suppressAutoHyphens/>
              <w:ind w:right="72"/>
              <w:jc w:val="right"/>
            </w:pPr>
            <w:r w:rsidRPr="00DF21ED">
              <w:t xml:space="preserve">$       </w:t>
            </w:r>
            <w:r w:rsidR="00D83A23">
              <w:t>0</w:t>
            </w:r>
            <w:r w:rsidR="00D83A23" w:rsidRPr="00DF21ED">
              <w:t xml:space="preserve">  </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suppressAutoHyphens/>
              <w:ind w:right="124"/>
              <w:jc w:val="right"/>
            </w:pPr>
            <w:r w:rsidRPr="00DF21ED">
              <w:t>$1,800</w:t>
            </w:r>
          </w:p>
        </w:tc>
        <w:tc>
          <w:tcPr>
            <w:tcW w:w="1170" w:type="dxa"/>
            <w:tcBorders>
              <w:top w:val="single" w:sz="4" w:space="0" w:color="000000"/>
              <w:left w:val="single" w:sz="4" w:space="0" w:color="000000"/>
              <w:bottom w:val="single" w:sz="4" w:space="0" w:color="000000"/>
              <w:right w:val="single" w:sz="4" w:space="0" w:color="000000"/>
            </w:tcBorders>
            <w:tcMar>
              <w:top w:w="0" w:type="dxa"/>
              <w:left w:w="90" w:type="dxa"/>
              <w:bottom w:w="0" w:type="dxa"/>
              <w:right w:w="90" w:type="dxa"/>
            </w:tcMar>
            <w:vAlign w:val="center"/>
          </w:tcPr>
          <w:p w:rsidR="00DF21ED" w:rsidRPr="00DF21ED" w:rsidRDefault="00D83A23" w:rsidP="000F42B7">
            <w:pPr>
              <w:suppressAutoHyphens/>
              <w:jc w:val="right"/>
            </w:pPr>
            <w:r>
              <w:t>0</w:t>
            </w:r>
            <w:r w:rsidR="00DF21ED" w:rsidRPr="00DF21ED">
              <w:t xml:space="preserve">  </w:t>
            </w:r>
          </w:p>
        </w:tc>
      </w:tr>
      <w:tr w:rsidR="00CA0FA3" w:rsidRPr="00DF21ED" w:rsidTr="0098239D">
        <w:trPr>
          <w:trHeight w:val="260"/>
          <w:jc w:val="center"/>
        </w:trPr>
        <w:tc>
          <w:tcPr>
            <w:tcW w:w="1009"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suppressAutoHyphens/>
            </w:pPr>
            <w:r w:rsidRPr="00DF21ED">
              <w:t>Michael</w:t>
            </w:r>
          </w:p>
        </w:tc>
        <w:tc>
          <w:tcPr>
            <w:tcW w:w="1103"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suppressAutoHyphens/>
              <w:jc w:val="center"/>
            </w:pPr>
            <w:r w:rsidRPr="00DF21ED">
              <w:t>1/1/</w:t>
            </w:r>
            <w:r w:rsidR="00CA0FA3">
              <w:t>2013</w:t>
            </w:r>
          </w:p>
        </w:tc>
        <w:tc>
          <w:tcPr>
            <w:tcW w:w="643"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suppressAutoHyphens/>
              <w:jc w:val="center"/>
            </w:pPr>
            <w:r w:rsidRPr="00DF21ED">
              <w:t>38</w:t>
            </w:r>
          </w:p>
        </w:tc>
        <w:tc>
          <w:tcPr>
            <w:tcW w:w="117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pStyle w:val="NoParagraphStyle"/>
              <w:spacing w:line="240" w:lineRule="auto"/>
              <w:textAlignment w:val="auto"/>
              <w:rPr>
                <w:rFonts w:ascii="Times New Roman" w:hAnsi="Times New Roman" w:cs="Times New Roman"/>
                <w:color w:val="auto"/>
              </w:rPr>
            </w:pPr>
          </w:p>
        </w:tc>
        <w:tc>
          <w:tcPr>
            <w:tcW w:w="117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suppressAutoHyphens/>
              <w:jc w:val="right"/>
            </w:pPr>
            <w:r w:rsidRPr="00DF21ED">
              <w:t>$  24,000</w:t>
            </w:r>
          </w:p>
        </w:tc>
        <w:tc>
          <w:tcPr>
            <w:tcW w:w="1233"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suppressAutoHyphens/>
              <w:jc w:val="center"/>
            </w:pPr>
            <w:r w:rsidRPr="00DF21ED">
              <w:t>$ 4,150</w:t>
            </w:r>
          </w:p>
        </w:tc>
        <w:tc>
          <w:tcPr>
            <w:tcW w:w="1246"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suppressAutoHyphens/>
              <w:ind w:right="72"/>
              <w:jc w:val="right"/>
            </w:pPr>
            <w:r w:rsidRPr="00DF21ED">
              <w:t>$   720</w:t>
            </w:r>
          </w:p>
        </w:tc>
        <w:tc>
          <w:tcPr>
            <w:tcW w:w="126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suppressAutoHyphens/>
              <w:ind w:right="124"/>
              <w:jc w:val="right"/>
            </w:pPr>
            <w:r w:rsidRPr="00DF21ED">
              <w:t>$   720</w:t>
            </w:r>
          </w:p>
        </w:tc>
        <w:tc>
          <w:tcPr>
            <w:tcW w:w="1170" w:type="dxa"/>
            <w:tcBorders>
              <w:top w:val="single" w:sz="4" w:space="0" w:color="000000"/>
              <w:left w:val="single" w:sz="4" w:space="0" w:color="000000"/>
              <w:bottom w:val="single" w:sz="4" w:space="0" w:color="000000"/>
              <w:right w:val="single" w:sz="4" w:space="0" w:color="000000"/>
            </w:tcBorders>
            <w:shd w:val="solid" w:color="000000" w:fill="auto"/>
            <w:tcMar>
              <w:top w:w="0" w:type="dxa"/>
              <w:left w:w="90" w:type="dxa"/>
              <w:bottom w:w="0" w:type="dxa"/>
              <w:right w:w="90" w:type="dxa"/>
            </w:tcMar>
            <w:vAlign w:val="center"/>
          </w:tcPr>
          <w:p w:rsidR="00DF21ED" w:rsidRPr="00DF21ED" w:rsidRDefault="0098239D" w:rsidP="000F42B7">
            <w:pPr>
              <w:suppressAutoHyphens/>
              <w:jc w:val="right"/>
            </w:pPr>
            <w:r>
              <w:t xml:space="preserve">$  </w:t>
            </w:r>
            <w:r w:rsidR="00DF21ED" w:rsidRPr="00DF21ED">
              <w:t>4,870</w:t>
            </w:r>
          </w:p>
        </w:tc>
      </w:tr>
      <w:tr w:rsidR="00CA0FA3" w:rsidRPr="00DF21ED" w:rsidTr="0098239D">
        <w:trPr>
          <w:trHeight w:val="260"/>
          <w:jc w:val="center"/>
        </w:trPr>
        <w:tc>
          <w:tcPr>
            <w:tcW w:w="10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suppressAutoHyphens/>
            </w:pPr>
            <w:r w:rsidRPr="00DF21ED">
              <w:t>David</w:t>
            </w:r>
          </w:p>
        </w:tc>
        <w:tc>
          <w:tcPr>
            <w:tcW w:w="1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suppressAutoHyphens/>
              <w:jc w:val="center"/>
            </w:pPr>
            <w:r w:rsidRPr="00DF21ED">
              <w:t>1/1/</w:t>
            </w:r>
            <w:r w:rsidR="00CA0FA3">
              <w:t>2013</w:t>
            </w:r>
          </w:p>
        </w:tc>
        <w:tc>
          <w:tcPr>
            <w:tcW w:w="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suppressAutoHyphens/>
              <w:jc w:val="center"/>
            </w:pPr>
            <w:r w:rsidRPr="00DF21ED">
              <w:t>40</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pStyle w:val="NoParagraphStyle"/>
              <w:spacing w:line="240" w:lineRule="auto"/>
              <w:textAlignment w:val="auto"/>
              <w:rPr>
                <w:rFonts w:ascii="Times New Roman" w:hAnsi="Times New Roman" w:cs="Times New Roman"/>
                <w:color w:val="auto"/>
              </w:rPr>
            </w:pP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suppressAutoHyphens/>
              <w:jc w:val="right"/>
            </w:pPr>
            <w:r w:rsidRPr="00DF21ED">
              <w:t>$  36,000</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suppressAutoHyphens/>
              <w:jc w:val="center"/>
            </w:pPr>
            <w:r w:rsidRPr="00DF21ED">
              <w:t>$ 2,000</w:t>
            </w:r>
          </w:p>
        </w:tc>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suppressAutoHyphens/>
              <w:ind w:right="72"/>
              <w:jc w:val="right"/>
            </w:pPr>
            <w:r w:rsidRPr="00DF21ED">
              <w:t>$1,080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suppressAutoHyphens/>
              <w:ind w:right="124"/>
              <w:jc w:val="right"/>
            </w:pPr>
            <w:r w:rsidRPr="00DF21ED">
              <w:t>$1,080</w:t>
            </w:r>
          </w:p>
        </w:tc>
        <w:tc>
          <w:tcPr>
            <w:tcW w:w="1170" w:type="dxa"/>
            <w:tcBorders>
              <w:top w:val="single" w:sz="4" w:space="0" w:color="000000"/>
              <w:left w:val="single" w:sz="4" w:space="0" w:color="000000"/>
              <w:bottom w:val="single" w:sz="4" w:space="0" w:color="000000"/>
              <w:right w:val="single" w:sz="4" w:space="0" w:color="000000"/>
            </w:tcBorders>
            <w:tcMar>
              <w:top w:w="0" w:type="dxa"/>
              <w:left w:w="90" w:type="dxa"/>
              <w:bottom w:w="0" w:type="dxa"/>
              <w:right w:w="90" w:type="dxa"/>
            </w:tcMar>
            <w:vAlign w:val="center"/>
          </w:tcPr>
          <w:p w:rsidR="00DF21ED" w:rsidRPr="00DF21ED" w:rsidRDefault="00DF21ED" w:rsidP="000F42B7">
            <w:pPr>
              <w:suppressAutoHyphens/>
              <w:jc w:val="right"/>
            </w:pPr>
            <w:r w:rsidRPr="00DF21ED">
              <w:rPr>
                <w:u w:val="thick" w:color="000000"/>
              </w:rPr>
              <w:t xml:space="preserve">  </w:t>
            </w:r>
            <w:r w:rsidR="0098239D">
              <w:rPr>
                <w:u w:val="thick" w:color="000000"/>
              </w:rPr>
              <w:t xml:space="preserve">$  </w:t>
            </w:r>
            <w:r w:rsidRPr="00DF21ED">
              <w:rPr>
                <w:u w:val="thick" w:color="000000"/>
              </w:rPr>
              <w:t>3,080</w:t>
            </w:r>
          </w:p>
        </w:tc>
      </w:tr>
      <w:tr w:rsidR="00CA0FA3" w:rsidRPr="00DF21ED" w:rsidTr="0098239D">
        <w:trPr>
          <w:trHeight w:val="260"/>
          <w:jc w:val="center"/>
        </w:trPr>
        <w:tc>
          <w:tcPr>
            <w:tcW w:w="1009"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pStyle w:val="NoParagraphStyle"/>
              <w:spacing w:line="240" w:lineRule="auto"/>
              <w:textAlignment w:val="auto"/>
              <w:rPr>
                <w:rFonts w:ascii="Times New Roman" w:hAnsi="Times New Roman" w:cs="Times New Roman"/>
                <w:color w:val="auto"/>
              </w:rPr>
            </w:pPr>
          </w:p>
        </w:tc>
        <w:tc>
          <w:tcPr>
            <w:tcW w:w="1103"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pStyle w:val="NoParagraphStyle"/>
              <w:spacing w:line="240" w:lineRule="auto"/>
              <w:textAlignment w:val="auto"/>
              <w:rPr>
                <w:rFonts w:ascii="Times New Roman" w:hAnsi="Times New Roman" w:cs="Times New Roman"/>
                <w:color w:val="auto"/>
              </w:rPr>
            </w:pPr>
          </w:p>
        </w:tc>
        <w:tc>
          <w:tcPr>
            <w:tcW w:w="643"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pStyle w:val="NoParagraphStyle"/>
              <w:spacing w:line="240" w:lineRule="auto"/>
              <w:textAlignment w:val="auto"/>
              <w:rPr>
                <w:rFonts w:ascii="Times New Roman" w:hAnsi="Times New Roman" w:cs="Times New Roman"/>
                <w:color w:val="auto"/>
              </w:rPr>
            </w:pPr>
          </w:p>
        </w:tc>
        <w:tc>
          <w:tcPr>
            <w:tcW w:w="117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pStyle w:val="NoParagraphStyle"/>
              <w:spacing w:line="240" w:lineRule="auto"/>
              <w:textAlignment w:val="auto"/>
              <w:rPr>
                <w:rFonts w:ascii="Times New Roman" w:hAnsi="Times New Roman" w:cs="Times New Roman"/>
                <w:color w:val="auto"/>
              </w:rPr>
            </w:pPr>
          </w:p>
        </w:tc>
        <w:tc>
          <w:tcPr>
            <w:tcW w:w="117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pStyle w:val="NoParagraphStyle"/>
              <w:spacing w:line="240" w:lineRule="auto"/>
              <w:textAlignment w:val="auto"/>
              <w:rPr>
                <w:rFonts w:ascii="Times New Roman" w:hAnsi="Times New Roman" w:cs="Times New Roman"/>
                <w:color w:val="auto"/>
              </w:rPr>
            </w:pPr>
          </w:p>
        </w:tc>
        <w:tc>
          <w:tcPr>
            <w:tcW w:w="1233"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pStyle w:val="NoParagraphStyle"/>
              <w:spacing w:line="240" w:lineRule="auto"/>
              <w:textAlignment w:val="auto"/>
              <w:rPr>
                <w:rFonts w:ascii="Times New Roman" w:hAnsi="Times New Roman" w:cs="Times New Roman"/>
                <w:color w:val="auto"/>
              </w:rPr>
            </w:pPr>
          </w:p>
        </w:tc>
        <w:tc>
          <w:tcPr>
            <w:tcW w:w="1246"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pStyle w:val="NoParagraphStyle"/>
              <w:spacing w:line="240" w:lineRule="auto"/>
              <w:textAlignment w:val="auto"/>
              <w:rPr>
                <w:rFonts w:ascii="Times New Roman" w:hAnsi="Times New Roman" w:cs="Times New Roman"/>
                <w:color w:val="auto"/>
              </w:rPr>
            </w:pPr>
          </w:p>
        </w:tc>
        <w:tc>
          <w:tcPr>
            <w:tcW w:w="126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pStyle w:val="NoParagraphStyle"/>
              <w:spacing w:line="240" w:lineRule="auto"/>
              <w:textAlignment w:val="auto"/>
              <w:rPr>
                <w:rFonts w:ascii="Times New Roman" w:hAnsi="Times New Roman" w:cs="Times New Roman"/>
                <w:color w:val="auto"/>
              </w:rPr>
            </w:pPr>
          </w:p>
        </w:tc>
        <w:tc>
          <w:tcPr>
            <w:tcW w:w="1170" w:type="dxa"/>
            <w:tcBorders>
              <w:top w:val="single" w:sz="4" w:space="0" w:color="000000"/>
              <w:left w:val="single" w:sz="4" w:space="0" w:color="000000"/>
              <w:bottom w:val="single" w:sz="4" w:space="0" w:color="000000"/>
              <w:right w:val="single" w:sz="4" w:space="0" w:color="000000"/>
            </w:tcBorders>
            <w:shd w:val="solid" w:color="000000" w:fill="auto"/>
            <w:tcMar>
              <w:top w:w="0" w:type="dxa"/>
              <w:left w:w="90" w:type="dxa"/>
              <w:bottom w:w="0" w:type="dxa"/>
              <w:right w:w="90" w:type="dxa"/>
            </w:tcMar>
            <w:vAlign w:val="center"/>
          </w:tcPr>
          <w:p w:rsidR="00DF21ED" w:rsidRPr="00DF21ED" w:rsidRDefault="00DF21ED" w:rsidP="000F42B7">
            <w:pPr>
              <w:suppressAutoHyphens/>
              <w:jc w:val="right"/>
            </w:pPr>
            <w:r w:rsidRPr="00DF21ED">
              <w:t>$18,802</w:t>
            </w:r>
          </w:p>
        </w:tc>
      </w:tr>
      <w:tr w:rsidR="00DF21ED" w:rsidRPr="00DF21ED" w:rsidTr="0098239D">
        <w:trPr>
          <w:trHeight w:val="285"/>
          <w:jc w:val="center"/>
        </w:trPr>
        <w:tc>
          <w:tcPr>
            <w:tcW w:w="10004" w:type="dxa"/>
            <w:gridSpan w:val="9"/>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suppressAutoHyphens/>
            </w:pPr>
            <w:r w:rsidRPr="00DF21ED">
              <w:t>*The account balance does not include the top-heavy minimum deposit.</w:t>
            </w:r>
          </w:p>
        </w:tc>
      </w:tr>
    </w:tbl>
    <w:p w:rsidR="00DF21ED" w:rsidRPr="00DF21ED" w:rsidRDefault="00DF21ED" w:rsidP="00DF21ED">
      <w:pPr>
        <w:pStyle w:val="NoParagraphStyle"/>
        <w:suppressAutoHyphens/>
        <w:rPr>
          <w:rFonts w:ascii="Times New Roman" w:hAnsi="Times New Roman" w:cs="Times New Roman"/>
        </w:rPr>
      </w:pPr>
    </w:p>
    <w:p w:rsidR="00DF21ED" w:rsidRPr="00077F32" w:rsidRDefault="00DF21ED" w:rsidP="00077F32">
      <w:pPr>
        <w:pStyle w:val="NoSpacing"/>
        <w:ind w:left="720"/>
        <w:rPr>
          <w:rFonts w:ascii="Times New Roman" w:eastAsia="Times New Roman" w:hAnsi="Times New Roman" w:cs="Times New Roman"/>
          <w:sz w:val="24"/>
          <w:szCs w:val="24"/>
        </w:rPr>
      </w:pPr>
      <w:r w:rsidRPr="00077F32">
        <w:rPr>
          <w:rFonts w:ascii="Times New Roman" w:eastAsia="Times New Roman" w:hAnsi="Times New Roman" w:cs="Times New Roman"/>
          <w:sz w:val="24"/>
          <w:szCs w:val="24"/>
        </w:rPr>
        <w:t>The accrued benefit would be measured by each participant’s account balance. For ease of discussion, assume no investment earnings on the contributions, so the account balance would equal the contributions made for the year. As of the end of the first plan year, 12/31/1</w:t>
      </w:r>
      <w:r w:rsidR="00CA0FA3" w:rsidRPr="00077F32">
        <w:rPr>
          <w:rFonts w:ascii="Times New Roman" w:eastAsia="Times New Roman" w:hAnsi="Times New Roman" w:cs="Times New Roman"/>
          <w:sz w:val="24"/>
          <w:szCs w:val="24"/>
        </w:rPr>
        <w:t>3</w:t>
      </w:r>
      <w:r w:rsidRPr="00077F32">
        <w:rPr>
          <w:rFonts w:ascii="Times New Roman" w:eastAsia="Times New Roman" w:hAnsi="Times New Roman" w:cs="Times New Roman"/>
          <w:sz w:val="24"/>
          <w:szCs w:val="24"/>
        </w:rPr>
        <w:t>, the account balances of the key employees equal 61.71 percent of the total, making the plan top-heavy for the 201</w:t>
      </w:r>
      <w:r w:rsidR="00CA0FA3" w:rsidRPr="00077F32">
        <w:rPr>
          <w:rFonts w:ascii="Times New Roman" w:eastAsia="Times New Roman" w:hAnsi="Times New Roman" w:cs="Times New Roman"/>
          <w:sz w:val="24"/>
          <w:szCs w:val="24"/>
        </w:rPr>
        <w:t>3</w:t>
      </w:r>
      <w:r w:rsidRPr="00077F32">
        <w:rPr>
          <w:rFonts w:ascii="Times New Roman" w:eastAsia="Times New Roman" w:hAnsi="Times New Roman" w:cs="Times New Roman"/>
          <w:sz w:val="24"/>
          <w:szCs w:val="24"/>
        </w:rPr>
        <w:t xml:space="preserve"> plan year. For the 201</w:t>
      </w:r>
      <w:r w:rsidR="00CA0FA3" w:rsidRPr="00077F32">
        <w:rPr>
          <w:rFonts w:ascii="Times New Roman" w:eastAsia="Times New Roman" w:hAnsi="Times New Roman" w:cs="Times New Roman"/>
          <w:sz w:val="24"/>
          <w:szCs w:val="24"/>
        </w:rPr>
        <w:t>4</w:t>
      </w:r>
      <w:r w:rsidRPr="00077F32">
        <w:rPr>
          <w:rFonts w:ascii="Times New Roman" w:eastAsia="Times New Roman" w:hAnsi="Times New Roman" w:cs="Times New Roman"/>
          <w:sz w:val="24"/>
          <w:szCs w:val="24"/>
        </w:rPr>
        <w:t xml:space="preserve"> plan year, the prior year’s top-heavy minimum deposit is part of the account balances and changes the result as illustrated </w:t>
      </w:r>
      <w:r w:rsidR="00BD1E67">
        <w:rPr>
          <w:rFonts w:ascii="Times New Roman" w:eastAsia="Times New Roman" w:hAnsi="Times New Roman" w:cs="Times New Roman"/>
          <w:sz w:val="24"/>
          <w:szCs w:val="24"/>
        </w:rPr>
        <w:t>in Table 5-3</w:t>
      </w:r>
      <w:r w:rsidRPr="00077F32">
        <w:rPr>
          <w:rFonts w:ascii="Times New Roman" w:eastAsia="Times New Roman" w:hAnsi="Times New Roman" w:cs="Times New Roman"/>
          <w:sz w:val="24"/>
          <w:szCs w:val="24"/>
        </w:rPr>
        <w:t>:</w:t>
      </w:r>
    </w:p>
    <w:p w:rsidR="00CA0FA3" w:rsidRPr="00DF21ED" w:rsidRDefault="00CA0FA3" w:rsidP="00CA0FA3">
      <w:pPr>
        <w:widowControl w:val="0"/>
        <w:tabs>
          <w:tab w:val="decimal" w:pos="680"/>
          <w:tab w:val="left" w:pos="840"/>
        </w:tabs>
        <w:autoSpaceDE w:val="0"/>
        <w:autoSpaceDN w:val="0"/>
        <w:adjustRightInd w:val="0"/>
        <w:spacing w:line="240" w:lineRule="exact"/>
        <w:ind w:left="720"/>
        <w:jc w:val="both"/>
      </w:pPr>
    </w:p>
    <w:tbl>
      <w:tblPr>
        <w:tblW w:w="9981" w:type="dxa"/>
        <w:jc w:val="center"/>
        <w:tblLayout w:type="fixed"/>
        <w:tblCellMar>
          <w:left w:w="0" w:type="dxa"/>
          <w:right w:w="0" w:type="dxa"/>
        </w:tblCellMar>
        <w:tblLook w:val="0000" w:firstRow="0" w:lastRow="0" w:firstColumn="0" w:lastColumn="0" w:noHBand="0" w:noVBand="0"/>
      </w:tblPr>
      <w:tblGrid>
        <w:gridCol w:w="1008"/>
        <w:gridCol w:w="1071"/>
        <w:gridCol w:w="653"/>
        <w:gridCol w:w="1156"/>
        <w:gridCol w:w="1170"/>
        <w:gridCol w:w="1260"/>
        <w:gridCol w:w="1260"/>
        <w:gridCol w:w="1233"/>
        <w:gridCol w:w="1170"/>
      </w:tblGrid>
      <w:tr w:rsidR="00DF21ED" w:rsidRPr="00DF21ED" w:rsidTr="001F0EB3">
        <w:trPr>
          <w:trHeight w:val="291"/>
          <w:jc w:val="center"/>
        </w:trPr>
        <w:tc>
          <w:tcPr>
            <w:tcW w:w="9981" w:type="dxa"/>
            <w:gridSpan w:val="9"/>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CC202A">
            <w:pPr>
              <w:pStyle w:val="TableHead"/>
              <w:rPr>
                <w:rFonts w:ascii="Times New Roman" w:hAnsi="Times New Roman" w:cs="Times New Roman"/>
                <w:sz w:val="24"/>
                <w:szCs w:val="24"/>
              </w:rPr>
            </w:pPr>
            <w:r w:rsidRPr="00DF21ED">
              <w:rPr>
                <w:rFonts w:ascii="Times New Roman" w:hAnsi="Times New Roman" w:cs="Times New Roman"/>
                <w:sz w:val="24"/>
                <w:szCs w:val="24"/>
              </w:rPr>
              <w:t xml:space="preserve">Table </w:t>
            </w:r>
            <w:r w:rsidR="001F0EB3">
              <w:rPr>
                <w:rFonts w:ascii="Times New Roman" w:hAnsi="Times New Roman" w:cs="Times New Roman"/>
                <w:sz w:val="24"/>
                <w:szCs w:val="24"/>
              </w:rPr>
              <w:t>5</w:t>
            </w:r>
            <w:r w:rsidRPr="00DF21ED">
              <w:rPr>
                <w:rFonts w:ascii="Times New Roman" w:hAnsi="Times New Roman" w:cs="Times New Roman"/>
                <w:sz w:val="24"/>
                <w:szCs w:val="24"/>
              </w:rPr>
              <w:t>-3. Effects of Top-Heavy Contribution on Following Year Top-Hea</w:t>
            </w:r>
            <w:r w:rsidR="00CC202A">
              <w:rPr>
                <w:rFonts w:ascii="Times New Roman" w:hAnsi="Times New Roman" w:cs="Times New Roman"/>
                <w:sz w:val="24"/>
                <w:szCs w:val="24"/>
              </w:rPr>
              <w:t>v</w:t>
            </w:r>
            <w:r w:rsidRPr="00DF21ED">
              <w:rPr>
                <w:rFonts w:ascii="Times New Roman" w:hAnsi="Times New Roman" w:cs="Times New Roman"/>
                <w:sz w:val="24"/>
                <w:szCs w:val="24"/>
              </w:rPr>
              <w:t>y Determination</w:t>
            </w:r>
          </w:p>
        </w:tc>
      </w:tr>
      <w:tr w:rsidR="00CA0FA3" w:rsidRPr="00DF21ED" w:rsidTr="001F0EB3">
        <w:trPr>
          <w:trHeight w:val="820"/>
          <w:jc w:val="center"/>
        </w:trPr>
        <w:tc>
          <w:tcPr>
            <w:tcW w:w="1008"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suppressAutoHyphens/>
              <w:jc w:val="center"/>
            </w:pPr>
            <w:r w:rsidRPr="00DF21ED">
              <w:rPr>
                <w:b/>
                <w:bCs/>
                <w:i/>
                <w:iCs/>
              </w:rPr>
              <w:t>Name</w:t>
            </w:r>
          </w:p>
        </w:tc>
        <w:tc>
          <w:tcPr>
            <w:tcW w:w="1071"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CA0FA3">
            <w:pPr>
              <w:suppressAutoHyphens/>
              <w:jc w:val="center"/>
            </w:pPr>
            <w:r w:rsidRPr="00DF21ED">
              <w:rPr>
                <w:b/>
                <w:bCs/>
                <w:i/>
                <w:iCs/>
              </w:rPr>
              <w:t xml:space="preserve">Date </w:t>
            </w:r>
            <w:r w:rsidR="00CA0FA3">
              <w:rPr>
                <w:b/>
                <w:bCs/>
                <w:i/>
                <w:iCs/>
              </w:rPr>
              <w:t>o</w:t>
            </w:r>
            <w:r w:rsidRPr="00DF21ED">
              <w:rPr>
                <w:b/>
                <w:bCs/>
                <w:i/>
                <w:iCs/>
              </w:rPr>
              <w:t xml:space="preserve">f </w:t>
            </w:r>
            <w:proofErr w:type="spellStart"/>
            <w:r w:rsidRPr="00DF21ED">
              <w:rPr>
                <w:b/>
                <w:bCs/>
                <w:i/>
                <w:iCs/>
              </w:rPr>
              <w:t>Partici</w:t>
            </w:r>
            <w:r w:rsidR="00CA0FA3">
              <w:rPr>
                <w:b/>
                <w:bCs/>
                <w:i/>
                <w:iCs/>
              </w:rPr>
              <w:t>-</w:t>
            </w:r>
            <w:r w:rsidRPr="00DF21ED">
              <w:rPr>
                <w:b/>
                <w:bCs/>
                <w:i/>
                <w:iCs/>
              </w:rPr>
              <w:t>pation</w:t>
            </w:r>
            <w:proofErr w:type="spellEnd"/>
          </w:p>
        </w:tc>
        <w:tc>
          <w:tcPr>
            <w:tcW w:w="653"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suppressAutoHyphens/>
              <w:jc w:val="center"/>
            </w:pPr>
            <w:r w:rsidRPr="00DF21ED">
              <w:rPr>
                <w:b/>
                <w:bCs/>
                <w:i/>
                <w:iCs/>
              </w:rPr>
              <w:t>Age</w:t>
            </w:r>
          </w:p>
        </w:tc>
        <w:tc>
          <w:tcPr>
            <w:tcW w:w="1156"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suppressAutoHyphens/>
              <w:jc w:val="center"/>
              <w:rPr>
                <w:b/>
                <w:bCs/>
                <w:i/>
                <w:iCs/>
              </w:rPr>
            </w:pPr>
            <w:r w:rsidRPr="00DF21ED">
              <w:rPr>
                <w:b/>
                <w:bCs/>
                <w:i/>
                <w:iCs/>
              </w:rPr>
              <w:t>Officer/</w:t>
            </w:r>
          </w:p>
          <w:p w:rsidR="00DF21ED" w:rsidRPr="00DF21ED" w:rsidRDefault="00DF21ED" w:rsidP="000F42B7">
            <w:pPr>
              <w:suppressAutoHyphens/>
              <w:jc w:val="center"/>
            </w:pPr>
            <w:r w:rsidRPr="00DF21ED">
              <w:rPr>
                <w:b/>
                <w:bCs/>
                <w:i/>
                <w:iCs/>
              </w:rPr>
              <w:t>Owner</w:t>
            </w:r>
          </w:p>
        </w:tc>
        <w:tc>
          <w:tcPr>
            <w:tcW w:w="117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suppressAutoHyphens/>
              <w:jc w:val="center"/>
            </w:pPr>
            <w:r w:rsidRPr="00DF21ED">
              <w:rPr>
                <w:b/>
                <w:bCs/>
                <w:i/>
                <w:iCs/>
              </w:rPr>
              <w:t>Annual Salary</w:t>
            </w:r>
          </w:p>
        </w:tc>
        <w:tc>
          <w:tcPr>
            <w:tcW w:w="126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suppressAutoHyphens/>
              <w:jc w:val="center"/>
            </w:pPr>
            <w:r w:rsidRPr="00DF21ED">
              <w:rPr>
                <w:b/>
                <w:bCs/>
                <w:i/>
                <w:iCs/>
              </w:rPr>
              <w:t>Employee Deferral</w:t>
            </w:r>
          </w:p>
        </w:tc>
        <w:tc>
          <w:tcPr>
            <w:tcW w:w="126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suppressAutoHyphens/>
              <w:jc w:val="center"/>
            </w:pPr>
            <w:r w:rsidRPr="00DF21ED">
              <w:rPr>
                <w:b/>
                <w:bCs/>
                <w:i/>
                <w:iCs/>
              </w:rPr>
              <w:t>Employee Match</w:t>
            </w:r>
          </w:p>
        </w:tc>
        <w:tc>
          <w:tcPr>
            <w:tcW w:w="1233"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suppressAutoHyphens/>
              <w:jc w:val="center"/>
            </w:pPr>
            <w:r w:rsidRPr="00DF21ED">
              <w:rPr>
                <w:b/>
                <w:bCs/>
                <w:i/>
                <w:iCs/>
              </w:rPr>
              <w:t>Top</w:t>
            </w:r>
            <w:r w:rsidR="005242F8">
              <w:rPr>
                <w:b/>
                <w:bCs/>
                <w:i/>
                <w:iCs/>
              </w:rPr>
              <w:t>-</w:t>
            </w:r>
            <w:r w:rsidRPr="00DF21ED">
              <w:rPr>
                <w:b/>
                <w:bCs/>
                <w:i/>
                <w:iCs/>
              </w:rPr>
              <w:t xml:space="preserve"> Heavy Minimum Deposit</w:t>
            </w:r>
          </w:p>
        </w:tc>
        <w:tc>
          <w:tcPr>
            <w:tcW w:w="1170" w:type="dxa"/>
            <w:tcBorders>
              <w:top w:val="single" w:sz="4" w:space="0" w:color="000000"/>
              <w:left w:val="single" w:sz="4" w:space="0" w:color="000000"/>
              <w:bottom w:val="single" w:sz="4" w:space="0" w:color="000000"/>
              <w:right w:val="single" w:sz="4" w:space="0" w:color="000000"/>
            </w:tcBorders>
            <w:shd w:val="solid" w:color="000000" w:fill="auto"/>
            <w:tcMar>
              <w:top w:w="0" w:type="dxa"/>
              <w:left w:w="90" w:type="dxa"/>
              <w:bottom w:w="0" w:type="dxa"/>
              <w:right w:w="90" w:type="dxa"/>
            </w:tcMar>
            <w:vAlign w:val="center"/>
          </w:tcPr>
          <w:p w:rsidR="00DF21ED" w:rsidRPr="00DF21ED" w:rsidRDefault="00DF21ED" w:rsidP="000F42B7">
            <w:pPr>
              <w:suppressAutoHyphens/>
              <w:jc w:val="center"/>
            </w:pPr>
            <w:r w:rsidRPr="00DF21ED">
              <w:rPr>
                <w:b/>
                <w:bCs/>
                <w:i/>
                <w:iCs/>
              </w:rPr>
              <w:t>Account Balance*</w:t>
            </w:r>
          </w:p>
        </w:tc>
      </w:tr>
      <w:tr w:rsidR="00CA0FA3" w:rsidRPr="00DF21ED" w:rsidTr="001F0EB3">
        <w:trPr>
          <w:trHeight w:val="387"/>
          <w:jc w:val="center"/>
        </w:trPr>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pStyle w:val="NoParagraphStyle"/>
              <w:spacing w:line="240" w:lineRule="auto"/>
              <w:textAlignment w:val="auto"/>
              <w:rPr>
                <w:rFonts w:ascii="Times New Roman" w:hAnsi="Times New Roman" w:cs="Times New Roman"/>
                <w:color w:val="auto"/>
              </w:rPr>
            </w:pPr>
          </w:p>
        </w:tc>
        <w:tc>
          <w:tcPr>
            <w:tcW w:w="1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pStyle w:val="NoParagraphStyle"/>
              <w:spacing w:line="240" w:lineRule="auto"/>
              <w:textAlignment w:val="auto"/>
              <w:rPr>
                <w:rFonts w:ascii="Times New Roman" w:hAnsi="Times New Roman" w:cs="Times New Roman"/>
                <w:color w:val="auto"/>
              </w:rPr>
            </w:pPr>
          </w:p>
        </w:tc>
        <w:tc>
          <w:tcPr>
            <w:tcW w:w="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pStyle w:val="NoParagraphStyle"/>
              <w:spacing w:line="240" w:lineRule="auto"/>
              <w:textAlignment w:val="auto"/>
              <w:rPr>
                <w:rFonts w:ascii="Times New Roman" w:hAnsi="Times New Roman" w:cs="Times New Roman"/>
                <w:color w:val="auto"/>
              </w:rPr>
            </w:pPr>
          </w:p>
        </w:tc>
        <w:tc>
          <w:tcPr>
            <w:tcW w:w="1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pStyle w:val="NoParagraphStyle"/>
              <w:spacing w:line="240" w:lineRule="auto"/>
              <w:textAlignment w:val="auto"/>
              <w:rPr>
                <w:rFonts w:ascii="Times New Roman" w:hAnsi="Times New Roman" w:cs="Times New Roman"/>
                <w:color w:val="auto"/>
              </w:rPr>
            </w:pP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pStyle w:val="NoParagraphStyle"/>
              <w:spacing w:line="240" w:lineRule="auto"/>
              <w:textAlignment w:val="auto"/>
              <w:rPr>
                <w:rFonts w:ascii="Times New Roman" w:hAnsi="Times New Roman" w:cs="Times New Roman"/>
                <w:color w:val="auto"/>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pStyle w:val="NoParagraphStyle"/>
              <w:spacing w:line="240" w:lineRule="auto"/>
              <w:textAlignment w:val="auto"/>
              <w:rPr>
                <w:rFonts w:ascii="Times New Roman" w:hAnsi="Times New Roman" w:cs="Times New Roman"/>
                <w:color w:val="auto"/>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pStyle w:val="NoParagraphStyle"/>
              <w:spacing w:line="240" w:lineRule="auto"/>
              <w:textAlignment w:val="auto"/>
              <w:rPr>
                <w:rFonts w:ascii="Times New Roman" w:hAnsi="Times New Roman" w:cs="Times New Roman"/>
                <w:color w:val="auto"/>
              </w:rPr>
            </w:pP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pStyle w:val="NoParagraphStyle"/>
              <w:spacing w:line="240" w:lineRule="auto"/>
              <w:textAlignment w:val="auto"/>
              <w:rPr>
                <w:rFonts w:ascii="Times New Roman" w:hAnsi="Times New Roman" w:cs="Times New Roman"/>
                <w:color w:val="auto"/>
              </w:rPr>
            </w:pPr>
          </w:p>
        </w:tc>
        <w:tc>
          <w:tcPr>
            <w:tcW w:w="1170" w:type="dxa"/>
            <w:tcBorders>
              <w:top w:val="single" w:sz="4" w:space="0" w:color="000000"/>
              <w:left w:val="single" w:sz="4" w:space="0" w:color="000000"/>
              <w:bottom w:val="single" w:sz="4" w:space="0" w:color="000000"/>
              <w:right w:val="single" w:sz="4" w:space="0" w:color="000000"/>
            </w:tcBorders>
            <w:tcMar>
              <w:top w:w="0" w:type="dxa"/>
              <w:left w:w="90" w:type="dxa"/>
              <w:bottom w:w="0" w:type="dxa"/>
              <w:right w:w="90" w:type="dxa"/>
            </w:tcMar>
            <w:vAlign w:val="center"/>
          </w:tcPr>
          <w:p w:rsidR="00DF21ED" w:rsidRPr="00DF21ED" w:rsidRDefault="00DF21ED" w:rsidP="000F42B7">
            <w:pPr>
              <w:pStyle w:val="NoParagraphStyle"/>
              <w:spacing w:line="240" w:lineRule="auto"/>
              <w:textAlignment w:val="auto"/>
              <w:rPr>
                <w:rFonts w:ascii="Times New Roman" w:hAnsi="Times New Roman" w:cs="Times New Roman"/>
                <w:color w:val="auto"/>
              </w:rPr>
            </w:pPr>
          </w:p>
        </w:tc>
      </w:tr>
      <w:tr w:rsidR="00CA0FA3" w:rsidRPr="00DF21ED" w:rsidTr="001F0EB3">
        <w:trPr>
          <w:trHeight w:val="60"/>
          <w:jc w:val="center"/>
        </w:trPr>
        <w:tc>
          <w:tcPr>
            <w:tcW w:w="1008"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suppressAutoHyphens/>
            </w:pPr>
            <w:r w:rsidRPr="00DF21ED">
              <w:t>John</w:t>
            </w:r>
          </w:p>
        </w:tc>
        <w:tc>
          <w:tcPr>
            <w:tcW w:w="1071"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suppressAutoHyphens/>
              <w:jc w:val="center"/>
            </w:pPr>
            <w:r w:rsidRPr="00DF21ED">
              <w:t>1/1/</w:t>
            </w:r>
            <w:r w:rsidR="00CA0FA3">
              <w:t>2013</w:t>
            </w:r>
          </w:p>
        </w:tc>
        <w:tc>
          <w:tcPr>
            <w:tcW w:w="653"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suppressAutoHyphens/>
              <w:jc w:val="center"/>
            </w:pPr>
            <w:r w:rsidRPr="00DF21ED">
              <w:t>50</w:t>
            </w:r>
          </w:p>
        </w:tc>
        <w:tc>
          <w:tcPr>
            <w:tcW w:w="1156"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suppressAutoHyphens/>
              <w:jc w:val="center"/>
            </w:pPr>
            <w:proofErr w:type="spellStart"/>
            <w:r w:rsidRPr="00DF21ED">
              <w:t>Pres</w:t>
            </w:r>
            <w:proofErr w:type="spellEnd"/>
            <w:r w:rsidRPr="00DF21ED">
              <w:t>/50%</w:t>
            </w:r>
          </w:p>
        </w:tc>
        <w:tc>
          <w:tcPr>
            <w:tcW w:w="117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suppressAutoHyphens/>
              <w:jc w:val="right"/>
            </w:pPr>
            <w:r w:rsidRPr="00DF21ED">
              <w:t>$120,000</w:t>
            </w:r>
          </w:p>
        </w:tc>
        <w:tc>
          <w:tcPr>
            <w:tcW w:w="126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suppressAutoHyphens/>
              <w:jc w:val="center"/>
            </w:pPr>
            <w:r w:rsidRPr="00DF21ED">
              <w:t>$15,000</w:t>
            </w:r>
          </w:p>
        </w:tc>
        <w:tc>
          <w:tcPr>
            <w:tcW w:w="126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suppressAutoHyphens/>
              <w:ind w:right="72"/>
              <w:jc w:val="right"/>
            </w:pPr>
            <w:r w:rsidRPr="00DF21ED">
              <w:t>$3,600</w:t>
            </w:r>
          </w:p>
        </w:tc>
        <w:tc>
          <w:tcPr>
            <w:tcW w:w="1233"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pStyle w:val="NoParagraphStyle"/>
              <w:spacing w:line="240" w:lineRule="auto"/>
              <w:textAlignment w:val="auto"/>
              <w:rPr>
                <w:rFonts w:ascii="Times New Roman" w:hAnsi="Times New Roman" w:cs="Times New Roman"/>
                <w:color w:val="auto"/>
              </w:rPr>
            </w:pPr>
          </w:p>
        </w:tc>
        <w:tc>
          <w:tcPr>
            <w:tcW w:w="1170" w:type="dxa"/>
            <w:tcBorders>
              <w:top w:val="single" w:sz="4" w:space="0" w:color="000000"/>
              <w:left w:val="single" w:sz="4" w:space="0" w:color="000000"/>
              <w:bottom w:val="single" w:sz="4" w:space="0" w:color="000000"/>
              <w:right w:val="single" w:sz="4" w:space="0" w:color="000000"/>
            </w:tcBorders>
            <w:shd w:val="solid" w:color="000000" w:fill="auto"/>
            <w:tcMar>
              <w:top w:w="0" w:type="dxa"/>
              <w:left w:w="90" w:type="dxa"/>
              <w:bottom w:w="0" w:type="dxa"/>
              <w:right w:w="90" w:type="dxa"/>
            </w:tcMar>
            <w:vAlign w:val="center"/>
          </w:tcPr>
          <w:p w:rsidR="00DF21ED" w:rsidRPr="00DF21ED" w:rsidRDefault="00DF21ED" w:rsidP="000F42B7">
            <w:pPr>
              <w:suppressAutoHyphens/>
              <w:jc w:val="right"/>
            </w:pPr>
            <w:r w:rsidRPr="00DF21ED">
              <w:t>$18,600</w:t>
            </w:r>
          </w:p>
        </w:tc>
      </w:tr>
      <w:tr w:rsidR="00CA0FA3" w:rsidRPr="00DF21ED" w:rsidTr="001F0EB3">
        <w:trPr>
          <w:trHeight w:val="60"/>
          <w:jc w:val="center"/>
        </w:trPr>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suppressAutoHyphens/>
            </w:pPr>
            <w:r w:rsidRPr="00DF21ED">
              <w:t>Samuel</w:t>
            </w:r>
          </w:p>
        </w:tc>
        <w:tc>
          <w:tcPr>
            <w:tcW w:w="1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suppressAutoHyphens/>
              <w:jc w:val="center"/>
            </w:pPr>
            <w:r w:rsidRPr="00DF21ED">
              <w:t>1/1/</w:t>
            </w:r>
            <w:r w:rsidR="00CA0FA3">
              <w:t>2013</w:t>
            </w:r>
          </w:p>
        </w:tc>
        <w:tc>
          <w:tcPr>
            <w:tcW w:w="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suppressAutoHyphens/>
              <w:jc w:val="center"/>
            </w:pPr>
            <w:r w:rsidRPr="00DF21ED">
              <w:t>39</w:t>
            </w:r>
          </w:p>
        </w:tc>
        <w:tc>
          <w:tcPr>
            <w:tcW w:w="1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suppressAutoHyphens/>
              <w:jc w:val="center"/>
            </w:pPr>
            <w:r w:rsidRPr="00DF21ED">
              <w:t>VP/50%</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suppressAutoHyphens/>
              <w:jc w:val="right"/>
            </w:pPr>
            <w:r w:rsidRPr="00DF21ED">
              <w:t>$  90,000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suppressAutoHyphens/>
              <w:jc w:val="center"/>
            </w:pPr>
            <w:r w:rsidRPr="00DF21ED">
              <w:t>$  9,000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suppressAutoHyphens/>
              <w:ind w:right="72"/>
              <w:jc w:val="right"/>
            </w:pPr>
            <w:r w:rsidRPr="00DF21ED">
              <w:t>$2,700</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pStyle w:val="NoParagraphStyle"/>
              <w:spacing w:line="240" w:lineRule="auto"/>
              <w:textAlignment w:val="auto"/>
              <w:rPr>
                <w:rFonts w:ascii="Times New Roman" w:hAnsi="Times New Roman" w:cs="Times New Roman"/>
                <w:color w:val="auto"/>
              </w:rPr>
            </w:pPr>
          </w:p>
        </w:tc>
        <w:tc>
          <w:tcPr>
            <w:tcW w:w="1170" w:type="dxa"/>
            <w:tcBorders>
              <w:top w:val="single" w:sz="4" w:space="0" w:color="000000"/>
              <w:left w:val="single" w:sz="4" w:space="0" w:color="000000"/>
              <w:bottom w:val="single" w:sz="4" w:space="0" w:color="000000"/>
              <w:right w:val="single" w:sz="4" w:space="0" w:color="000000"/>
            </w:tcBorders>
            <w:tcMar>
              <w:top w:w="0" w:type="dxa"/>
              <w:left w:w="90" w:type="dxa"/>
              <w:bottom w:w="0" w:type="dxa"/>
              <w:right w:w="90" w:type="dxa"/>
            </w:tcMar>
            <w:vAlign w:val="center"/>
          </w:tcPr>
          <w:p w:rsidR="00DF21ED" w:rsidRPr="00DF21ED" w:rsidRDefault="00DF21ED" w:rsidP="00077F32">
            <w:pPr>
              <w:suppressAutoHyphens/>
              <w:jc w:val="right"/>
            </w:pPr>
            <w:r w:rsidRPr="00DF21ED">
              <w:rPr>
                <w:u w:val="thick"/>
              </w:rPr>
              <w:t xml:space="preserve">  </w:t>
            </w:r>
            <w:r w:rsidR="00077F32">
              <w:rPr>
                <w:u w:val="thick"/>
              </w:rPr>
              <w:t>$</w:t>
            </w:r>
            <w:r w:rsidRPr="00DF21ED">
              <w:rPr>
                <w:u w:val="thick"/>
              </w:rPr>
              <w:t>11,700</w:t>
            </w:r>
          </w:p>
        </w:tc>
      </w:tr>
      <w:tr w:rsidR="00CA0FA3" w:rsidRPr="00DF21ED" w:rsidTr="001F0EB3">
        <w:trPr>
          <w:trHeight w:val="60"/>
          <w:jc w:val="center"/>
        </w:trPr>
        <w:tc>
          <w:tcPr>
            <w:tcW w:w="1008"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pStyle w:val="NoParagraphStyle"/>
              <w:spacing w:line="240" w:lineRule="auto"/>
              <w:textAlignment w:val="auto"/>
              <w:rPr>
                <w:rFonts w:ascii="Times New Roman" w:hAnsi="Times New Roman" w:cs="Times New Roman"/>
                <w:color w:val="auto"/>
              </w:rPr>
            </w:pPr>
          </w:p>
        </w:tc>
        <w:tc>
          <w:tcPr>
            <w:tcW w:w="1071"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pStyle w:val="NoParagraphStyle"/>
              <w:spacing w:line="240" w:lineRule="auto"/>
              <w:textAlignment w:val="auto"/>
              <w:rPr>
                <w:rFonts w:ascii="Times New Roman" w:hAnsi="Times New Roman" w:cs="Times New Roman"/>
                <w:color w:val="auto"/>
              </w:rPr>
            </w:pPr>
          </w:p>
        </w:tc>
        <w:tc>
          <w:tcPr>
            <w:tcW w:w="653"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pStyle w:val="NoParagraphStyle"/>
              <w:spacing w:line="240" w:lineRule="auto"/>
              <w:textAlignment w:val="auto"/>
              <w:rPr>
                <w:rFonts w:ascii="Times New Roman" w:hAnsi="Times New Roman" w:cs="Times New Roman"/>
                <w:color w:val="auto"/>
              </w:rPr>
            </w:pPr>
          </w:p>
        </w:tc>
        <w:tc>
          <w:tcPr>
            <w:tcW w:w="1156"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pStyle w:val="NoParagraphStyle"/>
              <w:spacing w:line="240" w:lineRule="auto"/>
              <w:textAlignment w:val="auto"/>
              <w:rPr>
                <w:rFonts w:ascii="Times New Roman" w:hAnsi="Times New Roman" w:cs="Times New Roman"/>
                <w:color w:val="auto"/>
              </w:rPr>
            </w:pPr>
          </w:p>
        </w:tc>
        <w:tc>
          <w:tcPr>
            <w:tcW w:w="117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pStyle w:val="NoParagraphStyle"/>
              <w:spacing w:line="240" w:lineRule="auto"/>
              <w:textAlignment w:val="auto"/>
              <w:rPr>
                <w:rFonts w:ascii="Times New Roman" w:hAnsi="Times New Roman" w:cs="Times New Roman"/>
                <w:color w:val="auto"/>
              </w:rPr>
            </w:pPr>
          </w:p>
        </w:tc>
        <w:tc>
          <w:tcPr>
            <w:tcW w:w="126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pStyle w:val="NoParagraphStyle"/>
              <w:spacing w:line="240" w:lineRule="auto"/>
              <w:textAlignment w:val="auto"/>
              <w:rPr>
                <w:rFonts w:ascii="Times New Roman" w:hAnsi="Times New Roman" w:cs="Times New Roman"/>
                <w:color w:val="auto"/>
              </w:rPr>
            </w:pPr>
          </w:p>
        </w:tc>
        <w:tc>
          <w:tcPr>
            <w:tcW w:w="126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pStyle w:val="NoParagraphStyle"/>
              <w:spacing w:line="240" w:lineRule="auto"/>
              <w:textAlignment w:val="auto"/>
              <w:rPr>
                <w:rFonts w:ascii="Times New Roman" w:hAnsi="Times New Roman" w:cs="Times New Roman"/>
                <w:color w:val="auto"/>
              </w:rPr>
            </w:pPr>
          </w:p>
        </w:tc>
        <w:tc>
          <w:tcPr>
            <w:tcW w:w="1233"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pStyle w:val="NoParagraphStyle"/>
              <w:spacing w:line="240" w:lineRule="auto"/>
              <w:textAlignment w:val="auto"/>
              <w:rPr>
                <w:rFonts w:ascii="Times New Roman" w:hAnsi="Times New Roman" w:cs="Times New Roman"/>
                <w:color w:val="auto"/>
              </w:rPr>
            </w:pPr>
          </w:p>
        </w:tc>
        <w:tc>
          <w:tcPr>
            <w:tcW w:w="1170" w:type="dxa"/>
            <w:tcBorders>
              <w:top w:val="single" w:sz="4" w:space="0" w:color="000000"/>
              <w:left w:val="single" w:sz="4" w:space="0" w:color="000000"/>
              <w:bottom w:val="single" w:sz="4" w:space="0" w:color="000000"/>
              <w:right w:val="single" w:sz="4" w:space="0" w:color="000000"/>
            </w:tcBorders>
            <w:shd w:val="solid" w:color="000000" w:fill="auto"/>
            <w:tcMar>
              <w:top w:w="0" w:type="dxa"/>
              <w:left w:w="90" w:type="dxa"/>
              <w:bottom w:w="0" w:type="dxa"/>
              <w:right w:w="90" w:type="dxa"/>
            </w:tcMar>
            <w:vAlign w:val="center"/>
          </w:tcPr>
          <w:p w:rsidR="00DF21ED" w:rsidRPr="00DF21ED" w:rsidRDefault="00DF21ED" w:rsidP="000F42B7">
            <w:pPr>
              <w:suppressAutoHyphens/>
              <w:jc w:val="right"/>
            </w:pPr>
            <w:r w:rsidRPr="00DF21ED">
              <w:t>$30,300</w:t>
            </w:r>
          </w:p>
        </w:tc>
      </w:tr>
      <w:tr w:rsidR="00DF21ED" w:rsidRPr="00DF21ED" w:rsidTr="001F0EB3">
        <w:trPr>
          <w:trHeight w:val="259"/>
          <w:jc w:val="center"/>
        </w:trPr>
        <w:tc>
          <w:tcPr>
            <w:tcW w:w="8811"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CC202A">
            <w:pPr>
              <w:suppressAutoHyphens/>
              <w:jc w:val="right"/>
            </w:pPr>
            <w:r w:rsidRPr="00DF21ED">
              <w:rPr>
                <w:b/>
                <w:bCs/>
              </w:rPr>
              <w:t>Top</w:t>
            </w:r>
            <w:r w:rsidR="00CC202A">
              <w:rPr>
                <w:b/>
                <w:bCs/>
              </w:rPr>
              <w:t>-</w:t>
            </w:r>
            <w:r w:rsidRPr="00DF21ED">
              <w:rPr>
                <w:b/>
                <w:bCs/>
              </w:rPr>
              <w:t>Heavy Percentage</w:t>
            </w:r>
          </w:p>
        </w:tc>
        <w:tc>
          <w:tcPr>
            <w:tcW w:w="1170" w:type="dxa"/>
            <w:tcBorders>
              <w:top w:val="single" w:sz="4" w:space="0" w:color="000000"/>
              <w:left w:val="single" w:sz="4" w:space="0" w:color="000000"/>
              <w:bottom w:val="single" w:sz="4" w:space="0" w:color="000000"/>
              <w:right w:val="single" w:sz="4" w:space="0" w:color="000000"/>
            </w:tcBorders>
            <w:tcMar>
              <w:top w:w="0" w:type="dxa"/>
              <w:left w:w="90" w:type="dxa"/>
              <w:bottom w:w="0" w:type="dxa"/>
              <w:right w:w="90" w:type="dxa"/>
            </w:tcMar>
            <w:vAlign w:val="center"/>
          </w:tcPr>
          <w:p w:rsidR="00DF21ED" w:rsidRPr="00DF21ED" w:rsidRDefault="00DF21ED" w:rsidP="000F42B7">
            <w:pPr>
              <w:suppressAutoHyphens/>
              <w:jc w:val="right"/>
            </w:pPr>
            <w:r w:rsidRPr="00DF21ED">
              <w:rPr>
                <w:b/>
                <w:bCs/>
              </w:rPr>
              <w:t>55.34%</w:t>
            </w:r>
          </w:p>
        </w:tc>
      </w:tr>
      <w:tr w:rsidR="00CA0FA3" w:rsidRPr="00DF21ED" w:rsidTr="001F0EB3">
        <w:trPr>
          <w:trHeight w:val="60"/>
          <w:jc w:val="center"/>
        </w:trPr>
        <w:tc>
          <w:tcPr>
            <w:tcW w:w="1008"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suppressAutoHyphens/>
            </w:pPr>
            <w:r w:rsidRPr="00DF21ED">
              <w:t>Mark</w:t>
            </w:r>
          </w:p>
        </w:tc>
        <w:tc>
          <w:tcPr>
            <w:tcW w:w="1071"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suppressAutoHyphens/>
              <w:jc w:val="center"/>
            </w:pPr>
            <w:r w:rsidRPr="00DF21ED">
              <w:t>1/1/</w:t>
            </w:r>
            <w:r w:rsidR="00CA0FA3">
              <w:t>2013</w:t>
            </w:r>
          </w:p>
        </w:tc>
        <w:tc>
          <w:tcPr>
            <w:tcW w:w="653"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suppressAutoHyphens/>
              <w:jc w:val="center"/>
            </w:pPr>
            <w:r w:rsidRPr="00DF21ED">
              <w:t>27</w:t>
            </w:r>
          </w:p>
        </w:tc>
        <w:tc>
          <w:tcPr>
            <w:tcW w:w="1156"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pStyle w:val="NoParagraphStyle"/>
              <w:spacing w:line="240" w:lineRule="auto"/>
              <w:textAlignment w:val="auto"/>
              <w:rPr>
                <w:rFonts w:ascii="Times New Roman" w:hAnsi="Times New Roman" w:cs="Times New Roman"/>
                <w:color w:val="auto"/>
              </w:rPr>
            </w:pPr>
          </w:p>
        </w:tc>
        <w:tc>
          <w:tcPr>
            <w:tcW w:w="117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suppressAutoHyphens/>
              <w:jc w:val="right"/>
            </w:pPr>
            <w:r w:rsidRPr="00DF21ED">
              <w:t>$  30,000</w:t>
            </w:r>
          </w:p>
        </w:tc>
        <w:tc>
          <w:tcPr>
            <w:tcW w:w="126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suppressAutoHyphens/>
              <w:jc w:val="center"/>
            </w:pPr>
            <w:r w:rsidRPr="00DF21ED">
              <w:t>$  4,450</w:t>
            </w:r>
          </w:p>
        </w:tc>
        <w:tc>
          <w:tcPr>
            <w:tcW w:w="126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suppressAutoHyphens/>
              <w:ind w:right="72"/>
              <w:jc w:val="right"/>
            </w:pPr>
            <w:r w:rsidRPr="00DF21ED">
              <w:t>$   900</w:t>
            </w:r>
          </w:p>
        </w:tc>
        <w:tc>
          <w:tcPr>
            <w:tcW w:w="1233"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suppressAutoHyphens/>
              <w:ind w:right="124"/>
              <w:jc w:val="right"/>
            </w:pPr>
            <w:r w:rsidRPr="00DF21ED">
              <w:t>$   900</w:t>
            </w:r>
          </w:p>
        </w:tc>
        <w:tc>
          <w:tcPr>
            <w:tcW w:w="1170" w:type="dxa"/>
            <w:tcBorders>
              <w:top w:val="single" w:sz="4" w:space="0" w:color="000000"/>
              <w:left w:val="single" w:sz="4" w:space="0" w:color="000000"/>
              <w:bottom w:val="single" w:sz="4" w:space="0" w:color="000000"/>
              <w:right w:val="single" w:sz="4" w:space="0" w:color="000000"/>
            </w:tcBorders>
            <w:shd w:val="solid" w:color="000000" w:fill="auto"/>
            <w:tcMar>
              <w:top w:w="0" w:type="dxa"/>
              <w:left w:w="90" w:type="dxa"/>
              <w:bottom w:w="0" w:type="dxa"/>
              <w:right w:w="90" w:type="dxa"/>
            </w:tcMar>
            <w:vAlign w:val="center"/>
          </w:tcPr>
          <w:p w:rsidR="00DF21ED" w:rsidRPr="00DF21ED" w:rsidRDefault="00DF21ED" w:rsidP="000F42B7">
            <w:pPr>
              <w:suppressAutoHyphens/>
              <w:jc w:val="right"/>
            </w:pPr>
            <w:r w:rsidRPr="00DF21ED">
              <w:t>$  6,250</w:t>
            </w:r>
          </w:p>
        </w:tc>
      </w:tr>
      <w:tr w:rsidR="00CA0FA3" w:rsidRPr="00DF21ED" w:rsidTr="001F0EB3">
        <w:trPr>
          <w:trHeight w:val="60"/>
          <w:jc w:val="center"/>
        </w:trPr>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suppressAutoHyphens/>
            </w:pPr>
            <w:r w:rsidRPr="00DF21ED">
              <w:t>Howard</w:t>
            </w:r>
          </w:p>
        </w:tc>
        <w:tc>
          <w:tcPr>
            <w:tcW w:w="1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suppressAutoHyphens/>
              <w:jc w:val="center"/>
            </w:pPr>
            <w:r w:rsidRPr="00DF21ED">
              <w:t>1/1/</w:t>
            </w:r>
            <w:r w:rsidR="00CA0FA3">
              <w:t>2013</w:t>
            </w:r>
          </w:p>
        </w:tc>
        <w:tc>
          <w:tcPr>
            <w:tcW w:w="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suppressAutoHyphens/>
              <w:jc w:val="center"/>
            </w:pPr>
            <w:r w:rsidRPr="00DF21ED">
              <w:t>32</w:t>
            </w:r>
          </w:p>
        </w:tc>
        <w:tc>
          <w:tcPr>
            <w:tcW w:w="1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pStyle w:val="NoParagraphStyle"/>
              <w:spacing w:line="240" w:lineRule="auto"/>
              <w:textAlignment w:val="auto"/>
              <w:rPr>
                <w:rFonts w:ascii="Times New Roman" w:hAnsi="Times New Roman" w:cs="Times New Roman"/>
                <w:color w:val="auto"/>
              </w:rPr>
            </w:pP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suppressAutoHyphens/>
              <w:jc w:val="right"/>
            </w:pPr>
            <w:r w:rsidRPr="00DF21ED">
              <w:t>$  38,400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suppressAutoHyphens/>
              <w:jc w:val="center"/>
            </w:pPr>
            <w:r w:rsidRPr="00DF21ED">
              <w:t>$  4,350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suppressAutoHyphens/>
              <w:ind w:right="72"/>
              <w:jc w:val="right"/>
            </w:pPr>
            <w:r w:rsidRPr="00DF21ED">
              <w:t>$1,152</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suppressAutoHyphens/>
              <w:ind w:right="124"/>
              <w:jc w:val="right"/>
            </w:pPr>
            <w:r w:rsidRPr="00DF21ED">
              <w:t>$1,152</w:t>
            </w:r>
          </w:p>
        </w:tc>
        <w:tc>
          <w:tcPr>
            <w:tcW w:w="1170" w:type="dxa"/>
            <w:tcBorders>
              <w:top w:val="single" w:sz="4" w:space="0" w:color="000000"/>
              <w:left w:val="single" w:sz="4" w:space="0" w:color="000000"/>
              <w:bottom w:val="single" w:sz="4" w:space="0" w:color="000000"/>
              <w:right w:val="single" w:sz="4" w:space="0" w:color="000000"/>
            </w:tcBorders>
            <w:tcMar>
              <w:top w:w="0" w:type="dxa"/>
              <w:left w:w="90" w:type="dxa"/>
              <w:bottom w:w="0" w:type="dxa"/>
              <w:right w:w="90" w:type="dxa"/>
            </w:tcMar>
            <w:vAlign w:val="center"/>
          </w:tcPr>
          <w:p w:rsidR="00DF21ED" w:rsidRPr="00DF21ED" w:rsidRDefault="00077F32" w:rsidP="000F42B7">
            <w:pPr>
              <w:suppressAutoHyphens/>
              <w:jc w:val="right"/>
            </w:pPr>
            <w:r>
              <w:t xml:space="preserve">$  </w:t>
            </w:r>
            <w:r w:rsidR="00DF21ED" w:rsidRPr="00DF21ED">
              <w:t>6,654</w:t>
            </w:r>
          </w:p>
        </w:tc>
      </w:tr>
      <w:tr w:rsidR="00CA0FA3" w:rsidRPr="00DF21ED" w:rsidTr="001F0EB3">
        <w:trPr>
          <w:trHeight w:val="60"/>
          <w:jc w:val="center"/>
        </w:trPr>
        <w:tc>
          <w:tcPr>
            <w:tcW w:w="1008"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suppressAutoHyphens/>
            </w:pPr>
            <w:r w:rsidRPr="00DF21ED">
              <w:t>Scott</w:t>
            </w:r>
          </w:p>
        </w:tc>
        <w:tc>
          <w:tcPr>
            <w:tcW w:w="1071"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suppressAutoHyphens/>
              <w:jc w:val="center"/>
            </w:pPr>
            <w:r w:rsidRPr="00DF21ED">
              <w:t>1/1/</w:t>
            </w:r>
            <w:r w:rsidR="00CA0FA3">
              <w:t>2013</w:t>
            </w:r>
          </w:p>
        </w:tc>
        <w:tc>
          <w:tcPr>
            <w:tcW w:w="653"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suppressAutoHyphens/>
              <w:jc w:val="center"/>
            </w:pPr>
            <w:r w:rsidRPr="00DF21ED">
              <w:t>49</w:t>
            </w:r>
          </w:p>
        </w:tc>
        <w:tc>
          <w:tcPr>
            <w:tcW w:w="1156"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pStyle w:val="NoParagraphStyle"/>
              <w:spacing w:line="240" w:lineRule="auto"/>
              <w:textAlignment w:val="auto"/>
              <w:rPr>
                <w:rFonts w:ascii="Times New Roman" w:hAnsi="Times New Roman" w:cs="Times New Roman"/>
                <w:color w:val="auto"/>
              </w:rPr>
            </w:pPr>
          </w:p>
        </w:tc>
        <w:tc>
          <w:tcPr>
            <w:tcW w:w="117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suppressAutoHyphens/>
              <w:jc w:val="right"/>
            </w:pPr>
            <w:r w:rsidRPr="00DF21ED">
              <w:t>$  60,000</w:t>
            </w:r>
          </w:p>
        </w:tc>
        <w:tc>
          <w:tcPr>
            <w:tcW w:w="126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suppressAutoHyphens/>
              <w:jc w:val="center"/>
            </w:pPr>
            <w:r w:rsidRPr="00DF21ED">
              <w:t xml:space="preserve">$        -  </w:t>
            </w:r>
          </w:p>
        </w:tc>
        <w:tc>
          <w:tcPr>
            <w:tcW w:w="126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suppressAutoHyphens/>
              <w:ind w:right="72"/>
              <w:jc w:val="right"/>
            </w:pPr>
            <w:r w:rsidRPr="00DF21ED">
              <w:t xml:space="preserve">$       -  </w:t>
            </w:r>
          </w:p>
        </w:tc>
        <w:tc>
          <w:tcPr>
            <w:tcW w:w="1233"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suppressAutoHyphens/>
              <w:ind w:right="124"/>
              <w:jc w:val="right"/>
            </w:pPr>
            <w:r w:rsidRPr="00DF21ED">
              <w:t>$1,800</w:t>
            </w:r>
          </w:p>
        </w:tc>
        <w:tc>
          <w:tcPr>
            <w:tcW w:w="1170" w:type="dxa"/>
            <w:tcBorders>
              <w:top w:val="single" w:sz="4" w:space="0" w:color="000000"/>
              <w:left w:val="single" w:sz="4" w:space="0" w:color="000000"/>
              <w:bottom w:val="single" w:sz="4" w:space="0" w:color="000000"/>
              <w:right w:val="single" w:sz="4" w:space="0" w:color="000000"/>
            </w:tcBorders>
            <w:shd w:val="solid" w:color="000000" w:fill="auto"/>
            <w:tcMar>
              <w:top w:w="0" w:type="dxa"/>
              <w:left w:w="90" w:type="dxa"/>
              <w:bottom w:w="0" w:type="dxa"/>
              <w:right w:w="90" w:type="dxa"/>
            </w:tcMar>
            <w:vAlign w:val="center"/>
          </w:tcPr>
          <w:p w:rsidR="00DF21ED" w:rsidRPr="00DF21ED" w:rsidRDefault="00077F32" w:rsidP="000F42B7">
            <w:pPr>
              <w:suppressAutoHyphens/>
              <w:jc w:val="right"/>
            </w:pPr>
            <w:r>
              <w:t xml:space="preserve">$  </w:t>
            </w:r>
            <w:r w:rsidR="00DF21ED" w:rsidRPr="00DF21ED">
              <w:t xml:space="preserve">1,800 </w:t>
            </w:r>
          </w:p>
        </w:tc>
      </w:tr>
      <w:tr w:rsidR="00CA0FA3" w:rsidRPr="00DF21ED" w:rsidTr="001F0EB3">
        <w:trPr>
          <w:trHeight w:val="60"/>
          <w:jc w:val="center"/>
        </w:trPr>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suppressAutoHyphens/>
            </w:pPr>
            <w:r w:rsidRPr="00DF21ED">
              <w:t>Michael</w:t>
            </w:r>
          </w:p>
        </w:tc>
        <w:tc>
          <w:tcPr>
            <w:tcW w:w="1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suppressAutoHyphens/>
              <w:jc w:val="center"/>
            </w:pPr>
            <w:r w:rsidRPr="00DF21ED">
              <w:t>1/1/</w:t>
            </w:r>
            <w:r w:rsidR="00CA0FA3">
              <w:t>2013</w:t>
            </w:r>
          </w:p>
        </w:tc>
        <w:tc>
          <w:tcPr>
            <w:tcW w:w="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suppressAutoHyphens/>
              <w:jc w:val="center"/>
            </w:pPr>
            <w:r w:rsidRPr="00DF21ED">
              <w:t>38</w:t>
            </w:r>
          </w:p>
        </w:tc>
        <w:tc>
          <w:tcPr>
            <w:tcW w:w="1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pStyle w:val="NoParagraphStyle"/>
              <w:spacing w:line="240" w:lineRule="auto"/>
              <w:textAlignment w:val="auto"/>
              <w:rPr>
                <w:rFonts w:ascii="Times New Roman" w:hAnsi="Times New Roman" w:cs="Times New Roman"/>
                <w:color w:val="auto"/>
              </w:rPr>
            </w:pP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suppressAutoHyphens/>
              <w:jc w:val="right"/>
            </w:pPr>
            <w:r w:rsidRPr="00DF21ED">
              <w:t>$  24,000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suppressAutoHyphens/>
              <w:jc w:val="center"/>
            </w:pPr>
            <w:r w:rsidRPr="00DF21ED">
              <w:t>$  4,150</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suppressAutoHyphens/>
              <w:ind w:right="72"/>
              <w:jc w:val="right"/>
            </w:pPr>
            <w:r w:rsidRPr="00DF21ED">
              <w:t>$   720</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suppressAutoHyphens/>
              <w:ind w:right="124"/>
              <w:jc w:val="right"/>
            </w:pPr>
            <w:r w:rsidRPr="00DF21ED">
              <w:t>$   720</w:t>
            </w:r>
          </w:p>
        </w:tc>
        <w:tc>
          <w:tcPr>
            <w:tcW w:w="1170" w:type="dxa"/>
            <w:tcBorders>
              <w:top w:val="single" w:sz="4" w:space="0" w:color="000000"/>
              <w:left w:val="single" w:sz="4" w:space="0" w:color="000000"/>
              <w:bottom w:val="single" w:sz="4" w:space="0" w:color="000000"/>
              <w:right w:val="single" w:sz="4" w:space="0" w:color="000000"/>
            </w:tcBorders>
            <w:tcMar>
              <w:top w:w="0" w:type="dxa"/>
              <w:left w:w="90" w:type="dxa"/>
              <w:bottom w:w="0" w:type="dxa"/>
              <w:right w:w="90" w:type="dxa"/>
            </w:tcMar>
            <w:vAlign w:val="center"/>
          </w:tcPr>
          <w:p w:rsidR="00DF21ED" w:rsidRPr="00DF21ED" w:rsidRDefault="00077F32" w:rsidP="000F42B7">
            <w:pPr>
              <w:suppressAutoHyphens/>
              <w:jc w:val="right"/>
            </w:pPr>
            <w:r>
              <w:t xml:space="preserve">$  </w:t>
            </w:r>
            <w:r w:rsidR="00DF21ED" w:rsidRPr="00DF21ED">
              <w:t>5,590</w:t>
            </w:r>
          </w:p>
        </w:tc>
      </w:tr>
      <w:tr w:rsidR="00CA0FA3" w:rsidRPr="00DF21ED" w:rsidTr="001F0EB3">
        <w:trPr>
          <w:trHeight w:val="60"/>
          <w:jc w:val="center"/>
        </w:trPr>
        <w:tc>
          <w:tcPr>
            <w:tcW w:w="1008"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suppressAutoHyphens/>
            </w:pPr>
            <w:r w:rsidRPr="00DF21ED">
              <w:t>David</w:t>
            </w:r>
          </w:p>
        </w:tc>
        <w:tc>
          <w:tcPr>
            <w:tcW w:w="1071"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suppressAutoHyphens/>
              <w:jc w:val="center"/>
            </w:pPr>
            <w:r w:rsidRPr="00DF21ED">
              <w:t>1/1/</w:t>
            </w:r>
            <w:r w:rsidR="00CA0FA3">
              <w:t>2013</w:t>
            </w:r>
          </w:p>
        </w:tc>
        <w:tc>
          <w:tcPr>
            <w:tcW w:w="653"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suppressAutoHyphens/>
              <w:jc w:val="center"/>
            </w:pPr>
            <w:r w:rsidRPr="00DF21ED">
              <w:t>40</w:t>
            </w:r>
          </w:p>
        </w:tc>
        <w:tc>
          <w:tcPr>
            <w:tcW w:w="1156"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pStyle w:val="NoParagraphStyle"/>
              <w:spacing w:line="240" w:lineRule="auto"/>
              <w:textAlignment w:val="auto"/>
              <w:rPr>
                <w:rFonts w:ascii="Times New Roman" w:hAnsi="Times New Roman" w:cs="Times New Roman"/>
                <w:color w:val="auto"/>
              </w:rPr>
            </w:pPr>
          </w:p>
        </w:tc>
        <w:tc>
          <w:tcPr>
            <w:tcW w:w="117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suppressAutoHyphens/>
              <w:jc w:val="right"/>
            </w:pPr>
            <w:r w:rsidRPr="00DF21ED">
              <w:t>$  36,000</w:t>
            </w:r>
          </w:p>
        </w:tc>
        <w:tc>
          <w:tcPr>
            <w:tcW w:w="126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suppressAutoHyphens/>
              <w:jc w:val="center"/>
            </w:pPr>
            <w:r w:rsidRPr="00DF21ED">
              <w:t>$  2,000</w:t>
            </w:r>
          </w:p>
        </w:tc>
        <w:tc>
          <w:tcPr>
            <w:tcW w:w="126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suppressAutoHyphens/>
              <w:ind w:right="72"/>
              <w:jc w:val="right"/>
            </w:pPr>
            <w:r w:rsidRPr="00DF21ED">
              <w:t>$1,080</w:t>
            </w:r>
          </w:p>
        </w:tc>
        <w:tc>
          <w:tcPr>
            <w:tcW w:w="1233"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DF21ED" w:rsidRPr="00DF21ED" w:rsidRDefault="00DF21ED" w:rsidP="000F42B7">
            <w:pPr>
              <w:suppressAutoHyphens/>
              <w:ind w:right="124"/>
              <w:jc w:val="right"/>
            </w:pPr>
            <w:r w:rsidRPr="00DF21ED">
              <w:t>$1,080</w:t>
            </w:r>
          </w:p>
        </w:tc>
        <w:tc>
          <w:tcPr>
            <w:tcW w:w="1170" w:type="dxa"/>
            <w:tcBorders>
              <w:top w:val="single" w:sz="4" w:space="0" w:color="000000"/>
              <w:left w:val="single" w:sz="4" w:space="0" w:color="000000"/>
              <w:bottom w:val="single" w:sz="4" w:space="0" w:color="000000"/>
              <w:right w:val="single" w:sz="4" w:space="0" w:color="000000"/>
            </w:tcBorders>
            <w:shd w:val="solid" w:color="000000" w:fill="auto"/>
            <w:tcMar>
              <w:top w:w="0" w:type="dxa"/>
              <w:left w:w="90" w:type="dxa"/>
              <w:bottom w:w="0" w:type="dxa"/>
              <w:right w:w="90" w:type="dxa"/>
            </w:tcMar>
            <w:vAlign w:val="center"/>
          </w:tcPr>
          <w:p w:rsidR="00DF21ED" w:rsidRPr="00DF21ED" w:rsidRDefault="00DF21ED" w:rsidP="000F42B7">
            <w:pPr>
              <w:suppressAutoHyphens/>
              <w:jc w:val="right"/>
            </w:pPr>
            <w:r w:rsidRPr="00DF21ED">
              <w:rPr>
                <w:u w:val="thick" w:color="000000"/>
              </w:rPr>
              <w:t xml:space="preserve">   </w:t>
            </w:r>
            <w:r w:rsidR="00077F32">
              <w:rPr>
                <w:u w:val="thick" w:color="000000"/>
              </w:rPr>
              <w:t xml:space="preserve">$  </w:t>
            </w:r>
            <w:r w:rsidRPr="00DF21ED">
              <w:rPr>
                <w:u w:val="thick" w:color="000000"/>
              </w:rPr>
              <w:t>4,160</w:t>
            </w:r>
          </w:p>
        </w:tc>
      </w:tr>
      <w:tr w:rsidR="00CA0FA3" w:rsidRPr="00DF21ED" w:rsidTr="001F0EB3">
        <w:trPr>
          <w:trHeight w:val="60"/>
          <w:jc w:val="center"/>
        </w:trPr>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pStyle w:val="NoParagraphStyle"/>
              <w:spacing w:line="240" w:lineRule="auto"/>
              <w:textAlignment w:val="auto"/>
              <w:rPr>
                <w:rFonts w:ascii="Times New Roman" w:hAnsi="Times New Roman" w:cs="Times New Roman"/>
                <w:color w:val="auto"/>
              </w:rPr>
            </w:pPr>
          </w:p>
        </w:tc>
        <w:tc>
          <w:tcPr>
            <w:tcW w:w="1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pStyle w:val="NoParagraphStyle"/>
              <w:spacing w:line="240" w:lineRule="auto"/>
              <w:textAlignment w:val="auto"/>
              <w:rPr>
                <w:rFonts w:ascii="Times New Roman" w:hAnsi="Times New Roman" w:cs="Times New Roman"/>
                <w:color w:val="auto"/>
              </w:rPr>
            </w:pPr>
          </w:p>
        </w:tc>
        <w:tc>
          <w:tcPr>
            <w:tcW w:w="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pStyle w:val="NoParagraphStyle"/>
              <w:spacing w:line="240" w:lineRule="auto"/>
              <w:textAlignment w:val="auto"/>
              <w:rPr>
                <w:rFonts w:ascii="Times New Roman" w:hAnsi="Times New Roman" w:cs="Times New Roman"/>
                <w:color w:val="auto"/>
              </w:rPr>
            </w:pPr>
          </w:p>
        </w:tc>
        <w:tc>
          <w:tcPr>
            <w:tcW w:w="1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pStyle w:val="NoParagraphStyle"/>
              <w:spacing w:line="240" w:lineRule="auto"/>
              <w:textAlignment w:val="auto"/>
              <w:rPr>
                <w:rFonts w:ascii="Times New Roman" w:hAnsi="Times New Roman" w:cs="Times New Roman"/>
                <w:color w:val="auto"/>
              </w:rPr>
            </w:pP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pStyle w:val="NoParagraphStyle"/>
              <w:spacing w:line="240" w:lineRule="auto"/>
              <w:textAlignment w:val="auto"/>
              <w:rPr>
                <w:rFonts w:ascii="Times New Roman" w:hAnsi="Times New Roman" w:cs="Times New Roman"/>
                <w:color w:val="auto"/>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pStyle w:val="NoParagraphStyle"/>
              <w:spacing w:line="240" w:lineRule="auto"/>
              <w:textAlignment w:val="auto"/>
              <w:rPr>
                <w:rFonts w:ascii="Times New Roman" w:hAnsi="Times New Roman" w:cs="Times New Roman"/>
                <w:color w:val="auto"/>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pStyle w:val="NoParagraphStyle"/>
              <w:spacing w:line="240" w:lineRule="auto"/>
              <w:textAlignment w:val="auto"/>
              <w:rPr>
                <w:rFonts w:ascii="Times New Roman" w:hAnsi="Times New Roman" w:cs="Times New Roman"/>
                <w:color w:val="auto"/>
              </w:rPr>
            </w:pP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1ED" w:rsidRPr="00DF21ED" w:rsidRDefault="00DF21ED" w:rsidP="000F42B7">
            <w:pPr>
              <w:pStyle w:val="NoParagraphStyle"/>
              <w:spacing w:line="240" w:lineRule="auto"/>
              <w:textAlignment w:val="auto"/>
              <w:rPr>
                <w:rFonts w:ascii="Times New Roman" w:hAnsi="Times New Roman" w:cs="Times New Roman"/>
                <w:color w:val="auto"/>
              </w:rPr>
            </w:pPr>
          </w:p>
        </w:tc>
        <w:tc>
          <w:tcPr>
            <w:tcW w:w="1170" w:type="dxa"/>
            <w:tcBorders>
              <w:top w:val="single" w:sz="4" w:space="0" w:color="000000"/>
              <w:left w:val="single" w:sz="4" w:space="0" w:color="000000"/>
              <w:bottom w:val="single" w:sz="4" w:space="0" w:color="000000"/>
              <w:right w:val="single" w:sz="4" w:space="0" w:color="000000"/>
            </w:tcBorders>
            <w:tcMar>
              <w:top w:w="0" w:type="dxa"/>
              <w:left w:w="90" w:type="dxa"/>
              <w:bottom w:w="0" w:type="dxa"/>
              <w:right w:w="90" w:type="dxa"/>
            </w:tcMar>
            <w:vAlign w:val="center"/>
          </w:tcPr>
          <w:p w:rsidR="00DF21ED" w:rsidRPr="00DF21ED" w:rsidRDefault="00DF21ED" w:rsidP="000F42B7">
            <w:pPr>
              <w:suppressAutoHyphens/>
              <w:jc w:val="right"/>
            </w:pPr>
            <w:r w:rsidRPr="00DF21ED">
              <w:t>$24,454</w:t>
            </w:r>
          </w:p>
        </w:tc>
      </w:tr>
    </w:tbl>
    <w:p w:rsidR="00DF21ED" w:rsidRPr="00DF21ED" w:rsidRDefault="00DF21ED" w:rsidP="00DF21ED">
      <w:pPr>
        <w:pStyle w:val="NoParagraphStyle"/>
        <w:suppressAutoHyphens/>
        <w:rPr>
          <w:rFonts w:ascii="Times New Roman" w:hAnsi="Times New Roman" w:cs="Times New Roman"/>
        </w:rPr>
      </w:pPr>
    </w:p>
    <w:p w:rsidR="00EA4E17" w:rsidRDefault="00DF21ED" w:rsidP="00077F32">
      <w:pPr>
        <w:pStyle w:val="NoSpacing"/>
        <w:ind w:left="720"/>
        <w:rPr>
          <w:rFonts w:ascii="Times New Roman" w:eastAsia="Times New Roman" w:hAnsi="Times New Roman" w:cs="Times New Roman"/>
          <w:sz w:val="24"/>
          <w:szCs w:val="24"/>
        </w:rPr>
      </w:pPr>
      <w:r w:rsidRPr="00077F32">
        <w:rPr>
          <w:rFonts w:ascii="Times New Roman" w:eastAsia="Times New Roman" w:hAnsi="Times New Roman" w:cs="Times New Roman"/>
          <w:sz w:val="24"/>
          <w:szCs w:val="24"/>
        </w:rPr>
        <w:t>In this case</w:t>
      </w:r>
      <w:r w:rsidR="00077F32" w:rsidRPr="00077F32">
        <w:rPr>
          <w:rFonts w:ascii="Times New Roman" w:eastAsia="Times New Roman" w:hAnsi="Times New Roman" w:cs="Times New Roman"/>
          <w:sz w:val="24"/>
          <w:szCs w:val="24"/>
        </w:rPr>
        <w:t xml:space="preserve">, </w:t>
      </w:r>
      <w:r w:rsidRPr="00077F32">
        <w:rPr>
          <w:rFonts w:ascii="Times New Roman" w:eastAsia="Times New Roman" w:hAnsi="Times New Roman" w:cs="Times New Roman"/>
          <w:sz w:val="24"/>
          <w:szCs w:val="24"/>
        </w:rPr>
        <w:t>the plan is not top-heavy for 201</w:t>
      </w:r>
      <w:r w:rsidR="00967099" w:rsidRPr="00077F32">
        <w:rPr>
          <w:rFonts w:ascii="Times New Roman" w:eastAsia="Times New Roman" w:hAnsi="Times New Roman" w:cs="Times New Roman"/>
          <w:sz w:val="24"/>
          <w:szCs w:val="24"/>
        </w:rPr>
        <w:t>4</w:t>
      </w:r>
      <w:r w:rsidRPr="00077F32">
        <w:rPr>
          <w:rFonts w:ascii="Times New Roman" w:eastAsia="Times New Roman" w:hAnsi="Times New Roman" w:cs="Times New Roman"/>
          <w:sz w:val="24"/>
          <w:szCs w:val="24"/>
        </w:rPr>
        <w:t xml:space="preserve">. For this year there is no top-heavy minimum deposit required. </w:t>
      </w:r>
      <w:r w:rsidR="00BB28B6">
        <w:rPr>
          <w:rFonts w:ascii="Times New Roman" w:eastAsia="Times New Roman" w:hAnsi="Times New Roman" w:cs="Times New Roman"/>
          <w:sz w:val="24"/>
          <w:szCs w:val="24"/>
        </w:rPr>
        <w:t>Because</w:t>
      </w:r>
      <w:r w:rsidR="00BB28B6" w:rsidRPr="00077F32">
        <w:rPr>
          <w:rFonts w:ascii="Times New Roman" w:eastAsia="Times New Roman" w:hAnsi="Times New Roman" w:cs="Times New Roman"/>
          <w:sz w:val="24"/>
          <w:szCs w:val="24"/>
        </w:rPr>
        <w:t xml:space="preserve"> </w:t>
      </w:r>
      <w:r w:rsidRPr="00077F32">
        <w:rPr>
          <w:rFonts w:ascii="Times New Roman" w:eastAsia="Times New Roman" w:hAnsi="Times New Roman" w:cs="Times New Roman"/>
          <w:sz w:val="24"/>
          <w:szCs w:val="24"/>
        </w:rPr>
        <w:t>the plan is not top-heavy for 201</w:t>
      </w:r>
      <w:r w:rsidR="00967099" w:rsidRPr="00077F32">
        <w:rPr>
          <w:rFonts w:ascii="Times New Roman" w:eastAsia="Times New Roman" w:hAnsi="Times New Roman" w:cs="Times New Roman"/>
          <w:sz w:val="24"/>
          <w:szCs w:val="24"/>
        </w:rPr>
        <w:t>4</w:t>
      </w:r>
      <w:r w:rsidRPr="00077F32">
        <w:rPr>
          <w:rFonts w:ascii="Times New Roman" w:eastAsia="Times New Roman" w:hAnsi="Times New Roman" w:cs="Times New Roman"/>
          <w:sz w:val="24"/>
          <w:szCs w:val="24"/>
        </w:rPr>
        <w:t>, the plan’s non-top-heavy vesting schedule can be used for any participant who has less than three years of service (see Years of Service Vesting Schedule</w:t>
      </w:r>
      <w:r w:rsidR="00BB28B6">
        <w:rPr>
          <w:rFonts w:ascii="Times New Roman" w:eastAsia="Times New Roman" w:hAnsi="Times New Roman" w:cs="Times New Roman"/>
          <w:sz w:val="24"/>
          <w:szCs w:val="24"/>
        </w:rPr>
        <w:t>, Q 5.13</w:t>
      </w:r>
      <w:r w:rsidRPr="00077F32">
        <w:rPr>
          <w:rFonts w:ascii="Times New Roman" w:eastAsia="Times New Roman" w:hAnsi="Times New Roman" w:cs="Times New Roman"/>
          <w:sz w:val="24"/>
          <w:szCs w:val="24"/>
        </w:rPr>
        <w:t>.) The top-heavy rules would not apply if this were a safe harbor 401(k) plan as long as the required safe harbor contribution of 3</w:t>
      </w:r>
      <w:r w:rsidR="00587DCE">
        <w:rPr>
          <w:rFonts w:ascii="Times New Roman" w:eastAsia="Times New Roman" w:hAnsi="Times New Roman" w:cs="Times New Roman"/>
          <w:sz w:val="24"/>
          <w:szCs w:val="24"/>
        </w:rPr>
        <w:t xml:space="preserve"> percent</w:t>
      </w:r>
      <w:r w:rsidR="00587DCE" w:rsidRPr="00077F32">
        <w:rPr>
          <w:rFonts w:ascii="Times New Roman" w:eastAsia="Times New Roman" w:hAnsi="Times New Roman" w:cs="Times New Roman"/>
          <w:sz w:val="24"/>
          <w:szCs w:val="24"/>
        </w:rPr>
        <w:t xml:space="preserve"> </w:t>
      </w:r>
      <w:r w:rsidRPr="00077F32">
        <w:rPr>
          <w:rFonts w:ascii="Times New Roman" w:eastAsia="Times New Roman" w:hAnsi="Times New Roman" w:cs="Times New Roman"/>
          <w:sz w:val="24"/>
          <w:szCs w:val="24"/>
        </w:rPr>
        <w:t xml:space="preserve">for all eligible employees or the safe harbor matching contribution was provided. </w:t>
      </w:r>
    </w:p>
    <w:p w:rsidR="00EA4E17" w:rsidRDefault="00EA4E17" w:rsidP="00077F32">
      <w:pPr>
        <w:pStyle w:val="NoSpacing"/>
        <w:ind w:left="720"/>
        <w:rPr>
          <w:rFonts w:ascii="Times New Roman" w:eastAsia="Times New Roman" w:hAnsi="Times New Roman" w:cs="Times New Roman"/>
          <w:sz w:val="24"/>
          <w:szCs w:val="24"/>
        </w:rPr>
      </w:pPr>
    </w:p>
    <w:p w:rsidR="00DF21ED" w:rsidRPr="00077F32" w:rsidRDefault="00DF21ED" w:rsidP="00077F32">
      <w:pPr>
        <w:pStyle w:val="NoSpacing"/>
        <w:ind w:left="720"/>
        <w:rPr>
          <w:rFonts w:ascii="Times New Roman" w:eastAsia="Times New Roman" w:hAnsi="Times New Roman" w:cs="Times New Roman"/>
          <w:sz w:val="24"/>
          <w:szCs w:val="24"/>
        </w:rPr>
      </w:pPr>
      <w:r w:rsidRPr="00077F32">
        <w:rPr>
          <w:rFonts w:ascii="Times New Roman" w:eastAsia="Times New Roman" w:hAnsi="Times New Roman" w:cs="Times New Roman"/>
          <w:sz w:val="24"/>
          <w:szCs w:val="24"/>
        </w:rPr>
        <w:lastRenderedPageBreak/>
        <w:t>This type of 401(k) plan and other forms of 401(k) plans are covered in detail in Chapter</w:t>
      </w:r>
      <w:r w:rsidR="001F0EB3" w:rsidRPr="00077F32">
        <w:rPr>
          <w:rFonts w:ascii="Times New Roman" w:eastAsia="Times New Roman" w:hAnsi="Times New Roman" w:cs="Times New Roman"/>
          <w:sz w:val="24"/>
          <w:szCs w:val="24"/>
        </w:rPr>
        <w:t xml:space="preserve"> 6</w:t>
      </w:r>
      <w:r w:rsidRPr="00077F32">
        <w:rPr>
          <w:rFonts w:ascii="Times New Roman" w:eastAsia="Times New Roman" w:hAnsi="Times New Roman" w:cs="Times New Roman"/>
          <w:sz w:val="24"/>
          <w:szCs w:val="24"/>
        </w:rPr>
        <w:t>.</w:t>
      </w:r>
    </w:p>
    <w:p w:rsidR="00DF21ED" w:rsidRPr="00077F32" w:rsidRDefault="00DF21ED" w:rsidP="00077F32">
      <w:pPr>
        <w:pStyle w:val="NoSpacing"/>
        <w:ind w:left="720"/>
        <w:rPr>
          <w:rFonts w:ascii="Times New Roman" w:eastAsia="Times New Roman" w:hAnsi="Times New Roman" w:cs="Times New Roman"/>
          <w:sz w:val="24"/>
          <w:szCs w:val="24"/>
        </w:rPr>
      </w:pPr>
    </w:p>
    <w:p w:rsidR="0047401D" w:rsidRPr="00AE6419" w:rsidRDefault="0047401D" w:rsidP="0047401D">
      <w:pPr>
        <w:pStyle w:val="NoSpacing"/>
        <w:ind w:left="720"/>
        <w:rPr>
          <w:rFonts w:ascii="Times New Roman" w:hAnsi="Times New Roman" w:cs="Times New Roman"/>
          <w:b/>
          <w:sz w:val="24"/>
          <w:szCs w:val="24"/>
        </w:rPr>
      </w:pPr>
      <w:r>
        <w:rPr>
          <w:rFonts w:ascii="Times New Roman" w:hAnsi="Times New Roman" w:cs="Times New Roman"/>
          <w:b/>
          <w:sz w:val="24"/>
          <w:szCs w:val="24"/>
        </w:rPr>
        <w:t xml:space="preserve">Q. </w:t>
      </w:r>
      <w:r w:rsidR="00D23016">
        <w:rPr>
          <w:rFonts w:ascii="Times New Roman" w:hAnsi="Times New Roman" w:cs="Times New Roman"/>
          <w:b/>
          <w:sz w:val="24"/>
          <w:szCs w:val="24"/>
        </w:rPr>
        <w:t>5</w:t>
      </w:r>
      <w:r>
        <w:rPr>
          <w:rFonts w:ascii="Times New Roman" w:hAnsi="Times New Roman" w:cs="Times New Roman"/>
          <w:b/>
          <w:sz w:val="24"/>
          <w:szCs w:val="24"/>
        </w:rPr>
        <w:t>.1</w:t>
      </w:r>
      <w:r w:rsidR="002033BB">
        <w:rPr>
          <w:rFonts w:ascii="Times New Roman" w:hAnsi="Times New Roman" w:cs="Times New Roman"/>
          <w:b/>
          <w:sz w:val="24"/>
          <w:szCs w:val="24"/>
        </w:rPr>
        <w:t>6</w:t>
      </w:r>
      <w:r>
        <w:rPr>
          <w:rFonts w:ascii="Times New Roman" w:hAnsi="Times New Roman" w:cs="Times New Roman"/>
          <w:b/>
          <w:sz w:val="24"/>
          <w:szCs w:val="24"/>
        </w:rPr>
        <w:t>:  Should an employer always avoid top-heavy status</w:t>
      </w:r>
      <w:r w:rsidRPr="00AC2BF5">
        <w:rPr>
          <w:rFonts w:ascii="Times New Roman" w:hAnsi="Times New Roman" w:cs="Times New Roman"/>
          <w:b/>
          <w:sz w:val="24"/>
          <w:szCs w:val="24"/>
        </w:rPr>
        <w:t>?</w:t>
      </w:r>
    </w:p>
    <w:p w:rsidR="0047401D" w:rsidRDefault="0047401D" w:rsidP="0047401D">
      <w:pPr>
        <w:widowControl w:val="0"/>
        <w:tabs>
          <w:tab w:val="decimal" w:pos="680"/>
          <w:tab w:val="left" w:pos="840"/>
        </w:tabs>
        <w:autoSpaceDE w:val="0"/>
        <w:autoSpaceDN w:val="0"/>
        <w:adjustRightInd w:val="0"/>
        <w:spacing w:line="240" w:lineRule="exact"/>
        <w:ind w:left="720"/>
        <w:jc w:val="both"/>
      </w:pPr>
    </w:p>
    <w:p w:rsidR="002746A3" w:rsidRPr="00077F32" w:rsidRDefault="0047401D" w:rsidP="00077F32">
      <w:pPr>
        <w:pStyle w:val="NoSpacing"/>
        <w:ind w:left="720"/>
        <w:rPr>
          <w:rFonts w:ascii="Times New Roman" w:eastAsia="Times New Roman" w:hAnsi="Times New Roman" w:cs="Times New Roman"/>
          <w:sz w:val="24"/>
          <w:szCs w:val="24"/>
        </w:rPr>
      </w:pPr>
      <w:r w:rsidRPr="00077F32">
        <w:rPr>
          <w:rFonts w:ascii="Times New Roman" w:eastAsia="Times New Roman" w:hAnsi="Times New Roman" w:cs="Times New Roman"/>
          <w:sz w:val="24"/>
          <w:szCs w:val="24"/>
        </w:rPr>
        <w:t xml:space="preserve">Not necessarily.  Generally, when a plan is top-heavy, it means the benefits are going to the key employees, </w:t>
      </w:r>
      <w:r w:rsidR="002746A3" w:rsidRPr="00077F32">
        <w:rPr>
          <w:rFonts w:ascii="Times New Roman" w:eastAsia="Times New Roman" w:hAnsi="Times New Roman" w:cs="Times New Roman"/>
          <w:sz w:val="24"/>
          <w:szCs w:val="24"/>
        </w:rPr>
        <w:t xml:space="preserve">which </w:t>
      </w:r>
      <w:r w:rsidRPr="00077F32">
        <w:rPr>
          <w:rFonts w:ascii="Times New Roman" w:eastAsia="Times New Roman" w:hAnsi="Times New Roman" w:cs="Times New Roman"/>
          <w:sz w:val="24"/>
          <w:szCs w:val="24"/>
        </w:rPr>
        <w:t>in some cases</w:t>
      </w:r>
      <w:r w:rsidR="002746A3" w:rsidRPr="00077F32">
        <w:rPr>
          <w:rFonts w:ascii="Times New Roman" w:eastAsia="Times New Roman" w:hAnsi="Times New Roman" w:cs="Times New Roman"/>
          <w:sz w:val="24"/>
          <w:szCs w:val="24"/>
        </w:rPr>
        <w:t xml:space="preserve"> include</w:t>
      </w:r>
      <w:r w:rsidRPr="00077F32">
        <w:rPr>
          <w:rFonts w:ascii="Times New Roman" w:eastAsia="Times New Roman" w:hAnsi="Times New Roman" w:cs="Times New Roman"/>
          <w:sz w:val="24"/>
          <w:szCs w:val="24"/>
        </w:rPr>
        <w:t xml:space="preserve"> the owner(s) of the employer sponsoring the plan. </w:t>
      </w:r>
      <w:r w:rsidR="00516146" w:rsidRPr="00077F32">
        <w:rPr>
          <w:rFonts w:ascii="Times New Roman" w:eastAsia="Times New Roman" w:hAnsi="Times New Roman" w:cs="Times New Roman"/>
          <w:sz w:val="24"/>
          <w:szCs w:val="24"/>
        </w:rPr>
        <w:t>This is frequently the goal for a qualified plan in a closely held company.</w:t>
      </w:r>
    </w:p>
    <w:p w:rsidR="00A16475" w:rsidRPr="00077F32" w:rsidRDefault="00A16475" w:rsidP="002A7C66">
      <w:pPr>
        <w:pStyle w:val="NoSpacing"/>
        <w:ind w:left="1080"/>
        <w:rPr>
          <w:rFonts w:ascii="Times New Roman" w:eastAsia="Times New Roman" w:hAnsi="Times New Roman" w:cs="Times New Roman"/>
          <w:sz w:val="24"/>
          <w:szCs w:val="24"/>
        </w:rPr>
      </w:pPr>
    </w:p>
    <w:p w:rsidR="00F322AC" w:rsidRPr="00AE6419" w:rsidRDefault="00F322AC" w:rsidP="002A7C66">
      <w:pPr>
        <w:pStyle w:val="NoSpacing"/>
        <w:rPr>
          <w:rFonts w:ascii="Times New Roman" w:hAnsi="Times New Roman" w:cs="Times New Roman"/>
          <w:b/>
          <w:sz w:val="24"/>
          <w:szCs w:val="24"/>
        </w:rPr>
      </w:pPr>
    </w:p>
    <w:p w:rsidR="00F322AC" w:rsidRDefault="00F322AC" w:rsidP="00F322AC">
      <w:pPr>
        <w:pStyle w:val="NoSpacing"/>
        <w:ind w:left="720"/>
        <w:rPr>
          <w:rFonts w:ascii="Times New Roman" w:hAnsi="Times New Roman" w:cs="Times New Roman"/>
          <w:sz w:val="24"/>
          <w:szCs w:val="24"/>
        </w:rPr>
      </w:pPr>
    </w:p>
    <w:p w:rsidR="00F322AC" w:rsidRPr="00AE6419" w:rsidRDefault="00F322AC" w:rsidP="00233981">
      <w:pPr>
        <w:pStyle w:val="NoSpacing"/>
        <w:ind w:left="720"/>
        <w:rPr>
          <w:rFonts w:ascii="Times New Roman" w:hAnsi="Times New Roman" w:cs="Times New Roman"/>
          <w:b/>
          <w:sz w:val="24"/>
          <w:szCs w:val="24"/>
        </w:rPr>
      </w:pPr>
      <w:r>
        <w:rPr>
          <w:rFonts w:ascii="Times New Roman" w:hAnsi="Times New Roman" w:cs="Times New Roman"/>
          <w:b/>
          <w:sz w:val="24"/>
          <w:szCs w:val="24"/>
        </w:rPr>
        <w:t>Q. 5.</w:t>
      </w:r>
      <w:r w:rsidR="00D23016">
        <w:rPr>
          <w:rFonts w:ascii="Times New Roman" w:hAnsi="Times New Roman" w:cs="Times New Roman"/>
          <w:b/>
          <w:sz w:val="24"/>
          <w:szCs w:val="24"/>
        </w:rPr>
        <w:t>1</w:t>
      </w:r>
      <w:r w:rsidR="002033BB">
        <w:rPr>
          <w:rFonts w:ascii="Times New Roman" w:hAnsi="Times New Roman" w:cs="Times New Roman"/>
          <w:b/>
          <w:sz w:val="24"/>
          <w:szCs w:val="24"/>
        </w:rPr>
        <w:t>7</w:t>
      </w:r>
      <w:r>
        <w:rPr>
          <w:rFonts w:ascii="Times New Roman" w:hAnsi="Times New Roman" w:cs="Times New Roman"/>
          <w:b/>
          <w:sz w:val="24"/>
          <w:szCs w:val="24"/>
        </w:rPr>
        <w:t xml:space="preserve">:  </w:t>
      </w:r>
      <w:r w:rsidR="00233981">
        <w:rPr>
          <w:rFonts w:ascii="Times New Roman" w:hAnsi="Times New Roman" w:cs="Times New Roman"/>
          <w:b/>
          <w:sz w:val="24"/>
          <w:szCs w:val="24"/>
        </w:rPr>
        <w:t>What issues arise with minimum top-heavy contributions for a 401(k) plan</w:t>
      </w:r>
      <w:r w:rsidRPr="00AC2BF5">
        <w:rPr>
          <w:rFonts w:ascii="Times New Roman" w:hAnsi="Times New Roman" w:cs="Times New Roman"/>
          <w:b/>
          <w:sz w:val="24"/>
          <w:szCs w:val="24"/>
        </w:rPr>
        <w:t>?</w:t>
      </w:r>
    </w:p>
    <w:p w:rsidR="00F322AC" w:rsidRDefault="00F322AC" w:rsidP="0047401D">
      <w:pPr>
        <w:pStyle w:val="ListParagraph"/>
        <w:widowControl w:val="0"/>
        <w:tabs>
          <w:tab w:val="decimal" w:pos="680"/>
          <w:tab w:val="left" w:pos="840"/>
        </w:tabs>
        <w:autoSpaceDE w:val="0"/>
        <w:autoSpaceDN w:val="0"/>
        <w:adjustRightInd w:val="0"/>
        <w:spacing w:line="240" w:lineRule="exact"/>
        <w:ind w:left="1275"/>
        <w:jc w:val="both"/>
      </w:pPr>
    </w:p>
    <w:p w:rsidR="00FA592A" w:rsidRPr="00077F32" w:rsidRDefault="00FA592A" w:rsidP="00077F32">
      <w:pPr>
        <w:pStyle w:val="NoSpacing"/>
        <w:ind w:left="720"/>
        <w:rPr>
          <w:rFonts w:ascii="Times New Roman" w:eastAsia="Times New Roman" w:hAnsi="Times New Roman" w:cs="Times New Roman"/>
          <w:sz w:val="24"/>
          <w:szCs w:val="24"/>
        </w:rPr>
      </w:pPr>
      <w:r w:rsidRPr="00077F32">
        <w:rPr>
          <w:rFonts w:ascii="Times New Roman" w:eastAsia="Times New Roman" w:hAnsi="Times New Roman" w:cs="Times New Roman"/>
          <w:sz w:val="24"/>
          <w:szCs w:val="24"/>
        </w:rPr>
        <w:t>Several complex issues arise for 401(k) plans including the following:</w:t>
      </w:r>
    </w:p>
    <w:p w:rsidR="007827DF" w:rsidRPr="00077F32" w:rsidRDefault="00F03902" w:rsidP="002A7C66">
      <w:pPr>
        <w:pStyle w:val="NoSpacing"/>
        <w:numPr>
          <w:ilvl w:val="0"/>
          <w:numId w:val="36"/>
        </w:numPr>
        <w:rPr>
          <w:rFonts w:ascii="Times New Roman" w:eastAsia="Times New Roman" w:hAnsi="Times New Roman" w:cs="Times New Roman"/>
          <w:sz w:val="24"/>
          <w:szCs w:val="24"/>
        </w:rPr>
      </w:pPr>
      <w:r w:rsidRPr="00077F32">
        <w:rPr>
          <w:rFonts w:ascii="Times New Roman" w:eastAsia="Times New Roman" w:hAnsi="Times New Roman" w:cs="Times New Roman"/>
          <w:sz w:val="24"/>
          <w:szCs w:val="24"/>
        </w:rPr>
        <w:t xml:space="preserve">For many employers </w:t>
      </w:r>
      <w:r w:rsidR="007827DF" w:rsidRPr="00077F32">
        <w:rPr>
          <w:rFonts w:ascii="Times New Roman" w:eastAsia="Times New Roman" w:hAnsi="Times New Roman" w:cs="Times New Roman"/>
          <w:sz w:val="24"/>
          <w:szCs w:val="24"/>
        </w:rPr>
        <w:t>401(k) plans have become the plan of choice. Unfortunately, in small plans this becomes a trap. On the one hand, the employer wants to offer a 401(k) plan to its employees; on the other hand, it cannot afford the added cost of top-heavy minimum contributions.</w:t>
      </w:r>
    </w:p>
    <w:p w:rsidR="00C7607E" w:rsidRDefault="007A074D" w:rsidP="002A7C66">
      <w:pPr>
        <w:pStyle w:val="NoSpacing"/>
        <w:numPr>
          <w:ilvl w:val="0"/>
          <w:numId w:val="36"/>
        </w:numPr>
      </w:pPr>
      <w:r w:rsidRPr="00077F32">
        <w:rPr>
          <w:rFonts w:ascii="Times New Roman" w:eastAsia="Times New Roman" w:hAnsi="Times New Roman" w:cs="Times New Roman"/>
          <w:sz w:val="24"/>
          <w:szCs w:val="24"/>
        </w:rPr>
        <w:t>QNECs</w:t>
      </w:r>
      <w:r w:rsidR="007827DF" w:rsidRPr="00077F32">
        <w:rPr>
          <w:rFonts w:ascii="Times New Roman" w:eastAsia="Times New Roman" w:hAnsi="Times New Roman" w:cs="Times New Roman"/>
          <w:sz w:val="24"/>
          <w:szCs w:val="24"/>
        </w:rPr>
        <w:t>, which count toward top-heavy minimum contributions,</w:t>
      </w:r>
      <w:r w:rsidRPr="00077F32">
        <w:rPr>
          <w:rFonts w:ascii="Times New Roman" w:eastAsia="Times New Roman" w:hAnsi="Times New Roman" w:cs="Times New Roman"/>
          <w:sz w:val="24"/>
          <w:szCs w:val="24"/>
        </w:rPr>
        <w:t xml:space="preserve"> can also be made by the employer to all eligible employees to satisfy a failed nondiscrimination test.</w:t>
      </w:r>
      <w:r w:rsidR="00B05971">
        <w:rPr>
          <w:rStyle w:val="FootnoteReference"/>
          <w:rFonts w:ascii="Times New Roman" w:eastAsia="Times New Roman" w:hAnsi="Times New Roman" w:cs="Times New Roman"/>
          <w:sz w:val="24"/>
          <w:szCs w:val="24"/>
        </w:rPr>
        <w:footnoteReference w:id="24"/>
      </w:r>
      <w:r>
        <w:t xml:space="preserve"> </w:t>
      </w:r>
    </w:p>
    <w:p w:rsidR="007A074D" w:rsidRDefault="007A074D" w:rsidP="00FA592A">
      <w:pPr>
        <w:pStyle w:val="ListParagraph"/>
        <w:widowControl w:val="0"/>
        <w:numPr>
          <w:ilvl w:val="0"/>
          <w:numId w:val="29"/>
        </w:numPr>
        <w:tabs>
          <w:tab w:val="decimal" w:pos="680"/>
          <w:tab w:val="left" w:pos="840"/>
        </w:tabs>
        <w:autoSpaceDE w:val="0"/>
        <w:autoSpaceDN w:val="0"/>
        <w:adjustRightInd w:val="0"/>
        <w:spacing w:line="240" w:lineRule="exact"/>
        <w:jc w:val="both"/>
      </w:pPr>
      <w:r>
        <w:t>Matchin</w:t>
      </w:r>
      <w:r w:rsidR="007827DF">
        <w:t>g contribution</w:t>
      </w:r>
      <w:r w:rsidR="00FA592A">
        <w:t>s</w:t>
      </w:r>
      <w:r w:rsidR="007827DF">
        <w:t xml:space="preserve"> </w:t>
      </w:r>
      <w:r w:rsidR="007827DF" w:rsidRPr="007827DF">
        <w:t>can be counted toward the minimum top-heavy contribution requirement</w:t>
      </w:r>
      <w:r w:rsidR="007827DF">
        <w:t>, but t</w:t>
      </w:r>
      <w:r>
        <w:t>his does not relieve the plan from providing the top-heavy minimums to those participants that do not make salary deferrals and therefore do not receive a matching contribution.</w:t>
      </w:r>
      <w:r w:rsidR="00750FD1">
        <w:rPr>
          <w:rStyle w:val="FootnoteReference"/>
        </w:rPr>
        <w:footnoteReference w:id="25"/>
      </w:r>
      <w:r w:rsidR="00A21D28">
        <w:t xml:space="preserve"> </w:t>
      </w:r>
    </w:p>
    <w:p w:rsidR="00FA592A" w:rsidRDefault="00FA592A" w:rsidP="00FA592A">
      <w:pPr>
        <w:pStyle w:val="ListParagraph"/>
        <w:widowControl w:val="0"/>
        <w:numPr>
          <w:ilvl w:val="0"/>
          <w:numId w:val="29"/>
        </w:numPr>
        <w:tabs>
          <w:tab w:val="decimal" w:pos="680"/>
          <w:tab w:val="left" w:pos="840"/>
        </w:tabs>
        <w:autoSpaceDE w:val="0"/>
        <w:autoSpaceDN w:val="0"/>
        <w:adjustRightInd w:val="0"/>
        <w:spacing w:line="240" w:lineRule="exact"/>
        <w:jc w:val="both"/>
      </w:pPr>
      <w:r>
        <w:t xml:space="preserve">As an incentive to establish a 401(k) plan, the top-heavy rules provide that a plan will not be considered top-heavy if it provides only for safe harbor contributions (see Chapter 6). </w:t>
      </w:r>
      <w:r w:rsidR="00F03902">
        <w:t>T</w:t>
      </w:r>
      <w:r>
        <w:t>he plan could not allow for profit sharing contributions in addition to the safe harbor employee deferrals and safe harbor employer contribution.</w:t>
      </w:r>
      <w:r w:rsidR="00AD3A02">
        <w:rPr>
          <w:rStyle w:val="FootnoteReference"/>
        </w:rPr>
        <w:footnoteReference w:id="26"/>
      </w:r>
      <w:r w:rsidR="005C2303">
        <w:t xml:space="preserve"> </w:t>
      </w:r>
    </w:p>
    <w:p w:rsidR="00FA592A" w:rsidRDefault="00FA592A" w:rsidP="0047401D">
      <w:pPr>
        <w:pStyle w:val="ListParagraph"/>
        <w:widowControl w:val="0"/>
        <w:tabs>
          <w:tab w:val="decimal" w:pos="680"/>
          <w:tab w:val="left" w:pos="840"/>
        </w:tabs>
        <w:autoSpaceDE w:val="0"/>
        <w:autoSpaceDN w:val="0"/>
        <w:adjustRightInd w:val="0"/>
        <w:spacing w:line="240" w:lineRule="exact"/>
        <w:jc w:val="both"/>
      </w:pPr>
    </w:p>
    <w:p w:rsidR="007A074D" w:rsidRDefault="007A074D" w:rsidP="0047401D">
      <w:pPr>
        <w:pStyle w:val="ListParagraph"/>
        <w:widowControl w:val="0"/>
        <w:tabs>
          <w:tab w:val="decimal" w:pos="680"/>
          <w:tab w:val="left" w:pos="840"/>
        </w:tabs>
        <w:autoSpaceDE w:val="0"/>
        <w:autoSpaceDN w:val="0"/>
        <w:adjustRightInd w:val="0"/>
        <w:spacing w:line="240" w:lineRule="exact"/>
        <w:jc w:val="both"/>
      </w:pPr>
      <w:r w:rsidRPr="00326B4E">
        <w:rPr>
          <w:b/>
        </w:rPr>
        <w:t>Pra</w:t>
      </w:r>
      <w:r w:rsidR="004275F7">
        <w:rPr>
          <w:b/>
        </w:rPr>
        <w:t>ctice Point:</w:t>
      </w:r>
      <w:r>
        <w:t xml:space="preserve"> If a client is considering a 401(k) plan, a pre</w:t>
      </w:r>
      <w:r w:rsidR="00077F32">
        <w:t>-</w:t>
      </w:r>
      <w:r>
        <w:t>adoption survey should be conducted to determine whether the plan is likely to be top-heavy, particularly if the client is on a tight budget.</w:t>
      </w:r>
    </w:p>
    <w:p w:rsidR="00B6070A" w:rsidRDefault="00B6070A" w:rsidP="00B6070A">
      <w:pPr>
        <w:pStyle w:val="NoSpacing"/>
        <w:ind w:left="720"/>
        <w:rPr>
          <w:rFonts w:ascii="Times New Roman" w:hAnsi="Times New Roman" w:cs="Times New Roman"/>
          <w:sz w:val="24"/>
          <w:szCs w:val="24"/>
        </w:rPr>
      </w:pPr>
    </w:p>
    <w:p w:rsidR="00B6070A" w:rsidRPr="00AE6419" w:rsidRDefault="00B6070A" w:rsidP="002A7C66">
      <w:pPr>
        <w:pStyle w:val="NoSpacing"/>
        <w:ind w:left="720"/>
        <w:rPr>
          <w:rFonts w:ascii="Times New Roman" w:hAnsi="Times New Roman" w:cs="Times New Roman"/>
          <w:b/>
          <w:sz w:val="24"/>
          <w:szCs w:val="24"/>
        </w:rPr>
      </w:pPr>
    </w:p>
    <w:p w:rsidR="00B6070A" w:rsidRDefault="00B6070A" w:rsidP="00B6070A">
      <w:pPr>
        <w:pStyle w:val="NoSpacing"/>
        <w:ind w:left="720"/>
        <w:rPr>
          <w:rFonts w:ascii="Times New Roman" w:hAnsi="Times New Roman" w:cs="Times New Roman"/>
          <w:sz w:val="24"/>
          <w:szCs w:val="24"/>
        </w:rPr>
      </w:pPr>
    </w:p>
    <w:p w:rsidR="007A1BFD" w:rsidRPr="00AE6419" w:rsidRDefault="009460EC" w:rsidP="007A1BFD">
      <w:pPr>
        <w:pStyle w:val="NoSpacing"/>
        <w:ind w:left="720"/>
        <w:rPr>
          <w:rFonts w:ascii="Times New Roman" w:hAnsi="Times New Roman" w:cs="Times New Roman"/>
          <w:b/>
          <w:sz w:val="24"/>
          <w:szCs w:val="24"/>
        </w:rPr>
      </w:pPr>
      <w:r>
        <w:rPr>
          <w:rFonts w:ascii="Times New Roman" w:hAnsi="Times New Roman" w:cs="Times New Roman"/>
          <w:b/>
          <w:sz w:val="24"/>
          <w:szCs w:val="24"/>
        </w:rPr>
        <w:t>Q</w:t>
      </w:r>
      <w:r w:rsidR="00B6070A">
        <w:rPr>
          <w:rFonts w:ascii="Times New Roman" w:hAnsi="Times New Roman" w:cs="Times New Roman"/>
          <w:b/>
          <w:sz w:val="24"/>
          <w:szCs w:val="24"/>
        </w:rPr>
        <w:t xml:space="preserve">. </w:t>
      </w:r>
      <w:r w:rsidR="00D23016">
        <w:rPr>
          <w:rFonts w:ascii="Times New Roman" w:hAnsi="Times New Roman" w:cs="Times New Roman"/>
          <w:b/>
          <w:sz w:val="24"/>
          <w:szCs w:val="24"/>
        </w:rPr>
        <w:t>5</w:t>
      </w:r>
      <w:r w:rsidR="00B6070A">
        <w:rPr>
          <w:rFonts w:ascii="Times New Roman" w:hAnsi="Times New Roman" w:cs="Times New Roman"/>
          <w:b/>
          <w:sz w:val="24"/>
          <w:szCs w:val="24"/>
        </w:rPr>
        <w:t>.</w:t>
      </w:r>
      <w:r>
        <w:rPr>
          <w:rFonts w:ascii="Times New Roman" w:hAnsi="Times New Roman" w:cs="Times New Roman"/>
          <w:b/>
          <w:sz w:val="24"/>
          <w:szCs w:val="24"/>
        </w:rPr>
        <w:t>1</w:t>
      </w:r>
      <w:r w:rsidR="00300439">
        <w:rPr>
          <w:rFonts w:ascii="Times New Roman" w:hAnsi="Times New Roman" w:cs="Times New Roman"/>
          <w:b/>
          <w:sz w:val="24"/>
          <w:szCs w:val="24"/>
        </w:rPr>
        <w:t>8</w:t>
      </w:r>
      <w:r w:rsidR="00B6070A">
        <w:rPr>
          <w:rFonts w:ascii="Times New Roman" w:hAnsi="Times New Roman" w:cs="Times New Roman"/>
          <w:b/>
          <w:sz w:val="24"/>
          <w:szCs w:val="24"/>
        </w:rPr>
        <w:t xml:space="preserve">:  </w:t>
      </w:r>
      <w:r w:rsidR="00606C88">
        <w:rPr>
          <w:rFonts w:ascii="Times New Roman" w:hAnsi="Times New Roman" w:cs="Times New Roman"/>
          <w:b/>
          <w:sz w:val="24"/>
          <w:szCs w:val="24"/>
        </w:rPr>
        <w:t>Do the minimum benefit</w:t>
      </w:r>
      <w:r w:rsidR="00AD3A02">
        <w:rPr>
          <w:rFonts w:ascii="Times New Roman" w:hAnsi="Times New Roman" w:cs="Times New Roman"/>
          <w:b/>
          <w:sz w:val="24"/>
          <w:szCs w:val="24"/>
        </w:rPr>
        <w:t xml:space="preserve"> and </w:t>
      </w:r>
      <w:r w:rsidR="00606C88">
        <w:rPr>
          <w:rFonts w:ascii="Times New Roman" w:hAnsi="Times New Roman" w:cs="Times New Roman"/>
          <w:b/>
          <w:sz w:val="24"/>
          <w:szCs w:val="24"/>
        </w:rPr>
        <w:t>contribution rules apply to each plan in an aggregation group</w:t>
      </w:r>
      <w:r w:rsidR="003F5E59">
        <w:rPr>
          <w:rFonts w:ascii="Times New Roman" w:hAnsi="Times New Roman" w:cs="Times New Roman"/>
          <w:b/>
          <w:sz w:val="24"/>
          <w:szCs w:val="24"/>
        </w:rPr>
        <w:t>?</w:t>
      </w:r>
    </w:p>
    <w:p w:rsidR="007A1BFD" w:rsidRDefault="007A1BFD" w:rsidP="007A1BFD">
      <w:pPr>
        <w:pStyle w:val="ListParagraph"/>
        <w:widowControl w:val="0"/>
        <w:tabs>
          <w:tab w:val="decimal" w:pos="680"/>
          <w:tab w:val="left" w:pos="840"/>
        </w:tabs>
        <w:autoSpaceDE w:val="0"/>
        <w:autoSpaceDN w:val="0"/>
        <w:adjustRightInd w:val="0"/>
        <w:spacing w:line="240" w:lineRule="exact"/>
        <w:ind w:left="915"/>
        <w:jc w:val="both"/>
      </w:pPr>
    </w:p>
    <w:p w:rsidR="00FC34F9" w:rsidRDefault="00606C88" w:rsidP="007A1BFD">
      <w:pPr>
        <w:pStyle w:val="NoSpacing"/>
        <w:ind w:left="720"/>
        <w:rPr>
          <w:rFonts w:ascii="Times New Roman" w:hAnsi="Times New Roman" w:cs="Times New Roman"/>
          <w:sz w:val="24"/>
          <w:szCs w:val="24"/>
        </w:rPr>
      </w:pPr>
      <w:r>
        <w:rPr>
          <w:rFonts w:ascii="Times New Roman" w:hAnsi="Times New Roman" w:cs="Times New Roman"/>
          <w:sz w:val="24"/>
          <w:szCs w:val="24"/>
        </w:rPr>
        <w:t xml:space="preserve">No.  </w:t>
      </w:r>
      <w:r w:rsidR="00AE0EF5" w:rsidRPr="00AE0EF5">
        <w:rPr>
          <w:rFonts w:ascii="Times New Roman" w:hAnsi="Times New Roman" w:cs="Times New Roman"/>
          <w:sz w:val="24"/>
          <w:szCs w:val="24"/>
        </w:rPr>
        <w:t xml:space="preserve">If the aggregation group is top-heavy, the employer is not required to provide a top-heavy minimum benefit in </w:t>
      </w:r>
      <w:r>
        <w:rPr>
          <w:rFonts w:ascii="Times New Roman" w:hAnsi="Times New Roman" w:cs="Times New Roman"/>
          <w:sz w:val="24"/>
          <w:szCs w:val="24"/>
        </w:rPr>
        <w:t>each</w:t>
      </w:r>
      <w:r w:rsidR="00FC34F9">
        <w:rPr>
          <w:rFonts w:ascii="Times New Roman" w:hAnsi="Times New Roman" w:cs="Times New Roman"/>
          <w:sz w:val="24"/>
          <w:szCs w:val="24"/>
        </w:rPr>
        <w:t xml:space="preserve"> plan.</w:t>
      </w:r>
      <w:r w:rsidR="00AD3A02">
        <w:rPr>
          <w:rStyle w:val="FootnoteReference"/>
          <w:rFonts w:ascii="Times New Roman" w:hAnsi="Times New Roman" w:cs="Times New Roman"/>
          <w:sz w:val="24"/>
          <w:szCs w:val="24"/>
        </w:rPr>
        <w:footnoteReference w:id="27"/>
      </w:r>
      <w:r w:rsidR="00972A15">
        <w:rPr>
          <w:rFonts w:ascii="Times New Roman" w:hAnsi="Times New Roman" w:cs="Times New Roman"/>
          <w:sz w:val="24"/>
          <w:szCs w:val="24"/>
        </w:rPr>
        <w:t xml:space="preserve"> </w:t>
      </w:r>
    </w:p>
    <w:p w:rsidR="00AE0EF5" w:rsidRDefault="00AE0EF5" w:rsidP="007A1BFD">
      <w:pPr>
        <w:pStyle w:val="NoSpacing"/>
        <w:ind w:left="720"/>
        <w:rPr>
          <w:rFonts w:ascii="Times New Roman" w:hAnsi="Times New Roman" w:cs="Times New Roman"/>
          <w:sz w:val="24"/>
          <w:szCs w:val="24"/>
        </w:rPr>
      </w:pPr>
    </w:p>
    <w:p w:rsidR="00606C88" w:rsidRDefault="00606C88" w:rsidP="007A1BFD">
      <w:pPr>
        <w:pStyle w:val="NoSpacing"/>
        <w:ind w:left="720"/>
        <w:rPr>
          <w:rFonts w:ascii="Times New Roman" w:hAnsi="Times New Roman" w:cs="Times New Roman"/>
          <w:sz w:val="24"/>
          <w:szCs w:val="24"/>
        </w:rPr>
      </w:pPr>
      <w:r>
        <w:rPr>
          <w:rFonts w:ascii="Times New Roman" w:hAnsi="Times New Roman" w:cs="Times New Roman"/>
          <w:b/>
          <w:sz w:val="24"/>
          <w:szCs w:val="24"/>
        </w:rPr>
        <w:lastRenderedPageBreak/>
        <w:t xml:space="preserve">Q. </w:t>
      </w:r>
      <w:r w:rsidR="00D23016">
        <w:rPr>
          <w:rFonts w:ascii="Times New Roman" w:hAnsi="Times New Roman" w:cs="Times New Roman"/>
          <w:b/>
          <w:sz w:val="24"/>
          <w:szCs w:val="24"/>
        </w:rPr>
        <w:t>5</w:t>
      </w:r>
      <w:r>
        <w:rPr>
          <w:rFonts w:ascii="Times New Roman" w:hAnsi="Times New Roman" w:cs="Times New Roman"/>
          <w:b/>
          <w:sz w:val="24"/>
          <w:szCs w:val="24"/>
        </w:rPr>
        <w:t>.1</w:t>
      </w:r>
      <w:r w:rsidR="00300439">
        <w:rPr>
          <w:rFonts w:ascii="Times New Roman" w:hAnsi="Times New Roman" w:cs="Times New Roman"/>
          <w:b/>
          <w:sz w:val="24"/>
          <w:szCs w:val="24"/>
        </w:rPr>
        <w:t>9</w:t>
      </w:r>
      <w:r>
        <w:rPr>
          <w:rFonts w:ascii="Times New Roman" w:hAnsi="Times New Roman" w:cs="Times New Roman"/>
          <w:b/>
          <w:sz w:val="24"/>
          <w:szCs w:val="24"/>
        </w:rPr>
        <w:t>:  What are the minimum benefit rules for a top-heavy aggregation group</w:t>
      </w:r>
      <w:r w:rsidR="005727D2">
        <w:rPr>
          <w:rFonts w:ascii="Times New Roman" w:hAnsi="Times New Roman" w:cs="Times New Roman"/>
          <w:b/>
          <w:sz w:val="24"/>
          <w:szCs w:val="24"/>
        </w:rPr>
        <w:t xml:space="preserve"> of dissimilar plans</w:t>
      </w:r>
      <w:r>
        <w:rPr>
          <w:rFonts w:ascii="Times New Roman" w:hAnsi="Times New Roman" w:cs="Times New Roman"/>
          <w:b/>
          <w:sz w:val="24"/>
          <w:szCs w:val="24"/>
        </w:rPr>
        <w:t>?</w:t>
      </w:r>
    </w:p>
    <w:p w:rsidR="00606C88" w:rsidRDefault="00606C88" w:rsidP="007A1BFD">
      <w:pPr>
        <w:pStyle w:val="NoSpacing"/>
        <w:ind w:left="720"/>
        <w:rPr>
          <w:rFonts w:ascii="Times New Roman" w:hAnsi="Times New Roman" w:cs="Times New Roman"/>
          <w:sz w:val="24"/>
          <w:szCs w:val="24"/>
        </w:rPr>
      </w:pPr>
    </w:p>
    <w:p w:rsidR="002746A3" w:rsidRDefault="00AE0EF5" w:rsidP="007A1BFD">
      <w:pPr>
        <w:pStyle w:val="NoSpacing"/>
        <w:ind w:left="720"/>
        <w:rPr>
          <w:rFonts w:ascii="Times New Roman" w:hAnsi="Times New Roman" w:cs="Times New Roman"/>
          <w:sz w:val="24"/>
          <w:szCs w:val="24"/>
        </w:rPr>
      </w:pPr>
      <w:r w:rsidRPr="00AE0EF5">
        <w:rPr>
          <w:rFonts w:ascii="Times New Roman" w:hAnsi="Times New Roman" w:cs="Times New Roman"/>
          <w:sz w:val="24"/>
          <w:szCs w:val="24"/>
        </w:rPr>
        <w:t xml:space="preserve">If </w:t>
      </w:r>
      <w:r>
        <w:rPr>
          <w:rFonts w:ascii="Times New Roman" w:hAnsi="Times New Roman" w:cs="Times New Roman"/>
          <w:sz w:val="24"/>
          <w:szCs w:val="24"/>
        </w:rPr>
        <w:t>one of the plans</w:t>
      </w:r>
      <w:r w:rsidR="00EF673B">
        <w:rPr>
          <w:rFonts w:ascii="Times New Roman" w:hAnsi="Times New Roman" w:cs="Times New Roman"/>
          <w:sz w:val="24"/>
          <w:szCs w:val="24"/>
        </w:rPr>
        <w:t xml:space="preserve"> in the aggregation group</w:t>
      </w:r>
      <w:r>
        <w:rPr>
          <w:rFonts w:ascii="Times New Roman" w:hAnsi="Times New Roman" w:cs="Times New Roman"/>
          <w:sz w:val="24"/>
          <w:szCs w:val="24"/>
        </w:rPr>
        <w:t xml:space="preserve"> is a defined benefit plan and another plan is a defined contribution plan, then</w:t>
      </w:r>
      <w:r w:rsidRPr="00AE0EF5">
        <w:rPr>
          <w:rFonts w:ascii="Times New Roman" w:hAnsi="Times New Roman" w:cs="Times New Roman"/>
          <w:sz w:val="24"/>
          <w:szCs w:val="24"/>
        </w:rPr>
        <w:t xml:space="preserve"> any one of the following four safe harbor rules can be used to satisfy the top-heavy minimum benefits</w:t>
      </w:r>
      <w:r w:rsidR="00600936">
        <w:rPr>
          <w:rFonts w:ascii="Times New Roman" w:hAnsi="Times New Roman" w:cs="Times New Roman"/>
          <w:sz w:val="24"/>
          <w:szCs w:val="24"/>
        </w:rPr>
        <w:t xml:space="preserve"> for </w:t>
      </w:r>
      <w:proofErr w:type="spellStart"/>
      <w:r w:rsidR="00600936">
        <w:rPr>
          <w:rFonts w:ascii="Times New Roman" w:hAnsi="Times New Roman" w:cs="Times New Roman"/>
          <w:sz w:val="24"/>
          <w:szCs w:val="24"/>
        </w:rPr>
        <w:t>nonkey</w:t>
      </w:r>
      <w:proofErr w:type="spellEnd"/>
      <w:r w:rsidR="00600936">
        <w:rPr>
          <w:rFonts w:ascii="Times New Roman" w:hAnsi="Times New Roman" w:cs="Times New Roman"/>
          <w:sz w:val="24"/>
          <w:szCs w:val="24"/>
        </w:rPr>
        <w:t xml:space="preserve"> employees</w:t>
      </w:r>
      <w:r w:rsidRPr="00AE0EF5">
        <w:rPr>
          <w:rFonts w:ascii="Times New Roman" w:hAnsi="Times New Roman" w:cs="Times New Roman"/>
          <w:sz w:val="24"/>
          <w:szCs w:val="24"/>
        </w:rPr>
        <w:t>:</w:t>
      </w:r>
      <w:r w:rsidR="00AD3A02">
        <w:rPr>
          <w:rStyle w:val="FootnoteReference"/>
          <w:rFonts w:ascii="Times New Roman" w:hAnsi="Times New Roman" w:cs="Times New Roman"/>
          <w:sz w:val="24"/>
          <w:szCs w:val="24"/>
        </w:rPr>
        <w:footnoteReference w:id="28"/>
      </w:r>
    </w:p>
    <w:p w:rsidR="00AE0EF5" w:rsidRDefault="00600936" w:rsidP="00AE0EF5">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T</w:t>
      </w:r>
      <w:r w:rsidR="00AE0EF5" w:rsidRPr="00AE0EF5">
        <w:rPr>
          <w:rFonts w:ascii="Times New Roman" w:hAnsi="Times New Roman" w:cs="Times New Roman"/>
          <w:sz w:val="24"/>
          <w:szCs w:val="24"/>
        </w:rPr>
        <w:t>he employer may provide the defined benefit minimum of 2 percent of compensation</w:t>
      </w:r>
      <w:r>
        <w:rPr>
          <w:rFonts w:ascii="Times New Roman" w:hAnsi="Times New Roman" w:cs="Times New Roman"/>
          <w:sz w:val="24"/>
          <w:szCs w:val="24"/>
        </w:rPr>
        <w:t xml:space="preserve"> multiplied by</w:t>
      </w:r>
      <w:r w:rsidR="004D444D">
        <w:rPr>
          <w:rFonts w:ascii="Times New Roman" w:hAnsi="Times New Roman" w:cs="Times New Roman"/>
          <w:sz w:val="24"/>
          <w:szCs w:val="24"/>
        </w:rPr>
        <w:t xml:space="preserve"> the</w:t>
      </w:r>
      <w:r>
        <w:rPr>
          <w:rFonts w:ascii="Times New Roman" w:hAnsi="Times New Roman" w:cs="Times New Roman"/>
          <w:sz w:val="24"/>
          <w:szCs w:val="24"/>
        </w:rPr>
        <w:t xml:space="preserve"> years of top-heavy service</w:t>
      </w:r>
      <w:r w:rsidR="00AE0EF5" w:rsidRPr="00AE0EF5">
        <w:rPr>
          <w:rFonts w:ascii="Times New Roman" w:hAnsi="Times New Roman" w:cs="Times New Roman"/>
          <w:sz w:val="24"/>
          <w:szCs w:val="24"/>
        </w:rPr>
        <w:t>.</w:t>
      </w:r>
    </w:p>
    <w:p w:rsidR="00AE0EF5" w:rsidRDefault="00AE0EF5" w:rsidP="00AE0EF5">
      <w:pPr>
        <w:pStyle w:val="NoSpacing"/>
        <w:numPr>
          <w:ilvl w:val="0"/>
          <w:numId w:val="31"/>
        </w:numPr>
        <w:rPr>
          <w:rFonts w:ascii="Times New Roman" w:hAnsi="Times New Roman" w:cs="Times New Roman"/>
          <w:sz w:val="24"/>
          <w:szCs w:val="24"/>
        </w:rPr>
      </w:pPr>
      <w:r w:rsidRPr="00AE0EF5">
        <w:rPr>
          <w:rFonts w:ascii="Times New Roman" w:hAnsi="Times New Roman" w:cs="Times New Roman"/>
          <w:sz w:val="24"/>
          <w:szCs w:val="24"/>
        </w:rPr>
        <w:t>In an offset approach, the defined benefit minimum is provided, offset by the value of the benefit provided in the defined contribution plan. In this case, the defined contribution minimum is projected to retirement age, with investment earnings, and converted to a retirement benefit. If the benefit is more than the defined benefit minimum required, no benefit is required in the defined benefit plan. If the converted benefit in the defined contribution plan is less than the defined benefit minimum required, the difference, or shortfall, is provided in the defined benefit plan.</w:t>
      </w:r>
    </w:p>
    <w:p w:rsidR="00AE0EF5" w:rsidRDefault="0002077D" w:rsidP="00AE0EF5">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The employer may show</w:t>
      </w:r>
      <w:r w:rsidR="00AE0EF5" w:rsidRPr="00AE0EF5">
        <w:rPr>
          <w:rFonts w:ascii="Times New Roman" w:hAnsi="Times New Roman" w:cs="Times New Roman"/>
          <w:sz w:val="24"/>
          <w:szCs w:val="24"/>
        </w:rPr>
        <w:t xml:space="preserve"> that the </w:t>
      </w:r>
      <w:r>
        <w:rPr>
          <w:rFonts w:ascii="Times New Roman" w:hAnsi="Times New Roman" w:cs="Times New Roman"/>
          <w:sz w:val="24"/>
          <w:szCs w:val="24"/>
        </w:rPr>
        <w:t xml:space="preserve">combined </w:t>
      </w:r>
      <w:r w:rsidR="00AE0EF5" w:rsidRPr="00AE0EF5">
        <w:rPr>
          <w:rFonts w:ascii="Times New Roman" w:hAnsi="Times New Roman" w:cs="Times New Roman"/>
          <w:sz w:val="24"/>
          <w:szCs w:val="24"/>
        </w:rPr>
        <w:t xml:space="preserve">benefits provided in the defined benefit plan and defined contribution plan, for any </w:t>
      </w:r>
      <w:proofErr w:type="spellStart"/>
      <w:r w:rsidR="00AE0EF5" w:rsidRPr="00AE0EF5">
        <w:rPr>
          <w:rFonts w:ascii="Times New Roman" w:hAnsi="Times New Roman" w:cs="Times New Roman"/>
          <w:sz w:val="24"/>
          <w:szCs w:val="24"/>
        </w:rPr>
        <w:t>nonkey</w:t>
      </w:r>
      <w:proofErr w:type="spellEnd"/>
      <w:r w:rsidR="00AE0EF5" w:rsidRPr="00AE0EF5">
        <w:rPr>
          <w:rFonts w:ascii="Times New Roman" w:hAnsi="Times New Roman" w:cs="Times New Roman"/>
          <w:sz w:val="24"/>
          <w:szCs w:val="24"/>
        </w:rPr>
        <w:t xml:space="preserve"> employee, are at least equal to the defined benefit minimum</w:t>
      </w:r>
      <w:r>
        <w:rPr>
          <w:rFonts w:ascii="Times New Roman" w:hAnsi="Times New Roman" w:cs="Times New Roman"/>
          <w:sz w:val="24"/>
          <w:szCs w:val="24"/>
        </w:rPr>
        <w:t xml:space="preserve"> benefit</w:t>
      </w:r>
      <w:r w:rsidR="00AE0EF5" w:rsidRPr="00AE0EF5">
        <w:rPr>
          <w:rFonts w:ascii="Times New Roman" w:hAnsi="Times New Roman" w:cs="Times New Roman"/>
          <w:sz w:val="24"/>
          <w:szCs w:val="24"/>
        </w:rPr>
        <w:t>.</w:t>
      </w:r>
    </w:p>
    <w:p w:rsidR="00AE0EF5" w:rsidRDefault="00600936" w:rsidP="00AE0EF5">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 xml:space="preserve">The employer </w:t>
      </w:r>
      <w:r w:rsidR="0002077D">
        <w:rPr>
          <w:rFonts w:ascii="Times New Roman" w:hAnsi="Times New Roman" w:cs="Times New Roman"/>
          <w:sz w:val="24"/>
          <w:szCs w:val="24"/>
        </w:rPr>
        <w:t>may</w:t>
      </w:r>
      <w:r>
        <w:rPr>
          <w:rFonts w:ascii="Times New Roman" w:hAnsi="Times New Roman" w:cs="Times New Roman"/>
          <w:sz w:val="24"/>
          <w:szCs w:val="24"/>
        </w:rPr>
        <w:t xml:space="preserve"> allocate </w:t>
      </w:r>
      <w:r w:rsidR="00890427">
        <w:rPr>
          <w:rFonts w:ascii="Times New Roman" w:hAnsi="Times New Roman" w:cs="Times New Roman"/>
          <w:sz w:val="24"/>
          <w:szCs w:val="24"/>
        </w:rPr>
        <w:t>5</w:t>
      </w:r>
      <w:r w:rsidR="00890427" w:rsidRPr="00AE0EF5">
        <w:rPr>
          <w:rFonts w:ascii="Times New Roman" w:hAnsi="Times New Roman" w:cs="Times New Roman"/>
          <w:sz w:val="24"/>
          <w:szCs w:val="24"/>
        </w:rPr>
        <w:t xml:space="preserve"> </w:t>
      </w:r>
      <w:r w:rsidR="00AE0EF5" w:rsidRPr="00AE0EF5">
        <w:rPr>
          <w:rFonts w:ascii="Times New Roman" w:hAnsi="Times New Roman" w:cs="Times New Roman"/>
          <w:sz w:val="24"/>
          <w:szCs w:val="24"/>
        </w:rPr>
        <w:t xml:space="preserve">percent </w:t>
      </w:r>
      <w:r>
        <w:rPr>
          <w:rFonts w:ascii="Times New Roman" w:hAnsi="Times New Roman" w:cs="Times New Roman"/>
          <w:sz w:val="24"/>
          <w:szCs w:val="24"/>
        </w:rPr>
        <w:t>of compensation in the defined contribution plan for</w:t>
      </w:r>
      <w:r w:rsidR="00AE0EF5" w:rsidRPr="00AE0EF5">
        <w:rPr>
          <w:rFonts w:ascii="Times New Roman" w:hAnsi="Times New Roman" w:cs="Times New Roman"/>
          <w:sz w:val="24"/>
          <w:szCs w:val="24"/>
        </w:rPr>
        <w:t xml:space="preserve"> each </w:t>
      </w:r>
      <w:proofErr w:type="spellStart"/>
      <w:r w:rsidR="00AE0EF5" w:rsidRPr="00AE0EF5">
        <w:rPr>
          <w:rFonts w:ascii="Times New Roman" w:hAnsi="Times New Roman" w:cs="Times New Roman"/>
          <w:sz w:val="24"/>
          <w:szCs w:val="24"/>
        </w:rPr>
        <w:t>nonkey</w:t>
      </w:r>
      <w:proofErr w:type="spellEnd"/>
      <w:r w:rsidR="00AE0EF5" w:rsidRPr="00AE0EF5">
        <w:rPr>
          <w:rFonts w:ascii="Times New Roman" w:hAnsi="Times New Roman" w:cs="Times New Roman"/>
          <w:sz w:val="24"/>
          <w:szCs w:val="24"/>
        </w:rPr>
        <w:t xml:space="preserve"> employee, including employer contributions and forfeitures</w:t>
      </w:r>
      <w:r>
        <w:rPr>
          <w:rFonts w:ascii="Times New Roman" w:hAnsi="Times New Roman" w:cs="Times New Roman"/>
          <w:sz w:val="24"/>
          <w:szCs w:val="24"/>
        </w:rPr>
        <w:t>.</w:t>
      </w:r>
    </w:p>
    <w:p w:rsidR="00EF673B" w:rsidRDefault="00EF673B" w:rsidP="00EF673B">
      <w:pPr>
        <w:pStyle w:val="NoSpacing"/>
        <w:rPr>
          <w:rFonts w:ascii="Times New Roman" w:hAnsi="Times New Roman" w:cs="Times New Roman"/>
          <w:sz w:val="24"/>
          <w:szCs w:val="24"/>
        </w:rPr>
      </w:pPr>
    </w:p>
    <w:p w:rsidR="00F865B0" w:rsidRDefault="00F865B0" w:rsidP="00EF673B">
      <w:pPr>
        <w:pStyle w:val="NoSpacing"/>
        <w:ind w:left="720"/>
        <w:rPr>
          <w:rFonts w:ascii="Times New Roman" w:hAnsi="Times New Roman" w:cs="Times New Roman"/>
          <w:b/>
          <w:sz w:val="24"/>
          <w:szCs w:val="24"/>
        </w:rPr>
      </w:pPr>
    </w:p>
    <w:p w:rsidR="00EF673B" w:rsidRDefault="00EF673B" w:rsidP="00EF673B">
      <w:pPr>
        <w:pStyle w:val="NoSpacing"/>
        <w:ind w:left="720"/>
        <w:rPr>
          <w:rFonts w:ascii="Times New Roman" w:hAnsi="Times New Roman" w:cs="Times New Roman"/>
          <w:sz w:val="24"/>
          <w:szCs w:val="24"/>
        </w:rPr>
      </w:pPr>
      <w:r w:rsidRPr="00EF673B">
        <w:rPr>
          <w:rFonts w:ascii="Times New Roman" w:hAnsi="Times New Roman" w:cs="Times New Roman"/>
          <w:b/>
          <w:sz w:val="24"/>
          <w:szCs w:val="24"/>
        </w:rPr>
        <w:t>Practi</w:t>
      </w:r>
      <w:r w:rsidR="004275F7">
        <w:rPr>
          <w:rFonts w:ascii="Times New Roman" w:hAnsi="Times New Roman" w:cs="Times New Roman"/>
          <w:b/>
          <w:sz w:val="24"/>
          <w:szCs w:val="24"/>
        </w:rPr>
        <w:t>ce Point:</w:t>
      </w:r>
      <w:r w:rsidRPr="00EF673B">
        <w:rPr>
          <w:rFonts w:ascii="Times New Roman" w:hAnsi="Times New Roman" w:cs="Times New Roman"/>
          <w:sz w:val="24"/>
          <w:szCs w:val="24"/>
        </w:rPr>
        <w:t xml:space="preserve"> When an employer sponsors two dissimilar plans, the defined benefit minimum and defined contribution minimum should be analyzed to determine which is less costly. </w:t>
      </w:r>
      <w:r w:rsidR="004D444D">
        <w:rPr>
          <w:rFonts w:ascii="Times New Roman" w:hAnsi="Times New Roman" w:cs="Times New Roman"/>
          <w:sz w:val="24"/>
          <w:szCs w:val="24"/>
        </w:rPr>
        <w:t>T</w:t>
      </w:r>
      <w:r w:rsidR="004D444D" w:rsidRPr="00EF673B">
        <w:rPr>
          <w:rFonts w:ascii="Times New Roman" w:hAnsi="Times New Roman" w:cs="Times New Roman"/>
          <w:sz w:val="24"/>
          <w:szCs w:val="24"/>
        </w:rPr>
        <w:t>his analysis should be done as part of the plan design process prior to preparing the plan document</w:t>
      </w:r>
      <w:r w:rsidR="004D444D" w:rsidDel="00890427">
        <w:rPr>
          <w:rFonts w:ascii="Times New Roman" w:hAnsi="Times New Roman" w:cs="Times New Roman"/>
          <w:sz w:val="24"/>
          <w:szCs w:val="24"/>
        </w:rPr>
        <w:t xml:space="preserve"> </w:t>
      </w:r>
      <w:r w:rsidR="004D444D">
        <w:rPr>
          <w:rFonts w:ascii="Times New Roman" w:hAnsi="Times New Roman" w:cs="Times New Roman"/>
          <w:sz w:val="24"/>
          <w:szCs w:val="24"/>
        </w:rPr>
        <w:t>b</w:t>
      </w:r>
      <w:r w:rsidR="00890427">
        <w:rPr>
          <w:rFonts w:ascii="Times New Roman" w:hAnsi="Times New Roman" w:cs="Times New Roman"/>
          <w:sz w:val="24"/>
          <w:szCs w:val="24"/>
        </w:rPr>
        <w:t>ecause</w:t>
      </w:r>
      <w:r w:rsidR="00890427" w:rsidRPr="00EF673B">
        <w:rPr>
          <w:rFonts w:ascii="Times New Roman" w:hAnsi="Times New Roman" w:cs="Times New Roman"/>
          <w:sz w:val="24"/>
          <w:szCs w:val="24"/>
        </w:rPr>
        <w:t xml:space="preserve"> </w:t>
      </w:r>
      <w:r w:rsidRPr="00EF673B">
        <w:rPr>
          <w:rFonts w:ascii="Times New Roman" w:hAnsi="Times New Roman" w:cs="Times New Roman"/>
          <w:sz w:val="24"/>
          <w:szCs w:val="24"/>
        </w:rPr>
        <w:t>the plan document must set forth the method of satisfying the top-heavy minimum and, once chosen, that method cannot later be changed without plan amendment</w:t>
      </w:r>
      <w:r w:rsidR="004D444D">
        <w:rPr>
          <w:rFonts w:ascii="Times New Roman" w:hAnsi="Times New Roman" w:cs="Times New Roman"/>
          <w:sz w:val="24"/>
          <w:szCs w:val="24"/>
        </w:rPr>
        <w:t>.</w:t>
      </w:r>
      <w:r w:rsidR="00890427">
        <w:rPr>
          <w:rStyle w:val="FootnoteReference"/>
          <w:rFonts w:ascii="Times New Roman" w:hAnsi="Times New Roman" w:cs="Times New Roman"/>
          <w:sz w:val="24"/>
          <w:szCs w:val="24"/>
        </w:rPr>
        <w:footnoteReference w:id="29"/>
      </w:r>
      <w:r w:rsidRPr="00EF673B">
        <w:rPr>
          <w:rFonts w:ascii="Times New Roman" w:hAnsi="Times New Roman" w:cs="Times New Roman"/>
          <w:sz w:val="24"/>
          <w:szCs w:val="24"/>
        </w:rPr>
        <w:t xml:space="preserve"> Take into consideration current employee census information and potential future changes.</w:t>
      </w:r>
    </w:p>
    <w:p w:rsidR="00DE2E3E" w:rsidRDefault="00DE2E3E" w:rsidP="00EF673B">
      <w:pPr>
        <w:pStyle w:val="NoSpacing"/>
        <w:ind w:left="720"/>
        <w:rPr>
          <w:rFonts w:ascii="Times New Roman" w:hAnsi="Times New Roman" w:cs="Times New Roman"/>
          <w:sz w:val="24"/>
          <w:szCs w:val="24"/>
        </w:rPr>
      </w:pPr>
    </w:p>
    <w:p w:rsidR="00581EFE" w:rsidRDefault="00581EFE" w:rsidP="00EF673B">
      <w:pPr>
        <w:pStyle w:val="NoSpacing"/>
        <w:ind w:left="720"/>
        <w:rPr>
          <w:rFonts w:ascii="Times New Roman" w:hAnsi="Times New Roman" w:cs="Times New Roman"/>
          <w:sz w:val="24"/>
          <w:szCs w:val="24"/>
        </w:rPr>
      </w:pPr>
    </w:p>
    <w:p w:rsidR="000A2983" w:rsidRDefault="002F4F18" w:rsidP="002F4F18">
      <w:pPr>
        <w:pStyle w:val="NoSpacing"/>
        <w:ind w:left="720"/>
        <w:rPr>
          <w:rFonts w:ascii="Times New Roman" w:hAnsi="Times New Roman" w:cs="Times New Roman"/>
          <w:sz w:val="24"/>
          <w:szCs w:val="24"/>
        </w:rPr>
      </w:pPr>
      <w:proofErr w:type="gramStart"/>
      <w:r w:rsidRPr="00C92AEF">
        <w:rPr>
          <w:rFonts w:ascii="Times New Roman" w:eastAsia="Times New Roman" w:hAnsi="Times New Roman" w:cs="Times New Roman"/>
          <w:b/>
          <w:sz w:val="24"/>
          <w:szCs w:val="24"/>
        </w:rPr>
        <w:t xml:space="preserve">Example </w:t>
      </w:r>
      <w:r w:rsidR="000F42B7">
        <w:rPr>
          <w:rFonts w:ascii="Times New Roman" w:eastAsia="Times New Roman" w:hAnsi="Times New Roman" w:cs="Times New Roman"/>
          <w:b/>
          <w:sz w:val="24"/>
          <w:szCs w:val="24"/>
        </w:rPr>
        <w:t>7</w:t>
      </w:r>
      <w:r w:rsidRPr="00C92AEF">
        <w:rPr>
          <w:rFonts w:ascii="Times New Roman" w:eastAsia="Times New Roman" w:hAnsi="Times New Roman" w:cs="Times New Roman"/>
          <w:b/>
          <w:sz w:val="24"/>
          <w:szCs w:val="24"/>
        </w:rPr>
        <w:t>.</w:t>
      </w:r>
      <w:proofErr w:type="gramEnd"/>
      <w:r w:rsidRPr="00C92AEF">
        <w:rPr>
          <w:rFonts w:ascii="Times New Roman" w:eastAsia="Times New Roman" w:hAnsi="Times New Roman" w:cs="Times New Roman"/>
          <w:sz w:val="24"/>
          <w:szCs w:val="24"/>
        </w:rPr>
        <w:t xml:space="preserve">  </w:t>
      </w:r>
      <w:r w:rsidR="000A2983">
        <w:rPr>
          <w:rFonts w:ascii="Times New Roman" w:eastAsia="Times New Roman" w:hAnsi="Times New Roman" w:cs="Times New Roman"/>
          <w:sz w:val="24"/>
          <w:szCs w:val="24"/>
        </w:rPr>
        <w:t xml:space="preserve">This example is </w:t>
      </w:r>
      <w:r w:rsidR="001C071E">
        <w:rPr>
          <w:rFonts w:ascii="Times New Roman" w:hAnsi="Times New Roman" w:cs="Times New Roman"/>
          <w:sz w:val="24"/>
          <w:szCs w:val="24"/>
        </w:rPr>
        <w:t>a</w:t>
      </w:r>
      <w:r w:rsidRPr="00DF21ED">
        <w:rPr>
          <w:rFonts w:ascii="Times New Roman" w:hAnsi="Times New Roman" w:cs="Times New Roman"/>
          <w:sz w:val="24"/>
          <w:szCs w:val="24"/>
        </w:rPr>
        <w:t xml:space="preserve"> </w:t>
      </w:r>
      <w:r w:rsidR="001C071E">
        <w:rPr>
          <w:rFonts w:ascii="Times New Roman" w:hAnsi="Times New Roman" w:cs="Times New Roman"/>
          <w:sz w:val="24"/>
          <w:szCs w:val="24"/>
        </w:rPr>
        <w:t xml:space="preserve">review of </w:t>
      </w:r>
      <w:r w:rsidRPr="00DF21ED">
        <w:rPr>
          <w:rFonts w:ascii="Times New Roman" w:hAnsi="Times New Roman" w:cs="Times New Roman"/>
          <w:sz w:val="24"/>
          <w:szCs w:val="24"/>
        </w:rPr>
        <w:t xml:space="preserve">top-heavy </w:t>
      </w:r>
      <w:r w:rsidR="001C071E">
        <w:rPr>
          <w:rFonts w:ascii="Times New Roman" w:hAnsi="Times New Roman" w:cs="Times New Roman"/>
          <w:sz w:val="24"/>
          <w:szCs w:val="24"/>
        </w:rPr>
        <w:t xml:space="preserve">status </w:t>
      </w:r>
      <w:r w:rsidRPr="00DF21ED">
        <w:rPr>
          <w:rFonts w:ascii="Times New Roman" w:hAnsi="Times New Roman" w:cs="Times New Roman"/>
          <w:sz w:val="24"/>
          <w:szCs w:val="24"/>
        </w:rPr>
        <w:t xml:space="preserve">if </w:t>
      </w:r>
      <w:r w:rsidR="001C071E">
        <w:rPr>
          <w:rFonts w:ascii="Times New Roman" w:hAnsi="Times New Roman" w:cs="Times New Roman"/>
          <w:sz w:val="24"/>
          <w:szCs w:val="24"/>
        </w:rPr>
        <w:t xml:space="preserve">the defined benefit plan in Example </w:t>
      </w:r>
      <w:r w:rsidR="000F42B7">
        <w:rPr>
          <w:rFonts w:ascii="Times New Roman" w:hAnsi="Times New Roman" w:cs="Times New Roman"/>
          <w:sz w:val="24"/>
          <w:szCs w:val="24"/>
        </w:rPr>
        <w:t>5</w:t>
      </w:r>
      <w:r w:rsidR="001C071E">
        <w:rPr>
          <w:rFonts w:ascii="Times New Roman" w:hAnsi="Times New Roman" w:cs="Times New Roman"/>
          <w:sz w:val="24"/>
          <w:szCs w:val="24"/>
        </w:rPr>
        <w:t xml:space="preserve"> and the 401(k) plan in Example </w:t>
      </w:r>
      <w:r w:rsidR="000F42B7">
        <w:rPr>
          <w:rFonts w:ascii="Times New Roman" w:hAnsi="Times New Roman" w:cs="Times New Roman"/>
          <w:sz w:val="24"/>
          <w:szCs w:val="24"/>
        </w:rPr>
        <w:t>6</w:t>
      </w:r>
      <w:r w:rsidR="001C071E">
        <w:rPr>
          <w:rFonts w:ascii="Times New Roman" w:hAnsi="Times New Roman" w:cs="Times New Roman"/>
          <w:sz w:val="24"/>
          <w:szCs w:val="24"/>
        </w:rPr>
        <w:t xml:space="preserve"> were aggregated.</w:t>
      </w:r>
      <w:r w:rsidR="000A2983">
        <w:rPr>
          <w:rFonts w:ascii="Times New Roman" w:hAnsi="Times New Roman" w:cs="Times New Roman"/>
          <w:sz w:val="24"/>
          <w:szCs w:val="24"/>
        </w:rPr>
        <w:t xml:space="preserve"> </w:t>
      </w:r>
      <w:r w:rsidRPr="002F4F18">
        <w:rPr>
          <w:rFonts w:ascii="Times New Roman" w:hAnsi="Times New Roman" w:cs="Times New Roman"/>
          <w:sz w:val="24"/>
          <w:szCs w:val="24"/>
        </w:rPr>
        <w:t xml:space="preserve"> </w:t>
      </w:r>
    </w:p>
    <w:p w:rsidR="00F865B0" w:rsidRDefault="000A2983" w:rsidP="000A2983">
      <w:pPr>
        <w:pStyle w:val="NoSpacing"/>
        <w:numPr>
          <w:ilvl w:val="0"/>
          <w:numId w:val="34"/>
        </w:numPr>
        <w:rPr>
          <w:rFonts w:ascii="Times New Roman" w:hAnsi="Times New Roman" w:cs="Times New Roman"/>
          <w:sz w:val="24"/>
          <w:szCs w:val="24"/>
        </w:rPr>
      </w:pPr>
      <w:r>
        <w:rPr>
          <w:rFonts w:ascii="Times New Roman" w:hAnsi="Times New Roman" w:cs="Times New Roman"/>
          <w:sz w:val="24"/>
          <w:szCs w:val="24"/>
        </w:rPr>
        <w:t>T</w:t>
      </w:r>
      <w:r w:rsidR="002F4F18" w:rsidRPr="002F4F18">
        <w:rPr>
          <w:rFonts w:ascii="Times New Roman" w:hAnsi="Times New Roman" w:cs="Times New Roman"/>
          <w:sz w:val="24"/>
          <w:szCs w:val="24"/>
        </w:rPr>
        <w:t xml:space="preserve">he benefits in both plans are aggregated as either key or </w:t>
      </w:r>
      <w:proofErr w:type="spellStart"/>
      <w:r w:rsidR="002F4F18" w:rsidRPr="002F4F18">
        <w:rPr>
          <w:rFonts w:ascii="Times New Roman" w:hAnsi="Times New Roman" w:cs="Times New Roman"/>
          <w:sz w:val="24"/>
          <w:szCs w:val="24"/>
        </w:rPr>
        <w:t>nonkey</w:t>
      </w:r>
      <w:proofErr w:type="spellEnd"/>
      <w:r w:rsidR="002F4F18" w:rsidRPr="002F4F18">
        <w:rPr>
          <w:rFonts w:ascii="Times New Roman" w:hAnsi="Times New Roman" w:cs="Times New Roman"/>
          <w:sz w:val="24"/>
          <w:szCs w:val="24"/>
        </w:rPr>
        <w:t xml:space="preserve"> benefits, and the result determines the top-heavy status of both plans. If an employer maintains two plans and individually one is top-heavy and the other is not, when aggregated, if the result is top-heavy, they are both top-heavy. </w:t>
      </w:r>
    </w:p>
    <w:p w:rsidR="002F4F18" w:rsidRDefault="00F865B0" w:rsidP="000A2983">
      <w:pPr>
        <w:pStyle w:val="NoSpacing"/>
        <w:numPr>
          <w:ilvl w:val="0"/>
          <w:numId w:val="34"/>
        </w:numPr>
        <w:rPr>
          <w:rFonts w:ascii="Times New Roman" w:hAnsi="Times New Roman" w:cs="Times New Roman"/>
          <w:sz w:val="24"/>
          <w:szCs w:val="24"/>
        </w:rPr>
      </w:pPr>
      <w:r>
        <w:rPr>
          <w:rFonts w:ascii="Times New Roman" w:hAnsi="Times New Roman" w:cs="Times New Roman"/>
          <w:sz w:val="24"/>
          <w:szCs w:val="24"/>
        </w:rPr>
        <w:t>T</w:t>
      </w:r>
      <w:r w:rsidR="002F4F18" w:rsidRPr="002F4F18">
        <w:rPr>
          <w:rFonts w:ascii="Times New Roman" w:hAnsi="Times New Roman" w:cs="Times New Roman"/>
          <w:sz w:val="24"/>
          <w:szCs w:val="24"/>
        </w:rPr>
        <w:t>he result of the aggregation would be:</w:t>
      </w:r>
    </w:p>
    <w:p w:rsidR="00F60249" w:rsidRDefault="00F60249" w:rsidP="002A7C66">
      <w:pPr>
        <w:pStyle w:val="NoSpacing"/>
        <w:ind w:left="1440"/>
        <w:rPr>
          <w:rFonts w:ascii="Times New Roman" w:hAnsi="Times New Roman" w:cs="Times New Roman"/>
          <w:sz w:val="24"/>
          <w:szCs w:val="24"/>
        </w:rPr>
      </w:pPr>
    </w:p>
    <w:p w:rsidR="002F4F18" w:rsidRDefault="002F4F18" w:rsidP="00F865B0">
      <w:pPr>
        <w:pStyle w:val="NoSpacing"/>
        <w:ind w:left="1440"/>
        <w:rPr>
          <w:rFonts w:ascii="Times New Roman" w:hAnsi="Times New Roman" w:cs="Times New Roman"/>
          <w:sz w:val="24"/>
          <w:szCs w:val="24"/>
        </w:rPr>
      </w:pPr>
      <w:r w:rsidRPr="002F4F18">
        <w:rPr>
          <w:rFonts w:ascii="Times New Roman" w:hAnsi="Times New Roman" w:cs="Times New Roman"/>
          <w:sz w:val="24"/>
          <w:szCs w:val="24"/>
        </w:rPr>
        <w:t>($18,518 [key defined benefit plan] + $30,300 [key 401(k) plan])</w:t>
      </w:r>
    </w:p>
    <w:p w:rsidR="00F60249" w:rsidRPr="002F4F18" w:rsidRDefault="00F60249" w:rsidP="00F865B0">
      <w:pPr>
        <w:pStyle w:val="NoSpacing"/>
        <w:ind w:left="1440"/>
        <w:rPr>
          <w:rFonts w:ascii="Times New Roman" w:hAnsi="Times New Roman" w:cs="Times New Roman"/>
          <w:sz w:val="24"/>
          <w:szCs w:val="24"/>
        </w:rPr>
      </w:pPr>
    </w:p>
    <w:p w:rsidR="002F4F18" w:rsidRDefault="002F4F18" w:rsidP="00F865B0">
      <w:pPr>
        <w:pStyle w:val="NoSpacing"/>
        <w:ind w:left="2160"/>
        <w:rPr>
          <w:rFonts w:ascii="Times New Roman" w:hAnsi="Times New Roman" w:cs="Times New Roman"/>
          <w:sz w:val="24"/>
          <w:szCs w:val="24"/>
        </w:rPr>
      </w:pPr>
      <w:r w:rsidRPr="002F4F18">
        <w:rPr>
          <w:rFonts w:ascii="Times New Roman" w:hAnsi="Times New Roman" w:cs="Times New Roman"/>
          <w:sz w:val="24"/>
          <w:szCs w:val="24"/>
        </w:rPr>
        <w:t>Divided by</w:t>
      </w:r>
    </w:p>
    <w:p w:rsidR="00F60249" w:rsidRPr="002F4F18" w:rsidRDefault="00F60249" w:rsidP="00F865B0">
      <w:pPr>
        <w:pStyle w:val="NoSpacing"/>
        <w:ind w:left="2160"/>
        <w:rPr>
          <w:rFonts w:ascii="Times New Roman" w:hAnsi="Times New Roman" w:cs="Times New Roman"/>
          <w:sz w:val="24"/>
          <w:szCs w:val="24"/>
        </w:rPr>
      </w:pPr>
    </w:p>
    <w:p w:rsidR="002F4F18" w:rsidRPr="002F4F18" w:rsidRDefault="002F4F18" w:rsidP="00F865B0">
      <w:pPr>
        <w:pStyle w:val="NoSpacing"/>
        <w:ind w:left="1440"/>
        <w:rPr>
          <w:rFonts w:ascii="Times New Roman" w:hAnsi="Times New Roman" w:cs="Times New Roman"/>
          <w:sz w:val="24"/>
          <w:szCs w:val="24"/>
        </w:rPr>
      </w:pPr>
      <w:r w:rsidRPr="002F4F18">
        <w:rPr>
          <w:rFonts w:ascii="Times New Roman" w:hAnsi="Times New Roman" w:cs="Times New Roman"/>
          <w:sz w:val="24"/>
          <w:szCs w:val="24"/>
        </w:rPr>
        <w:lastRenderedPageBreak/>
        <w:t>($18,518 + $30,300 + $18,802 [</w:t>
      </w:r>
      <w:proofErr w:type="spellStart"/>
      <w:r w:rsidRPr="002F4F18">
        <w:rPr>
          <w:rFonts w:ascii="Times New Roman" w:hAnsi="Times New Roman" w:cs="Times New Roman"/>
          <w:sz w:val="24"/>
          <w:szCs w:val="24"/>
        </w:rPr>
        <w:t>nonkey</w:t>
      </w:r>
      <w:proofErr w:type="spellEnd"/>
      <w:r w:rsidRPr="002F4F18">
        <w:rPr>
          <w:rFonts w:ascii="Times New Roman" w:hAnsi="Times New Roman" w:cs="Times New Roman"/>
          <w:sz w:val="24"/>
          <w:szCs w:val="24"/>
        </w:rPr>
        <w:t xml:space="preserve"> 401(k) plan] + $10,139 [</w:t>
      </w:r>
      <w:proofErr w:type="spellStart"/>
      <w:r w:rsidRPr="002F4F18">
        <w:rPr>
          <w:rFonts w:ascii="Times New Roman" w:hAnsi="Times New Roman" w:cs="Times New Roman"/>
          <w:sz w:val="24"/>
          <w:szCs w:val="24"/>
        </w:rPr>
        <w:t>nonkey</w:t>
      </w:r>
      <w:proofErr w:type="spellEnd"/>
      <w:r w:rsidRPr="002F4F18">
        <w:rPr>
          <w:rFonts w:ascii="Times New Roman" w:hAnsi="Times New Roman" w:cs="Times New Roman"/>
          <w:sz w:val="24"/>
          <w:szCs w:val="24"/>
        </w:rPr>
        <w:t xml:space="preserve"> defined benefit plan])</w:t>
      </w:r>
    </w:p>
    <w:p w:rsidR="002F4F18" w:rsidRDefault="00F865B0" w:rsidP="00F865B0">
      <w:pPr>
        <w:pStyle w:val="NoSpacing"/>
        <w:ind w:left="1440"/>
        <w:rPr>
          <w:rFonts w:ascii="Times New Roman" w:hAnsi="Times New Roman" w:cs="Times New Roman"/>
          <w:sz w:val="24"/>
          <w:szCs w:val="24"/>
        </w:rPr>
      </w:pPr>
      <w:r>
        <w:rPr>
          <w:rFonts w:ascii="Times New Roman" w:hAnsi="Times New Roman" w:cs="Times New Roman"/>
          <w:sz w:val="24"/>
          <w:szCs w:val="24"/>
        </w:rPr>
        <w:t>= 62.78 percent</w:t>
      </w:r>
      <w:r w:rsidR="00CC202A">
        <w:rPr>
          <w:rFonts w:ascii="Times New Roman" w:hAnsi="Times New Roman" w:cs="Times New Roman"/>
          <w:sz w:val="24"/>
          <w:szCs w:val="24"/>
        </w:rPr>
        <w:t xml:space="preserve"> </w:t>
      </w:r>
      <w:r w:rsidR="00CC202A" w:rsidRPr="00CC202A">
        <w:rPr>
          <w:rFonts w:ascii="Times New Roman" w:hAnsi="Times New Roman" w:cs="Times New Roman"/>
          <w:sz w:val="24"/>
          <w:szCs w:val="24"/>
        </w:rPr>
        <w:sym w:font="Wingdings" w:char="F0E0"/>
      </w:r>
      <w:r>
        <w:rPr>
          <w:rFonts w:ascii="Times New Roman" w:hAnsi="Times New Roman" w:cs="Times New Roman"/>
          <w:sz w:val="24"/>
          <w:szCs w:val="24"/>
        </w:rPr>
        <w:t xml:space="preserve"> which makes both plans top-heavy.</w:t>
      </w:r>
    </w:p>
    <w:p w:rsidR="00F865B0" w:rsidRPr="002F4F18" w:rsidRDefault="00F865B0" w:rsidP="00F865B0">
      <w:pPr>
        <w:pStyle w:val="NoSpacing"/>
        <w:ind w:left="1440"/>
        <w:rPr>
          <w:rFonts w:ascii="Times New Roman" w:hAnsi="Times New Roman" w:cs="Times New Roman"/>
          <w:sz w:val="24"/>
          <w:szCs w:val="24"/>
        </w:rPr>
      </w:pPr>
    </w:p>
    <w:p w:rsidR="002F4F18" w:rsidRDefault="002F4F18" w:rsidP="002F4F18">
      <w:pPr>
        <w:pStyle w:val="NoSpacing"/>
        <w:ind w:left="720"/>
        <w:rPr>
          <w:rFonts w:ascii="Times New Roman" w:hAnsi="Times New Roman" w:cs="Times New Roman"/>
          <w:sz w:val="24"/>
          <w:szCs w:val="24"/>
        </w:rPr>
      </w:pPr>
      <w:r w:rsidRPr="002F4F18">
        <w:rPr>
          <w:rFonts w:ascii="Times New Roman" w:hAnsi="Times New Roman" w:cs="Times New Roman"/>
          <w:sz w:val="24"/>
          <w:szCs w:val="24"/>
        </w:rPr>
        <w:t>In</w:t>
      </w:r>
      <w:r w:rsidR="004D444D">
        <w:rPr>
          <w:rFonts w:ascii="Times New Roman" w:hAnsi="Times New Roman" w:cs="Times New Roman"/>
          <w:sz w:val="24"/>
          <w:szCs w:val="24"/>
        </w:rPr>
        <w:t xml:space="preserve"> Example 5 in</w:t>
      </w:r>
      <w:r w:rsidRPr="002F4F18">
        <w:rPr>
          <w:rFonts w:ascii="Times New Roman" w:hAnsi="Times New Roman" w:cs="Times New Roman"/>
          <w:sz w:val="24"/>
          <w:szCs w:val="24"/>
        </w:rPr>
        <w:t xml:space="preserve"> the second plan year, ending December 31, 201</w:t>
      </w:r>
      <w:r w:rsidR="00F865B0">
        <w:rPr>
          <w:rFonts w:ascii="Times New Roman" w:hAnsi="Times New Roman" w:cs="Times New Roman"/>
          <w:sz w:val="24"/>
          <w:szCs w:val="24"/>
        </w:rPr>
        <w:t>4</w:t>
      </w:r>
      <w:r w:rsidRPr="002F4F18">
        <w:rPr>
          <w:rFonts w:ascii="Times New Roman" w:hAnsi="Times New Roman" w:cs="Times New Roman"/>
          <w:sz w:val="24"/>
          <w:szCs w:val="24"/>
        </w:rPr>
        <w:t>, the 401(k) plan was shown to be not top-heavy. Even so, as a result of the aggregation, if the sum of key employee benefits were more than 60 percent of the total, the 401(k) plan and the defined benefit plan would be top-heavy.</w:t>
      </w:r>
    </w:p>
    <w:p w:rsidR="002F4F18" w:rsidRDefault="002F4F18" w:rsidP="00EF673B">
      <w:pPr>
        <w:pStyle w:val="NoSpacing"/>
        <w:ind w:left="720"/>
        <w:rPr>
          <w:rFonts w:ascii="Times New Roman" w:hAnsi="Times New Roman" w:cs="Times New Roman"/>
          <w:sz w:val="24"/>
          <w:szCs w:val="24"/>
        </w:rPr>
      </w:pPr>
    </w:p>
    <w:p w:rsidR="00F865B0" w:rsidRDefault="00F865B0" w:rsidP="00EF673B">
      <w:pPr>
        <w:pStyle w:val="NoSpacing"/>
        <w:ind w:left="720"/>
        <w:rPr>
          <w:rFonts w:ascii="Times New Roman" w:hAnsi="Times New Roman" w:cs="Times New Roman"/>
          <w:sz w:val="24"/>
          <w:szCs w:val="24"/>
        </w:rPr>
      </w:pPr>
      <w:r w:rsidRPr="00F865B0">
        <w:rPr>
          <w:rFonts w:ascii="Times New Roman" w:hAnsi="Times New Roman" w:cs="Times New Roman"/>
          <w:sz w:val="24"/>
          <w:szCs w:val="24"/>
        </w:rPr>
        <w:t xml:space="preserve">If the aggregation group is top-heavy, the employer is not required to provide a top-heavy minimum benefit in both plans. If the two plans are dissimilar, any one of the four safe harbor rules </w:t>
      </w:r>
      <w:r>
        <w:rPr>
          <w:rFonts w:ascii="Times New Roman" w:hAnsi="Times New Roman" w:cs="Times New Roman"/>
          <w:sz w:val="24"/>
          <w:szCs w:val="24"/>
        </w:rPr>
        <w:t xml:space="preserve">listed </w:t>
      </w:r>
      <w:r w:rsidR="00DF0F63">
        <w:rPr>
          <w:rFonts w:ascii="Times New Roman" w:hAnsi="Times New Roman" w:cs="Times New Roman"/>
          <w:sz w:val="24"/>
          <w:szCs w:val="24"/>
        </w:rPr>
        <w:t xml:space="preserve">previously </w:t>
      </w:r>
      <w:r w:rsidRPr="00F865B0">
        <w:rPr>
          <w:rFonts w:ascii="Times New Roman" w:hAnsi="Times New Roman" w:cs="Times New Roman"/>
          <w:sz w:val="24"/>
          <w:szCs w:val="24"/>
        </w:rPr>
        <w:t>can be used to satisfy th</w:t>
      </w:r>
      <w:r w:rsidR="009311C3">
        <w:rPr>
          <w:rFonts w:ascii="Times New Roman" w:hAnsi="Times New Roman" w:cs="Times New Roman"/>
          <w:sz w:val="24"/>
          <w:szCs w:val="24"/>
        </w:rPr>
        <w:t>e top-heavy minimum benefits.</w:t>
      </w:r>
    </w:p>
    <w:p w:rsidR="00F865B0" w:rsidRDefault="00F865B0" w:rsidP="00EF673B">
      <w:pPr>
        <w:pStyle w:val="NoSpacing"/>
        <w:ind w:left="720"/>
        <w:rPr>
          <w:rFonts w:ascii="Times New Roman" w:hAnsi="Times New Roman" w:cs="Times New Roman"/>
          <w:sz w:val="24"/>
          <w:szCs w:val="24"/>
        </w:rPr>
      </w:pPr>
    </w:p>
    <w:p w:rsidR="001C071E" w:rsidRPr="009311C3" w:rsidRDefault="001B606D" w:rsidP="009311C3">
      <w:pPr>
        <w:pStyle w:val="NoSpacing"/>
        <w:ind w:left="720"/>
        <w:rPr>
          <w:rFonts w:ascii="Times New Roman" w:hAnsi="Times New Roman" w:cs="Times New Roman"/>
          <w:sz w:val="24"/>
          <w:szCs w:val="24"/>
        </w:rPr>
      </w:pPr>
      <w:r>
        <w:rPr>
          <w:rFonts w:ascii="Times New Roman" w:hAnsi="Times New Roman" w:cs="Times New Roman"/>
          <w:sz w:val="24"/>
          <w:szCs w:val="24"/>
        </w:rPr>
        <w:t>Safe harbor o</w:t>
      </w:r>
      <w:r w:rsidR="001C071E" w:rsidRPr="009311C3">
        <w:rPr>
          <w:rFonts w:ascii="Times New Roman" w:hAnsi="Times New Roman" w:cs="Times New Roman"/>
          <w:sz w:val="24"/>
          <w:szCs w:val="24"/>
        </w:rPr>
        <w:t>ption 1 was illustrated previously</w:t>
      </w:r>
      <w:r w:rsidR="00E11C31">
        <w:rPr>
          <w:rFonts w:ascii="Times New Roman" w:hAnsi="Times New Roman" w:cs="Times New Roman"/>
          <w:sz w:val="24"/>
          <w:szCs w:val="24"/>
        </w:rPr>
        <w:t xml:space="preserve"> in Q 5.14</w:t>
      </w:r>
      <w:r w:rsidR="001C071E" w:rsidRPr="009311C3">
        <w:rPr>
          <w:rFonts w:ascii="Times New Roman" w:hAnsi="Times New Roman" w:cs="Times New Roman"/>
          <w:sz w:val="24"/>
          <w:szCs w:val="24"/>
        </w:rPr>
        <w:t xml:space="preserve">. </w:t>
      </w:r>
      <w:r>
        <w:rPr>
          <w:rFonts w:ascii="Times New Roman" w:hAnsi="Times New Roman" w:cs="Times New Roman"/>
          <w:sz w:val="24"/>
          <w:szCs w:val="24"/>
        </w:rPr>
        <w:t xml:space="preserve"> </w:t>
      </w:r>
      <w:r w:rsidR="001C071E" w:rsidRPr="009311C3">
        <w:rPr>
          <w:rFonts w:ascii="Times New Roman" w:hAnsi="Times New Roman" w:cs="Times New Roman"/>
          <w:sz w:val="24"/>
          <w:szCs w:val="24"/>
        </w:rPr>
        <w:t xml:space="preserve">In that case, the two plans would provide only the minimum benefit accrual in the defined benefit plan and no top-heavy minimum deposit in the defined contribution (401(k)) plan. </w:t>
      </w:r>
      <w:r>
        <w:rPr>
          <w:rFonts w:ascii="Times New Roman" w:hAnsi="Times New Roman" w:cs="Times New Roman"/>
          <w:sz w:val="24"/>
          <w:szCs w:val="24"/>
        </w:rPr>
        <w:t>Safe harbor o</w:t>
      </w:r>
      <w:r w:rsidR="001C071E" w:rsidRPr="009311C3">
        <w:rPr>
          <w:rFonts w:ascii="Times New Roman" w:hAnsi="Times New Roman" w:cs="Times New Roman"/>
          <w:sz w:val="24"/>
          <w:szCs w:val="24"/>
        </w:rPr>
        <w:t xml:space="preserve">ption 4 could be used if the employer did not want to increase the accrued benefits in the defined benefit plan for the employees who were below the top-heavy minimum, i.e., Mark, Howard, and Michael (see </w:t>
      </w:r>
      <w:r>
        <w:rPr>
          <w:rFonts w:ascii="Times New Roman" w:hAnsi="Times New Roman" w:cs="Times New Roman"/>
          <w:sz w:val="24"/>
          <w:szCs w:val="24"/>
        </w:rPr>
        <w:t>Table 5.1</w:t>
      </w:r>
      <w:r w:rsidR="001C071E" w:rsidRPr="009311C3">
        <w:rPr>
          <w:rFonts w:ascii="Times New Roman" w:hAnsi="Times New Roman" w:cs="Times New Roman"/>
          <w:sz w:val="24"/>
          <w:szCs w:val="24"/>
        </w:rPr>
        <w:t>).</w:t>
      </w:r>
    </w:p>
    <w:p w:rsidR="009311C3" w:rsidRDefault="009311C3" w:rsidP="009311C3">
      <w:pPr>
        <w:pStyle w:val="NoSpacing"/>
        <w:ind w:left="720"/>
        <w:rPr>
          <w:rFonts w:ascii="Times New Roman" w:hAnsi="Times New Roman" w:cs="Times New Roman"/>
          <w:sz w:val="24"/>
          <w:szCs w:val="24"/>
        </w:rPr>
      </w:pPr>
    </w:p>
    <w:p w:rsidR="001C071E" w:rsidRDefault="001B606D" w:rsidP="009311C3">
      <w:pPr>
        <w:pStyle w:val="NoSpacing"/>
        <w:ind w:left="720"/>
        <w:rPr>
          <w:rFonts w:ascii="Times New Roman" w:hAnsi="Times New Roman" w:cs="Times New Roman"/>
          <w:sz w:val="24"/>
          <w:szCs w:val="24"/>
        </w:rPr>
      </w:pPr>
      <w:r>
        <w:rPr>
          <w:rFonts w:ascii="Times New Roman" w:hAnsi="Times New Roman" w:cs="Times New Roman"/>
          <w:sz w:val="24"/>
          <w:szCs w:val="24"/>
        </w:rPr>
        <w:t>Safe harbor o</w:t>
      </w:r>
      <w:r w:rsidR="001C071E" w:rsidRPr="009311C3">
        <w:rPr>
          <w:rFonts w:ascii="Times New Roman" w:hAnsi="Times New Roman" w:cs="Times New Roman"/>
          <w:sz w:val="24"/>
          <w:szCs w:val="24"/>
        </w:rPr>
        <w:t>ptions 2 and 3 are illustrated in the following examples, using the benefits listed for Mark and Michael</w:t>
      </w:r>
      <w:r w:rsidR="004D444D">
        <w:rPr>
          <w:rFonts w:ascii="Times New Roman" w:hAnsi="Times New Roman" w:cs="Times New Roman"/>
          <w:sz w:val="24"/>
          <w:szCs w:val="24"/>
        </w:rPr>
        <w:t xml:space="preserve"> in Table 5-4</w:t>
      </w:r>
      <w:r w:rsidR="001C071E" w:rsidRPr="009311C3">
        <w:rPr>
          <w:rFonts w:ascii="Times New Roman" w:hAnsi="Times New Roman" w:cs="Times New Roman"/>
          <w:sz w:val="24"/>
          <w:szCs w:val="24"/>
        </w:rPr>
        <w:t>. Option 2, the offset approach of the safe harbor rules, can be illustrated using the information from the defined benefit plan in</w:t>
      </w:r>
      <w:r>
        <w:rPr>
          <w:rFonts w:ascii="Times New Roman" w:hAnsi="Times New Roman" w:cs="Times New Roman"/>
          <w:sz w:val="24"/>
          <w:szCs w:val="24"/>
        </w:rPr>
        <w:t xml:space="preserve"> Table 5-1</w:t>
      </w:r>
      <w:r w:rsidR="004D444D">
        <w:rPr>
          <w:rFonts w:ascii="Times New Roman" w:hAnsi="Times New Roman" w:cs="Times New Roman"/>
          <w:sz w:val="24"/>
          <w:szCs w:val="24"/>
        </w:rPr>
        <w:t>.</w:t>
      </w:r>
    </w:p>
    <w:p w:rsidR="009311C3" w:rsidRPr="00273E37" w:rsidRDefault="009311C3" w:rsidP="009311C3">
      <w:pPr>
        <w:pStyle w:val="NoSpacing"/>
        <w:ind w:left="720"/>
        <w:rPr>
          <w:rFonts w:ascii="Times New Roman" w:hAnsi="Times New Roman" w:cs="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024"/>
        <w:gridCol w:w="1080"/>
        <w:gridCol w:w="630"/>
        <w:gridCol w:w="1170"/>
        <w:gridCol w:w="1080"/>
        <w:gridCol w:w="1080"/>
        <w:gridCol w:w="1080"/>
        <w:gridCol w:w="1204"/>
        <w:gridCol w:w="1080"/>
      </w:tblGrid>
      <w:tr w:rsidR="001C071E" w:rsidRPr="00273E37" w:rsidTr="00273E37">
        <w:trPr>
          <w:trHeight w:val="407"/>
          <w:jc w:val="center"/>
        </w:trPr>
        <w:tc>
          <w:tcPr>
            <w:tcW w:w="9428" w:type="dxa"/>
            <w:gridSpan w:val="9"/>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1C071E" w:rsidRPr="00273E37" w:rsidRDefault="001C071E" w:rsidP="00273E37">
            <w:pPr>
              <w:pStyle w:val="TableHead"/>
              <w:rPr>
                <w:rFonts w:ascii="Times New Roman" w:hAnsi="Times New Roman" w:cs="Times New Roman"/>
                <w:sz w:val="24"/>
                <w:szCs w:val="24"/>
              </w:rPr>
            </w:pPr>
            <w:r w:rsidRPr="00273E37">
              <w:rPr>
                <w:rFonts w:ascii="Times New Roman" w:hAnsi="Times New Roman" w:cs="Times New Roman"/>
                <w:sz w:val="24"/>
                <w:szCs w:val="24"/>
              </w:rPr>
              <w:t xml:space="preserve">Table </w:t>
            </w:r>
            <w:r w:rsidR="00273E37">
              <w:rPr>
                <w:rFonts w:ascii="Times New Roman" w:hAnsi="Times New Roman" w:cs="Times New Roman"/>
                <w:sz w:val="24"/>
                <w:szCs w:val="24"/>
              </w:rPr>
              <w:t>5</w:t>
            </w:r>
            <w:r w:rsidRPr="00273E37">
              <w:rPr>
                <w:rFonts w:ascii="Times New Roman" w:hAnsi="Times New Roman" w:cs="Times New Roman"/>
                <w:sz w:val="24"/>
                <w:szCs w:val="24"/>
              </w:rPr>
              <w:t>-4. Satisfying the Top-Heavy Minimums with an Offset Approach</w:t>
            </w:r>
          </w:p>
        </w:tc>
      </w:tr>
      <w:tr w:rsidR="00273E37" w:rsidRPr="00273E37" w:rsidTr="00273E37">
        <w:trPr>
          <w:trHeight w:val="894"/>
          <w:jc w:val="center"/>
        </w:trPr>
        <w:tc>
          <w:tcPr>
            <w:tcW w:w="1024"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1C071E" w:rsidRPr="00273E37" w:rsidRDefault="001C071E" w:rsidP="000F42B7">
            <w:pPr>
              <w:suppressAutoHyphens/>
              <w:jc w:val="center"/>
            </w:pPr>
            <w:r w:rsidRPr="00273E37">
              <w:rPr>
                <w:b/>
                <w:bCs/>
                <w:i/>
                <w:iCs/>
              </w:rPr>
              <w:t>Name</w:t>
            </w:r>
          </w:p>
        </w:tc>
        <w:tc>
          <w:tcPr>
            <w:tcW w:w="108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1C071E" w:rsidRPr="00273E37" w:rsidRDefault="001C071E" w:rsidP="00273E37">
            <w:pPr>
              <w:suppressAutoHyphens/>
              <w:jc w:val="center"/>
            </w:pPr>
            <w:r w:rsidRPr="00273E37">
              <w:rPr>
                <w:b/>
                <w:bCs/>
                <w:i/>
                <w:iCs/>
              </w:rPr>
              <w:t xml:space="preserve">Date </w:t>
            </w:r>
            <w:r w:rsidR="00273E37">
              <w:rPr>
                <w:b/>
                <w:bCs/>
                <w:i/>
                <w:iCs/>
              </w:rPr>
              <w:t>o</w:t>
            </w:r>
            <w:r w:rsidRPr="00273E37">
              <w:rPr>
                <w:b/>
                <w:bCs/>
                <w:i/>
                <w:iCs/>
              </w:rPr>
              <w:t xml:space="preserve">f </w:t>
            </w:r>
            <w:proofErr w:type="spellStart"/>
            <w:r w:rsidRPr="00273E37">
              <w:rPr>
                <w:b/>
                <w:bCs/>
                <w:i/>
                <w:iCs/>
              </w:rPr>
              <w:t>Partici</w:t>
            </w:r>
            <w:r w:rsidR="00273E37">
              <w:rPr>
                <w:b/>
                <w:bCs/>
                <w:i/>
                <w:iCs/>
              </w:rPr>
              <w:t>-</w:t>
            </w:r>
            <w:r w:rsidRPr="00273E37">
              <w:rPr>
                <w:b/>
                <w:bCs/>
                <w:i/>
                <w:iCs/>
              </w:rPr>
              <w:t>pation</w:t>
            </w:r>
            <w:proofErr w:type="spellEnd"/>
          </w:p>
        </w:tc>
        <w:tc>
          <w:tcPr>
            <w:tcW w:w="63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1C071E" w:rsidRPr="00273E37" w:rsidRDefault="001C071E" w:rsidP="000F42B7">
            <w:pPr>
              <w:suppressAutoHyphens/>
              <w:jc w:val="center"/>
            </w:pPr>
            <w:r w:rsidRPr="00273E37">
              <w:rPr>
                <w:b/>
                <w:bCs/>
                <w:i/>
                <w:iCs/>
              </w:rPr>
              <w:t>Age</w:t>
            </w:r>
          </w:p>
        </w:tc>
        <w:tc>
          <w:tcPr>
            <w:tcW w:w="117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1C071E" w:rsidRPr="00273E37" w:rsidRDefault="001C071E" w:rsidP="000F42B7">
            <w:pPr>
              <w:suppressAutoHyphens/>
              <w:jc w:val="center"/>
              <w:rPr>
                <w:b/>
                <w:bCs/>
                <w:i/>
                <w:iCs/>
              </w:rPr>
            </w:pPr>
            <w:r w:rsidRPr="00273E37">
              <w:rPr>
                <w:b/>
                <w:bCs/>
                <w:i/>
                <w:iCs/>
              </w:rPr>
              <w:t>Officer/</w:t>
            </w:r>
          </w:p>
          <w:p w:rsidR="001C071E" w:rsidRPr="00273E37" w:rsidRDefault="001C071E" w:rsidP="000F42B7">
            <w:pPr>
              <w:suppressAutoHyphens/>
              <w:jc w:val="center"/>
            </w:pPr>
            <w:r w:rsidRPr="00273E37">
              <w:rPr>
                <w:b/>
                <w:bCs/>
                <w:i/>
                <w:iCs/>
              </w:rPr>
              <w:t>Owner</w:t>
            </w:r>
          </w:p>
        </w:tc>
        <w:tc>
          <w:tcPr>
            <w:tcW w:w="108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1C071E" w:rsidRPr="00273E37" w:rsidRDefault="001C071E" w:rsidP="000F42B7">
            <w:pPr>
              <w:suppressAutoHyphens/>
              <w:jc w:val="center"/>
            </w:pPr>
            <w:r w:rsidRPr="00273E37">
              <w:rPr>
                <w:b/>
                <w:bCs/>
                <w:i/>
                <w:iCs/>
              </w:rPr>
              <w:t>Monthly Salary</w:t>
            </w:r>
          </w:p>
        </w:tc>
        <w:tc>
          <w:tcPr>
            <w:tcW w:w="108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1C071E" w:rsidRPr="00273E37" w:rsidRDefault="001C071E" w:rsidP="000F42B7">
            <w:pPr>
              <w:suppressAutoHyphens/>
              <w:jc w:val="center"/>
            </w:pPr>
            <w:r w:rsidRPr="00273E37">
              <w:rPr>
                <w:b/>
                <w:bCs/>
                <w:i/>
                <w:iCs/>
              </w:rPr>
              <w:t>Monthly Retire</w:t>
            </w:r>
            <w:r w:rsidR="00273E37">
              <w:rPr>
                <w:b/>
                <w:bCs/>
                <w:i/>
                <w:iCs/>
              </w:rPr>
              <w:t>-</w:t>
            </w:r>
            <w:proofErr w:type="spellStart"/>
            <w:r w:rsidRPr="00273E37">
              <w:rPr>
                <w:b/>
                <w:bCs/>
                <w:i/>
                <w:iCs/>
              </w:rPr>
              <w:t>ment</w:t>
            </w:r>
            <w:proofErr w:type="spellEnd"/>
            <w:r w:rsidRPr="00273E37">
              <w:rPr>
                <w:b/>
                <w:bCs/>
                <w:i/>
                <w:iCs/>
              </w:rPr>
              <w:t xml:space="preserve"> Benefit</w:t>
            </w:r>
          </w:p>
        </w:tc>
        <w:tc>
          <w:tcPr>
            <w:tcW w:w="108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1C071E" w:rsidRPr="00273E37" w:rsidRDefault="001C071E" w:rsidP="000F42B7">
            <w:pPr>
              <w:suppressAutoHyphens/>
              <w:jc w:val="center"/>
            </w:pPr>
            <w:r w:rsidRPr="00273E37">
              <w:rPr>
                <w:b/>
                <w:bCs/>
                <w:i/>
                <w:iCs/>
              </w:rPr>
              <w:t>Plan Accrued Benefit</w:t>
            </w:r>
          </w:p>
        </w:tc>
        <w:tc>
          <w:tcPr>
            <w:tcW w:w="1204"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1C071E" w:rsidRPr="00273E37" w:rsidRDefault="001C071E" w:rsidP="000F42B7">
            <w:pPr>
              <w:suppressAutoHyphens/>
              <w:jc w:val="center"/>
            </w:pPr>
            <w:r w:rsidRPr="00273E37">
              <w:rPr>
                <w:b/>
                <w:bCs/>
                <w:i/>
                <w:iCs/>
              </w:rPr>
              <w:t>Top</w:t>
            </w:r>
            <w:r w:rsidR="00DB6ADD">
              <w:rPr>
                <w:b/>
                <w:bCs/>
                <w:i/>
                <w:iCs/>
              </w:rPr>
              <w:t>-</w:t>
            </w:r>
            <w:r w:rsidRPr="00273E37">
              <w:rPr>
                <w:b/>
                <w:bCs/>
                <w:i/>
                <w:iCs/>
              </w:rPr>
              <w:t xml:space="preserve"> Heavy Minimum Deposit</w:t>
            </w:r>
          </w:p>
        </w:tc>
        <w:tc>
          <w:tcPr>
            <w:tcW w:w="108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1C071E" w:rsidRPr="00273E37" w:rsidRDefault="001C071E" w:rsidP="00273E37">
            <w:pPr>
              <w:suppressAutoHyphens/>
              <w:jc w:val="center"/>
            </w:pPr>
            <w:r w:rsidRPr="00273E37">
              <w:rPr>
                <w:b/>
                <w:bCs/>
                <w:i/>
                <w:iCs/>
              </w:rPr>
              <w:t xml:space="preserve">Present Value </w:t>
            </w:r>
            <w:r w:rsidR="00273E37">
              <w:rPr>
                <w:b/>
                <w:bCs/>
                <w:i/>
                <w:iCs/>
              </w:rPr>
              <w:t>o</w:t>
            </w:r>
            <w:r w:rsidRPr="00273E37">
              <w:rPr>
                <w:b/>
                <w:bCs/>
                <w:i/>
                <w:iCs/>
              </w:rPr>
              <w:t>f Accrued Benefit*</w:t>
            </w:r>
          </w:p>
        </w:tc>
      </w:tr>
      <w:tr w:rsidR="00273E37" w:rsidRPr="00273E37" w:rsidTr="00273E37">
        <w:trPr>
          <w:trHeight w:val="60"/>
          <w:jc w:val="center"/>
        </w:trPr>
        <w:tc>
          <w:tcPr>
            <w:tcW w:w="1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071E" w:rsidRPr="00273E37" w:rsidRDefault="001C071E" w:rsidP="000F42B7">
            <w:pPr>
              <w:pStyle w:val="NoParagraphStyle"/>
              <w:spacing w:line="240" w:lineRule="auto"/>
              <w:textAlignment w:val="auto"/>
              <w:rPr>
                <w:rFonts w:ascii="Times New Roman" w:hAnsi="Times New Roman" w:cs="Times New Roman"/>
                <w:color w:val="auto"/>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071E" w:rsidRPr="00273E37" w:rsidRDefault="001C071E" w:rsidP="000F42B7">
            <w:pPr>
              <w:pStyle w:val="NoParagraphStyle"/>
              <w:spacing w:line="240" w:lineRule="auto"/>
              <w:textAlignment w:val="auto"/>
              <w:rPr>
                <w:rFonts w:ascii="Times New Roman" w:hAnsi="Times New Roman" w:cs="Times New Roman"/>
                <w:color w:val="auto"/>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071E" w:rsidRPr="00273E37" w:rsidRDefault="001C071E" w:rsidP="000F42B7">
            <w:pPr>
              <w:pStyle w:val="NoParagraphStyle"/>
              <w:spacing w:line="240" w:lineRule="auto"/>
              <w:textAlignment w:val="auto"/>
              <w:rPr>
                <w:rFonts w:ascii="Times New Roman" w:hAnsi="Times New Roman" w:cs="Times New Roman"/>
                <w:color w:val="auto"/>
              </w:rPr>
            </w:pP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071E" w:rsidRPr="00273E37" w:rsidRDefault="001C071E" w:rsidP="000F42B7">
            <w:pPr>
              <w:pStyle w:val="NoParagraphStyle"/>
              <w:spacing w:line="240" w:lineRule="auto"/>
              <w:textAlignment w:val="auto"/>
              <w:rPr>
                <w:rFonts w:ascii="Times New Roman" w:hAnsi="Times New Roman" w:cs="Times New Roman"/>
                <w:color w:val="auto"/>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071E" w:rsidRPr="00273E37" w:rsidRDefault="001C071E" w:rsidP="000F42B7">
            <w:pPr>
              <w:pStyle w:val="NoParagraphStyle"/>
              <w:spacing w:line="240" w:lineRule="auto"/>
              <w:textAlignment w:val="auto"/>
              <w:rPr>
                <w:rFonts w:ascii="Times New Roman" w:hAnsi="Times New Roman" w:cs="Times New Roman"/>
                <w:color w:val="auto"/>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071E" w:rsidRPr="00273E37" w:rsidRDefault="001C071E" w:rsidP="000F42B7">
            <w:pPr>
              <w:pStyle w:val="NoParagraphStyle"/>
              <w:spacing w:line="240" w:lineRule="auto"/>
              <w:textAlignment w:val="auto"/>
              <w:rPr>
                <w:rFonts w:ascii="Times New Roman" w:hAnsi="Times New Roman" w:cs="Times New Roman"/>
                <w:color w:val="auto"/>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071E" w:rsidRPr="00273E37" w:rsidRDefault="001C071E" w:rsidP="000F42B7">
            <w:pPr>
              <w:pStyle w:val="NoParagraphStyle"/>
              <w:spacing w:line="240" w:lineRule="auto"/>
              <w:textAlignment w:val="auto"/>
              <w:rPr>
                <w:rFonts w:ascii="Times New Roman" w:hAnsi="Times New Roman" w:cs="Times New Roman"/>
                <w:color w:val="auto"/>
              </w:rPr>
            </w:pPr>
          </w:p>
        </w:tc>
        <w:tc>
          <w:tcPr>
            <w:tcW w:w="1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071E" w:rsidRPr="00273E37" w:rsidRDefault="001C071E" w:rsidP="000F42B7">
            <w:pPr>
              <w:pStyle w:val="NoParagraphStyle"/>
              <w:spacing w:line="240" w:lineRule="auto"/>
              <w:textAlignment w:val="auto"/>
              <w:rPr>
                <w:rFonts w:ascii="Times New Roman" w:hAnsi="Times New Roman" w:cs="Times New Roman"/>
                <w:color w:val="auto"/>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071E" w:rsidRPr="00273E37" w:rsidRDefault="001C071E" w:rsidP="000F42B7">
            <w:pPr>
              <w:pStyle w:val="NoParagraphStyle"/>
              <w:spacing w:line="240" w:lineRule="auto"/>
              <w:textAlignment w:val="auto"/>
              <w:rPr>
                <w:rFonts w:ascii="Times New Roman" w:hAnsi="Times New Roman" w:cs="Times New Roman"/>
                <w:color w:val="auto"/>
              </w:rPr>
            </w:pPr>
          </w:p>
        </w:tc>
      </w:tr>
      <w:tr w:rsidR="00273E37" w:rsidRPr="00273E37" w:rsidTr="00273E37">
        <w:trPr>
          <w:trHeight w:val="60"/>
          <w:jc w:val="center"/>
        </w:trPr>
        <w:tc>
          <w:tcPr>
            <w:tcW w:w="1024"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1C071E" w:rsidRPr="00273E37" w:rsidRDefault="001C071E" w:rsidP="000F42B7">
            <w:pPr>
              <w:suppressAutoHyphens/>
            </w:pPr>
            <w:r w:rsidRPr="00273E37">
              <w:t>John</w:t>
            </w:r>
          </w:p>
        </w:tc>
        <w:tc>
          <w:tcPr>
            <w:tcW w:w="108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1C071E" w:rsidRPr="00273E37" w:rsidRDefault="001C071E" w:rsidP="000F42B7">
            <w:pPr>
              <w:suppressAutoHyphens/>
              <w:jc w:val="center"/>
            </w:pPr>
            <w:r w:rsidRPr="00273E37">
              <w:t>1/1/</w:t>
            </w:r>
            <w:r w:rsidR="00273E37">
              <w:t>2013</w:t>
            </w:r>
          </w:p>
        </w:tc>
        <w:tc>
          <w:tcPr>
            <w:tcW w:w="63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1C071E" w:rsidRPr="00273E37" w:rsidRDefault="001C071E" w:rsidP="000F42B7">
            <w:pPr>
              <w:suppressAutoHyphens/>
              <w:jc w:val="center"/>
            </w:pPr>
            <w:r w:rsidRPr="00273E37">
              <w:t>50</w:t>
            </w:r>
          </w:p>
        </w:tc>
        <w:tc>
          <w:tcPr>
            <w:tcW w:w="117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1C071E" w:rsidRPr="00273E37" w:rsidRDefault="001C071E" w:rsidP="000F42B7">
            <w:pPr>
              <w:suppressAutoHyphens/>
              <w:jc w:val="center"/>
            </w:pPr>
            <w:proofErr w:type="spellStart"/>
            <w:r w:rsidRPr="00273E37">
              <w:t>Pres</w:t>
            </w:r>
            <w:proofErr w:type="spellEnd"/>
            <w:r w:rsidRPr="00273E37">
              <w:t>/50%</w:t>
            </w:r>
          </w:p>
        </w:tc>
        <w:tc>
          <w:tcPr>
            <w:tcW w:w="108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1C071E" w:rsidRPr="00273E37" w:rsidRDefault="001C071E" w:rsidP="000F42B7">
            <w:pPr>
              <w:suppressAutoHyphens/>
              <w:jc w:val="right"/>
            </w:pPr>
            <w:r w:rsidRPr="00273E37">
              <w:t>$10,000</w:t>
            </w:r>
          </w:p>
        </w:tc>
        <w:tc>
          <w:tcPr>
            <w:tcW w:w="108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1C071E" w:rsidRPr="00273E37" w:rsidRDefault="001C071E" w:rsidP="000F42B7">
            <w:pPr>
              <w:suppressAutoHyphens/>
              <w:jc w:val="center"/>
            </w:pPr>
            <w:r w:rsidRPr="00273E37">
              <w:t>$5,000</w:t>
            </w:r>
          </w:p>
        </w:tc>
        <w:tc>
          <w:tcPr>
            <w:tcW w:w="108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1C071E" w:rsidRPr="00273E37" w:rsidRDefault="001C071E" w:rsidP="000F42B7">
            <w:pPr>
              <w:suppressAutoHyphens/>
              <w:ind w:right="72"/>
              <w:jc w:val="right"/>
            </w:pPr>
            <w:r w:rsidRPr="00273E37">
              <w:t>$333</w:t>
            </w:r>
          </w:p>
        </w:tc>
        <w:tc>
          <w:tcPr>
            <w:tcW w:w="1204"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1C071E" w:rsidRPr="00273E37" w:rsidRDefault="001C071E" w:rsidP="000F42B7">
            <w:pPr>
              <w:pStyle w:val="NoParagraphStyle"/>
              <w:spacing w:line="240" w:lineRule="auto"/>
              <w:textAlignment w:val="auto"/>
              <w:rPr>
                <w:rFonts w:ascii="Times New Roman" w:hAnsi="Times New Roman" w:cs="Times New Roman"/>
                <w:color w:val="auto"/>
              </w:rPr>
            </w:pPr>
          </w:p>
        </w:tc>
        <w:tc>
          <w:tcPr>
            <w:tcW w:w="108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1C071E" w:rsidRPr="00273E37" w:rsidRDefault="001C071E" w:rsidP="000F42B7">
            <w:pPr>
              <w:suppressAutoHyphens/>
              <w:jc w:val="right"/>
            </w:pPr>
            <w:r w:rsidRPr="00273E37">
              <w:t>$15,492</w:t>
            </w:r>
          </w:p>
        </w:tc>
      </w:tr>
      <w:tr w:rsidR="00273E37" w:rsidRPr="00273E37" w:rsidTr="00273E37">
        <w:trPr>
          <w:trHeight w:val="60"/>
          <w:jc w:val="center"/>
        </w:trPr>
        <w:tc>
          <w:tcPr>
            <w:tcW w:w="1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071E" w:rsidRPr="00273E37" w:rsidRDefault="001C071E" w:rsidP="000F42B7">
            <w:pPr>
              <w:suppressAutoHyphens/>
            </w:pPr>
            <w:r w:rsidRPr="00273E37">
              <w:t>Samuel</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071E" w:rsidRPr="00273E37" w:rsidRDefault="001C071E" w:rsidP="000F42B7">
            <w:pPr>
              <w:suppressAutoHyphens/>
              <w:jc w:val="center"/>
            </w:pPr>
            <w:r w:rsidRPr="00273E37">
              <w:t>1/1/</w:t>
            </w:r>
            <w:r w:rsidR="00273E37">
              <w:t>2013</w:t>
            </w: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071E" w:rsidRPr="00273E37" w:rsidRDefault="001C071E" w:rsidP="000F42B7">
            <w:pPr>
              <w:suppressAutoHyphens/>
              <w:jc w:val="center"/>
            </w:pPr>
            <w:r w:rsidRPr="00273E37">
              <w:t>39</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071E" w:rsidRPr="00273E37" w:rsidRDefault="001C071E" w:rsidP="000F42B7">
            <w:pPr>
              <w:suppressAutoHyphens/>
              <w:jc w:val="center"/>
            </w:pPr>
            <w:r w:rsidRPr="00273E37">
              <w:t>VP/50%</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071E" w:rsidRPr="00273E37" w:rsidRDefault="001C071E" w:rsidP="000F42B7">
            <w:pPr>
              <w:suppressAutoHyphens/>
              <w:jc w:val="right"/>
            </w:pPr>
            <w:r w:rsidRPr="00273E37">
              <w:t>$  7,000</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071E" w:rsidRPr="00273E37" w:rsidRDefault="001C071E" w:rsidP="000F42B7">
            <w:pPr>
              <w:suppressAutoHyphens/>
              <w:jc w:val="center"/>
            </w:pPr>
            <w:r w:rsidRPr="00273E37">
              <w:t>$3,750</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071E" w:rsidRPr="00273E37" w:rsidRDefault="001C071E" w:rsidP="000F42B7">
            <w:pPr>
              <w:suppressAutoHyphens/>
              <w:ind w:right="72"/>
              <w:jc w:val="right"/>
            </w:pPr>
            <w:r w:rsidRPr="00273E37">
              <w:t>$144</w:t>
            </w:r>
          </w:p>
        </w:tc>
        <w:tc>
          <w:tcPr>
            <w:tcW w:w="1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071E" w:rsidRPr="00273E37" w:rsidRDefault="001C071E" w:rsidP="000F42B7">
            <w:pPr>
              <w:pStyle w:val="NoParagraphStyle"/>
              <w:spacing w:line="240" w:lineRule="auto"/>
              <w:textAlignment w:val="auto"/>
              <w:rPr>
                <w:rFonts w:ascii="Times New Roman" w:hAnsi="Times New Roman" w:cs="Times New Roman"/>
                <w:color w:val="auto"/>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071E" w:rsidRPr="00273E37" w:rsidRDefault="000D420A" w:rsidP="000F42B7">
            <w:pPr>
              <w:suppressAutoHyphens/>
              <w:jc w:val="right"/>
            </w:pPr>
            <w:r>
              <w:rPr>
                <w:u w:val="thick" w:color="000000"/>
              </w:rPr>
              <w:t xml:space="preserve"> $ </w:t>
            </w:r>
            <w:r w:rsidR="001C071E" w:rsidRPr="00273E37">
              <w:rPr>
                <w:u w:val="thick" w:color="000000"/>
              </w:rPr>
              <w:t xml:space="preserve"> 3,026</w:t>
            </w:r>
          </w:p>
        </w:tc>
      </w:tr>
      <w:tr w:rsidR="00273E37" w:rsidRPr="00273E37" w:rsidTr="00273E37">
        <w:trPr>
          <w:trHeight w:val="60"/>
          <w:jc w:val="center"/>
        </w:trPr>
        <w:tc>
          <w:tcPr>
            <w:tcW w:w="1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071E" w:rsidRPr="00273E37" w:rsidRDefault="001C071E" w:rsidP="000F42B7">
            <w:pPr>
              <w:pStyle w:val="NoParagraphStyle"/>
              <w:spacing w:line="240" w:lineRule="auto"/>
              <w:textAlignment w:val="auto"/>
              <w:rPr>
                <w:rFonts w:ascii="Times New Roman" w:hAnsi="Times New Roman" w:cs="Times New Roman"/>
                <w:color w:val="auto"/>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071E" w:rsidRPr="00273E37" w:rsidRDefault="001C071E" w:rsidP="000F42B7">
            <w:pPr>
              <w:pStyle w:val="NoParagraphStyle"/>
              <w:spacing w:line="240" w:lineRule="auto"/>
              <w:textAlignment w:val="auto"/>
              <w:rPr>
                <w:rFonts w:ascii="Times New Roman" w:hAnsi="Times New Roman" w:cs="Times New Roman"/>
                <w:color w:val="auto"/>
              </w:rPr>
            </w:pP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071E" w:rsidRPr="00273E37" w:rsidRDefault="001C071E" w:rsidP="000F42B7">
            <w:pPr>
              <w:pStyle w:val="NoParagraphStyle"/>
              <w:spacing w:line="240" w:lineRule="auto"/>
              <w:textAlignment w:val="auto"/>
              <w:rPr>
                <w:rFonts w:ascii="Times New Roman" w:hAnsi="Times New Roman" w:cs="Times New Roman"/>
                <w:color w:val="auto"/>
              </w:rPr>
            </w:pP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071E" w:rsidRPr="00273E37" w:rsidRDefault="001C071E" w:rsidP="000F42B7">
            <w:pPr>
              <w:pStyle w:val="NoParagraphStyle"/>
              <w:spacing w:line="240" w:lineRule="auto"/>
              <w:textAlignment w:val="auto"/>
              <w:rPr>
                <w:rFonts w:ascii="Times New Roman" w:hAnsi="Times New Roman" w:cs="Times New Roman"/>
                <w:color w:val="auto"/>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071E" w:rsidRPr="00273E37" w:rsidRDefault="001C071E" w:rsidP="000F42B7">
            <w:pPr>
              <w:pStyle w:val="NoParagraphStyle"/>
              <w:spacing w:line="240" w:lineRule="auto"/>
              <w:textAlignment w:val="auto"/>
              <w:rPr>
                <w:rFonts w:ascii="Times New Roman" w:hAnsi="Times New Roman" w:cs="Times New Roman"/>
                <w:color w:val="auto"/>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071E" w:rsidRPr="00273E37" w:rsidRDefault="001C071E" w:rsidP="000F42B7">
            <w:pPr>
              <w:pStyle w:val="NoParagraphStyle"/>
              <w:spacing w:line="240" w:lineRule="auto"/>
              <w:textAlignment w:val="auto"/>
              <w:rPr>
                <w:rFonts w:ascii="Times New Roman" w:hAnsi="Times New Roman" w:cs="Times New Roman"/>
                <w:color w:val="auto"/>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071E" w:rsidRPr="00273E37" w:rsidRDefault="001C071E" w:rsidP="000F42B7">
            <w:pPr>
              <w:pStyle w:val="NoParagraphStyle"/>
              <w:spacing w:line="240" w:lineRule="auto"/>
              <w:textAlignment w:val="auto"/>
              <w:rPr>
                <w:rFonts w:ascii="Times New Roman" w:hAnsi="Times New Roman" w:cs="Times New Roman"/>
                <w:color w:val="auto"/>
              </w:rPr>
            </w:pPr>
          </w:p>
        </w:tc>
        <w:tc>
          <w:tcPr>
            <w:tcW w:w="1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071E" w:rsidRPr="00273E37" w:rsidRDefault="001C071E" w:rsidP="000F42B7">
            <w:pPr>
              <w:pStyle w:val="NoParagraphStyle"/>
              <w:spacing w:line="240" w:lineRule="auto"/>
              <w:textAlignment w:val="auto"/>
              <w:rPr>
                <w:rFonts w:ascii="Times New Roman" w:hAnsi="Times New Roman" w:cs="Times New Roman"/>
                <w:color w:val="auto"/>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071E" w:rsidRPr="00273E37" w:rsidRDefault="001C071E" w:rsidP="000F42B7">
            <w:pPr>
              <w:suppressAutoHyphens/>
              <w:jc w:val="right"/>
            </w:pPr>
            <w:r w:rsidRPr="00273E37">
              <w:t>$18,518</w:t>
            </w:r>
          </w:p>
        </w:tc>
      </w:tr>
      <w:tr w:rsidR="001C071E" w:rsidRPr="00273E37" w:rsidTr="00273E37">
        <w:trPr>
          <w:trHeight w:val="261"/>
          <w:jc w:val="center"/>
        </w:trPr>
        <w:tc>
          <w:tcPr>
            <w:tcW w:w="8348" w:type="dxa"/>
            <w:gridSpan w:val="8"/>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1C071E" w:rsidRPr="00273E37" w:rsidRDefault="001C071E" w:rsidP="00DB6ADD">
            <w:pPr>
              <w:suppressAutoHyphens/>
              <w:jc w:val="right"/>
            </w:pPr>
            <w:r w:rsidRPr="00273E37">
              <w:rPr>
                <w:b/>
                <w:bCs/>
              </w:rPr>
              <w:t>Top</w:t>
            </w:r>
            <w:r w:rsidR="00DB6ADD">
              <w:rPr>
                <w:b/>
                <w:bCs/>
              </w:rPr>
              <w:t>-</w:t>
            </w:r>
            <w:r w:rsidRPr="00273E37">
              <w:rPr>
                <w:b/>
                <w:bCs/>
              </w:rPr>
              <w:t>Heavy Percentage</w:t>
            </w:r>
          </w:p>
        </w:tc>
        <w:tc>
          <w:tcPr>
            <w:tcW w:w="108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1C071E" w:rsidRPr="00273E37" w:rsidRDefault="001C071E" w:rsidP="000F42B7">
            <w:pPr>
              <w:suppressAutoHyphens/>
              <w:jc w:val="right"/>
            </w:pPr>
            <w:r w:rsidRPr="00273E37">
              <w:rPr>
                <w:b/>
                <w:bCs/>
              </w:rPr>
              <w:t>64.62%</w:t>
            </w:r>
          </w:p>
        </w:tc>
      </w:tr>
      <w:tr w:rsidR="00273E37" w:rsidRPr="00273E37" w:rsidTr="00273E37">
        <w:trPr>
          <w:trHeight w:val="60"/>
          <w:jc w:val="center"/>
        </w:trPr>
        <w:tc>
          <w:tcPr>
            <w:tcW w:w="1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071E" w:rsidRPr="00273E37" w:rsidRDefault="001C071E" w:rsidP="000F42B7">
            <w:pPr>
              <w:suppressAutoHyphens/>
            </w:pPr>
            <w:r w:rsidRPr="00273E37">
              <w:t>Mark</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071E" w:rsidRPr="00273E37" w:rsidRDefault="001C071E" w:rsidP="000F42B7">
            <w:pPr>
              <w:suppressAutoHyphens/>
              <w:jc w:val="center"/>
            </w:pPr>
            <w:r w:rsidRPr="00273E37">
              <w:t>1/1/</w:t>
            </w:r>
            <w:r w:rsidR="00273E37">
              <w:t>2013</w:t>
            </w: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071E" w:rsidRPr="00273E37" w:rsidRDefault="001C071E" w:rsidP="000F42B7">
            <w:pPr>
              <w:suppressAutoHyphens/>
              <w:jc w:val="center"/>
            </w:pPr>
            <w:r w:rsidRPr="00273E37">
              <w:t>27</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071E" w:rsidRPr="00273E37" w:rsidRDefault="001C071E" w:rsidP="000F42B7">
            <w:pPr>
              <w:pStyle w:val="NoParagraphStyle"/>
              <w:spacing w:line="240" w:lineRule="auto"/>
              <w:textAlignment w:val="auto"/>
              <w:rPr>
                <w:rFonts w:ascii="Times New Roman" w:hAnsi="Times New Roman" w:cs="Times New Roman"/>
                <w:color w:val="auto"/>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071E" w:rsidRPr="00273E37" w:rsidRDefault="001C071E" w:rsidP="000F42B7">
            <w:pPr>
              <w:suppressAutoHyphens/>
              <w:jc w:val="right"/>
            </w:pPr>
            <w:r w:rsidRPr="00273E37">
              <w:t>$  2,500</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071E" w:rsidRPr="00273E37" w:rsidRDefault="001C071E" w:rsidP="000F42B7">
            <w:pPr>
              <w:suppressAutoHyphens/>
              <w:jc w:val="center"/>
            </w:pPr>
            <w:r w:rsidRPr="00273E37">
              <w:t>$1,250</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071E" w:rsidRPr="00273E37" w:rsidRDefault="001C071E" w:rsidP="000F42B7">
            <w:pPr>
              <w:suppressAutoHyphens/>
              <w:ind w:right="72"/>
              <w:jc w:val="right"/>
            </w:pPr>
            <w:r w:rsidRPr="00273E37">
              <w:t>$  33</w:t>
            </w:r>
          </w:p>
        </w:tc>
        <w:tc>
          <w:tcPr>
            <w:tcW w:w="1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071E" w:rsidRPr="00273E37" w:rsidRDefault="001C071E" w:rsidP="000F42B7">
            <w:pPr>
              <w:suppressAutoHyphens/>
              <w:ind w:right="124"/>
              <w:jc w:val="right"/>
            </w:pPr>
            <w:r w:rsidRPr="00273E37">
              <w:t>$  50</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071E" w:rsidRPr="00273E37" w:rsidRDefault="001C071E" w:rsidP="000D420A">
            <w:pPr>
              <w:suppressAutoHyphens/>
              <w:jc w:val="right"/>
            </w:pPr>
            <w:r w:rsidRPr="00273E37">
              <w:t>$</w:t>
            </w:r>
            <w:r w:rsidRPr="00273E37">
              <w:rPr>
                <w:spacing w:val="-3"/>
              </w:rPr>
              <w:t xml:space="preserve">  </w:t>
            </w:r>
            <w:r w:rsidR="000D420A">
              <w:rPr>
                <w:spacing w:val="-3"/>
              </w:rPr>
              <w:t xml:space="preserve"> </w:t>
            </w:r>
            <w:r w:rsidRPr="00273E37">
              <w:rPr>
                <w:spacing w:val="-3"/>
              </w:rPr>
              <w:t xml:space="preserve">  </w:t>
            </w:r>
            <w:r w:rsidRPr="00273E37">
              <w:t>440</w:t>
            </w:r>
          </w:p>
        </w:tc>
      </w:tr>
      <w:tr w:rsidR="00273E37" w:rsidRPr="00273E37" w:rsidTr="00273E37">
        <w:trPr>
          <w:trHeight w:val="60"/>
          <w:jc w:val="center"/>
        </w:trPr>
        <w:tc>
          <w:tcPr>
            <w:tcW w:w="1024"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1C071E" w:rsidRPr="00273E37" w:rsidRDefault="001C071E" w:rsidP="000F42B7">
            <w:pPr>
              <w:suppressAutoHyphens/>
            </w:pPr>
            <w:r w:rsidRPr="00273E37">
              <w:t>Howard</w:t>
            </w:r>
          </w:p>
        </w:tc>
        <w:tc>
          <w:tcPr>
            <w:tcW w:w="108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1C071E" w:rsidRPr="00273E37" w:rsidRDefault="001C071E" w:rsidP="000F42B7">
            <w:pPr>
              <w:suppressAutoHyphens/>
              <w:jc w:val="center"/>
            </w:pPr>
            <w:r w:rsidRPr="00273E37">
              <w:t>1/1/</w:t>
            </w:r>
            <w:r w:rsidR="00273E37">
              <w:t>2013</w:t>
            </w:r>
          </w:p>
        </w:tc>
        <w:tc>
          <w:tcPr>
            <w:tcW w:w="63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1C071E" w:rsidRPr="00273E37" w:rsidRDefault="001C071E" w:rsidP="000F42B7">
            <w:pPr>
              <w:suppressAutoHyphens/>
              <w:jc w:val="center"/>
            </w:pPr>
            <w:r w:rsidRPr="00273E37">
              <w:t>32</w:t>
            </w:r>
          </w:p>
        </w:tc>
        <w:tc>
          <w:tcPr>
            <w:tcW w:w="117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1C071E" w:rsidRPr="00273E37" w:rsidRDefault="001C071E" w:rsidP="000F42B7">
            <w:pPr>
              <w:pStyle w:val="NoParagraphStyle"/>
              <w:spacing w:line="240" w:lineRule="auto"/>
              <w:textAlignment w:val="auto"/>
              <w:rPr>
                <w:rFonts w:ascii="Times New Roman" w:hAnsi="Times New Roman" w:cs="Times New Roman"/>
                <w:color w:val="auto"/>
              </w:rPr>
            </w:pPr>
          </w:p>
        </w:tc>
        <w:tc>
          <w:tcPr>
            <w:tcW w:w="108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1C071E" w:rsidRPr="00273E37" w:rsidRDefault="001C071E" w:rsidP="000F42B7">
            <w:pPr>
              <w:suppressAutoHyphens/>
              <w:jc w:val="right"/>
            </w:pPr>
            <w:r w:rsidRPr="00273E37">
              <w:t>$  3,200</w:t>
            </w:r>
          </w:p>
        </w:tc>
        <w:tc>
          <w:tcPr>
            <w:tcW w:w="108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1C071E" w:rsidRPr="00273E37" w:rsidRDefault="001C071E" w:rsidP="000F42B7">
            <w:pPr>
              <w:suppressAutoHyphens/>
              <w:jc w:val="center"/>
            </w:pPr>
            <w:r w:rsidRPr="00273E37">
              <w:t>$1,600</w:t>
            </w:r>
          </w:p>
        </w:tc>
        <w:tc>
          <w:tcPr>
            <w:tcW w:w="108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1C071E" w:rsidRPr="00273E37" w:rsidRDefault="001C071E" w:rsidP="000F42B7">
            <w:pPr>
              <w:suppressAutoHyphens/>
              <w:ind w:right="72"/>
              <w:jc w:val="right"/>
            </w:pPr>
            <w:r w:rsidRPr="00273E37">
              <w:t>$  48</w:t>
            </w:r>
          </w:p>
        </w:tc>
        <w:tc>
          <w:tcPr>
            <w:tcW w:w="1204"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1C071E" w:rsidRPr="00273E37" w:rsidRDefault="001C071E" w:rsidP="000F42B7">
            <w:pPr>
              <w:suppressAutoHyphens/>
              <w:ind w:right="124"/>
              <w:jc w:val="right"/>
            </w:pPr>
            <w:r w:rsidRPr="00273E37">
              <w:t>$  64</w:t>
            </w:r>
          </w:p>
        </w:tc>
        <w:tc>
          <w:tcPr>
            <w:tcW w:w="108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1C071E" w:rsidRPr="00273E37" w:rsidRDefault="000D420A" w:rsidP="000D420A">
            <w:pPr>
              <w:suppressAutoHyphens/>
              <w:jc w:val="right"/>
            </w:pPr>
            <w:r>
              <w:t xml:space="preserve">$     </w:t>
            </w:r>
            <w:r w:rsidR="001C071E" w:rsidRPr="00273E37">
              <w:t>809</w:t>
            </w:r>
          </w:p>
        </w:tc>
      </w:tr>
      <w:tr w:rsidR="00273E37" w:rsidRPr="00273E37" w:rsidTr="00273E37">
        <w:trPr>
          <w:trHeight w:val="60"/>
          <w:jc w:val="center"/>
        </w:trPr>
        <w:tc>
          <w:tcPr>
            <w:tcW w:w="1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071E" w:rsidRPr="00273E37" w:rsidRDefault="001C071E" w:rsidP="000F42B7">
            <w:pPr>
              <w:suppressAutoHyphens/>
            </w:pPr>
            <w:r w:rsidRPr="00273E37">
              <w:t>Scott</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071E" w:rsidRPr="00273E37" w:rsidRDefault="001C071E" w:rsidP="000F42B7">
            <w:pPr>
              <w:suppressAutoHyphens/>
              <w:jc w:val="center"/>
            </w:pPr>
            <w:r w:rsidRPr="00273E37">
              <w:t>1/1/</w:t>
            </w:r>
            <w:r w:rsidR="00273E37">
              <w:t>2013</w:t>
            </w: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071E" w:rsidRPr="00273E37" w:rsidRDefault="001C071E" w:rsidP="000F42B7">
            <w:pPr>
              <w:suppressAutoHyphens/>
              <w:jc w:val="center"/>
            </w:pPr>
            <w:r w:rsidRPr="00273E37">
              <w:t>49</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071E" w:rsidRPr="00273E37" w:rsidRDefault="001C071E" w:rsidP="000F42B7">
            <w:pPr>
              <w:pStyle w:val="NoParagraphStyle"/>
              <w:spacing w:line="240" w:lineRule="auto"/>
              <w:textAlignment w:val="auto"/>
              <w:rPr>
                <w:rFonts w:ascii="Times New Roman" w:hAnsi="Times New Roman" w:cs="Times New Roman"/>
                <w:color w:val="auto"/>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071E" w:rsidRPr="00273E37" w:rsidRDefault="001C071E" w:rsidP="000F42B7">
            <w:pPr>
              <w:suppressAutoHyphens/>
              <w:jc w:val="right"/>
            </w:pPr>
            <w:r w:rsidRPr="00273E37">
              <w:t>$  5,000</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071E" w:rsidRPr="00273E37" w:rsidRDefault="001C071E" w:rsidP="000F42B7">
            <w:pPr>
              <w:suppressAutoHyphens/>
              <w:jc w:val="center"/>
            </w:pPr>
            <w:r w:rsidRPr="00273E37">
              <w:t>$2,500</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071E" w:rsidRPr="00273E37" w:rsidRDefault="001C071E" w:rsidP="000F42B7">
            <w:pPr>
              <w:suppressAutoHyphens/>
              <w:ind w:right="72"/>
              <w:jc w:val="right"/>
            </w:pPr>
            <w:r w:rsidRPr="00273E37">
              <w:t>$156</w:t>
            </w:r>
          </w:p>
        </w:tc>
        <w:tc>
          <w:tcPr>
            <w:tcW w:w="1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071E" w:rsidRPr="00273E37" w:rsidRDefault="001C071E" w:rsidP="000F42B7">
            <w:pPr>
              <w:suppressAutoHyphens/>
              <w:ind w:right="124"/>
              <w:jc w:val="right"/>
            </w:pPr>
            <w:r w:rsidRPr="00273E37">
              <w:t>$100</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071E" w:rsidRPr="00273E37" w:rsidRDefault="000D420A" w:rsidP="000F42B7">
            <w:pPr>
              <w:suppressAutoHyphens/>
              <w:jc w:val="right"/>
            </w:pPr>
            <w:r>
              <w:t xml:space="preserve">$  </w:t>
            </w:r>
            <w:r w:rsidR="001C071E" w:rsidRPr="00273E37">
              <w:t>6,755</w:t>
            </w:r>
          </w:p>
        </w:tc>
      </w:tr>
      <w:tr w:rsidR="00273E37" w:rsidRPr="00273E37" w:rsidTr="00273E37">
        <w:trPr>
          <w:trHeight w:val="60"/>
          <w:jc w:val="center"/>
        </w:trPr>
        <w:tc>
          <w:tcPr>
            <w:tcW w:w="1024"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1C071E" w:rsidRPr="00273E37" w:rsidRDefault="001C071E" w:rsidP="000F42B7">
            <w:pPr>
              <w:suppressAutoHyphens/>
            </w:pPr>
            <w:r w:rsidRPr="00273E37">
              <w:t>Michael</w:t>
            </w:r>
          </w:p>
        </w:tc>
        <w:tc>
          <w:tcPr>
            <w:tcW w:w="108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1C071E" w:rsidRPr="00273E37" w:rsidRDefault="001C071E" w:rsidP="000F42B7">
            <w:pPr>
              <w:suppressAutoHyphens/>
              <w:jc w:val="center"/>
            </w:pPr>
            <w:r w:rsidRPr="00273E37">
              <w:t>1/1/</w:t>
            </w:r>
            <w:r w:rsidR="00273E37">
              <w:t>2013</w:t>
            </w:r>
          </w:p>
        </w:tc>
        <w:tc>
          <w:tcPr>
            <w:tcW w:w="63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1C071E" w:rsidRPr="00273E37" w:rsidRDefault="001C071E" w:rsidP="000F42B7">
            <w:pPr>
              <w:suppressAutoHyphens/>
              <w:jc w:val="center"/>
            </w:pPr>
            <w:r w:rsidRPr="00273E37">
              <w:t>38</w:t>
            </w:r>
          </w:p>
        </w:tc>
        <w:tc>
          <w:tcPr>
            <w:tcW w:w="117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1C071E" w:rsidRPr="00273E37" w:rsidRDefault="001C071E" w:rsidP="000F42B7">
            <w:pPr>
              <w:pStyle w:val="NoParagraphStyle"/>
              <w:spacing w:line="240" w:lineRule="auto"/>
              <w:textAlignment w:val="auto"/>
              <w:rPr>
                <w:rFonts w:ascii="Times New Roman" w:hAnsi="Times New Roman" w:cs="Times New Roman"/>
                <w:color w:val="auto"/>
              </w:rPr>
            </w:pPr>
          </w:p>
        </w:tc>
        <w:tc>
          <w:tcPr>
            <w:tcW w:w="108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1C071E" w:rsidRPr="00273E37" w:rsidRDefault="001C071E" w:rsidP="000F42B7">
            <w:pPr>
              <w:suppressAutoHyphens/>
              <w:jc w:val="right"/>
            </w:pPr>
            <w:r w:rsidRPr="00273E37">
              <w:t>$  2,000</w:t>
            </w:r>
          </w:p>
        </w:tc>
        <w:tc>
          <w:tcPr>
            <w:tcW w:w="108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1C071E" w:rsidRPr="00273E37" w:rsidRDefault="001C071E" w:rsidP="000F42B7">
            <w:pPr>
              <w:suppressAutoHyphens/>
              <w:jc w:val="center"/>
            </w:pPr>
            <w:r w:rsidRPr="00273E37">
              <w:t>$1,000</w:t>
            </w:r>
          </w:p>
        </w:tc>
        <w:tc>
          <w:tcPr>
            <w:tcW w:w="108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1C071E" w:rsidRPr="00273E37" w:rsidRDefault="001C071E" w:rsidP="000F42B7">
            <w:pPr>
              <w:suppressAutoHyphens/>
              <w:ind w:right="72"/>
              <w:jc w:val="right"/>
            </w:pPr>
            <w:r w:rsidRPr="00273E37">
              <w:t>$  37</w:t>
            </w:r>
          </w:p>
        </w:tc>
        <w:tc>
          <w:tcPr>
            <w:tcW w:w="1204"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1C071E" w:rsidRPr="00273E37" w:rsidRDefault="001C071E" w:rsidP="000F42B7">
            <w:pPr>
              <w:suppressAutoHyphens/>
              <w:ind w:right="124"/>
              <w:jc w:val="right"/>
            </w:pPr>
            <w:r w:rsidRPr="00273E37">
              <w:t>$  40</w:t>
            </w:r>
          </w:p>
        </w:tc>
        <w:tc>
          <w:tcPr>
            <w:tcW w:w="108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1C071E" w:rsidRPr="00273E37" w:rsidRDefault="000D420A" w:rsidP="000F42B7">
            <w:pPr>
              <w:suppressAutoHyphens/>
              <w:jc w:val="right"/>
            </w:pPr>
            <w:r>
              <w:t xml:space="preserve">$     </w:t>
            </w:r>
            <w:r w:rsidR="001C071E" w:rsidRPr="00273E37">
              <w:t>781</w:t>
            </w:r>
          </w:p>
        </w:tc>
      </w:tr>
      <w:tr w:rsidR="00273E37" w:rsidRPr="00273E37" w:rsidTr="00273E37">
        <w:trPr>
          <w:trHeight w:val="60"/>
          <w:jc w:val="center"/>
        </w:trPr>
        <w:tc>
          <w:tcPr>
            <w:tcW w:w="1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071E" w:rsidRPr="00273E37" w:rsidRDefault="001C071E" w:rsidP="000F42B7">
            <w:pPr>
              <w:suppressAutoHyphens/>
            </w:pPr>
            <w:r w:rsidRPr="00273E37">
              <w:t>David</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071E" w:rsidRPr="00273E37" w:rsidRDefault="001C071E" w:rsidP="00273E37">
            <w:pPr>
              <w:suppressAutoHyphens/>
              <w:jc w:val="center"/>
            </w:pPr>
            <w:r w:rsidRPr="00273E37">
              <w:t>1/1/201</w:t>
            </w:r>
            <w:r w:rsidR="00273E37">
              <w:t>3</w:t>
            </w:r>
          </w:p>
        </w:tc>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071E" w:rsidRPr="00273E37" w:rsidRDefault="001C071E" w:rsidP="000F42B7">
            <w:pPr>
              <w:suppressAutoHyphens/>
              <w:jc w:val="center"/>
            </w:pPr>
            <w:r w:rsidRPr="00273E37">
              <w:t>40</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071E" w:rsidRPr="00273E37" w:rsidRDefault="001C071E" w:rsidP="000F42B7">
            <w:pPr>
              <w:pStyle w:val="NoParagraphStyle"/>
              <w:spacing w:line="240" w:lineRule="auto"/>
              <w:textAlignment w:val="auto"/>
              <w:rPr>
                <w:rFonts w:ascii="Times New Roman" w:hAnsi="Times New Roman" w:cs="Times New Roman"/>
                <w:color w:val="auto"/>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071E" w:rsidRPr="00273E37" w:rsidRDefault="001C071E" w:rsidP="000F42B7">
            <w:pPr>
              <w:suppressAutoHyphens/>
              <w:jc w:val="right"/>
            </w:pPr>
            <w:r w:rsidRPr="00273E37">
              <w:t>$  3,000</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071E" w:rsidRPr="00273E37" w:rsidRDefault="001C071E" w:rsidP="000F42B7">
            <w:pPr>
              <w:suppressAutoHyphens/>
              <w:jc w:val="center"/>
            </w:pPr>
            <w:r w:rsidRPr="00273E37">
              <w:t>$1,500</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071E" w:rsidRPr="00273E37" w:rsidRDefault="001C071E" w:rsidP="000F42B7">
            <w:pPr>
              <w:suppressAutoHyphens/>
              <w:ind w:right="72"/>
              <w:jc w:val="right"/>
            </w:pPr>
            <w:r w:rsidRPr="00273E37">
              <w:t>$  60</w:t>
            </w:r>
          </w:p>
        </w:tc>
        <w:tc>
          <w:tcPr>
            <w:tcW w:w="12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071E" w:rsidRPr="00273E37" w:rsidRDefault="001C071E" w:rsidP="000F42B7">
            <w:pPr>
              <w:suppressAutoHyphens/>
              <w:ind w:right="124"/>
              <w:jc w:val="right"/>
            </w:pPr>
            <w:r w:rsidRPr="00273E37">
              <w:t>$  60</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071E" w:rsidRPr="00273E37" w:rsidRDefault="001C071E" w:rsidP="000F42B7">
            <w:pPr>
              <w:suppressAutoHyphens/>
              <w:jc w:val="right"/>
            </w:pPr>
            <w:r w:rsidRPr="00273E37">
              <w:rPr>
                <w:u w:val="thick" w:color="000000"/>
              </w:rPr>
              <w:t xml:space="preserve"> </w:t>
            </w:r>
            <w:r w:rsidR="000D420A">
              <w:rPr>
                <w:u w:val="thick" w:color="000000"/>
              </w:rPr>
              <w:t xml:space="preserve">$  </w:t>
            </w:r>
            <w:r w:rsidRPr="00273E37">
              <w:rPr>
                <w:u w:val="thick" w:color="000000"/>
              </w:rPr>
              <w:t>1,353</w:t>
            </w:r>
          </w:p>
        </w:tc>
      </w:tr>
      <w:tr w:rsidR="00273E37" w:rsidRPr="00273E37" w:rsidTr="00273E37">
        <w:trPr>
          <w:trHeight w:val="60"/>
          <w:jc w:val="center"/>
        </w:trPr>
        <w:tc>
          <w:tcPr>
            <w:tcW w:w="1024"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1C071E" w:rsidRPr="00273E37" w:rsidRDefault="001C071E" w:rsidP="000F42B7">
            <w:pPr>
              <w:pStyle w:val="NoParagraphStyle"/>
              <w:spacing w:line="240" w:lineRule="auto"/>
              <w:textAlignment w:val="auto"/>
              <w:rPr>
                <w:rFonts w:ascii="Times New Roman" w:hAnsi="Times New Roman" w:cs="Times New Roman"/>
                <w:color w:val="auto"/>
              </w:rPr>
            </w:pPr>
          </w:p>
        </w:tc>
        <w:tc>
          <w:tcPr>
            <w:tcW w:w="108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1C071E" w:rsidRPr="00273E37" w:rsidRDefault="001C071E" w:rsidP="000F42B7">
            <w:pPr>
              <w:pStyle w:val="NoParagraphStyle"/>
              <w:spacing w:line="240" w:lineRule="auto"/>
              <w:textAlignment w:val="auto"/>
              <w:rPr>
                <w:rFonts w:ascii="Times New Roman" w:hAnsi="Times New Roman" w:cs="Times New Roman"/>
                <w:color w:val="auto"/>
              </w:rPr>
            </w:pPr>
          </w:p>
        </w:tc>
        <w:tc>
          <w:tcPr>
            <w:tcW w:w="63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1C071E" w:rsidRPr="00273E37" w:rsidRDefault="001C071E" w:rsidP="000F42B7">
            <w:pPr>
              <w:pStyle w:val="NoParagraphStyle"/>
              <w:spacing w:line="240" w:lineRule="auto"/>
              <w:textAlignment w:val="auto"/>
              <w:rPr>
                <w:rFonts w:ascii="Times New Roman" w:hAnsi="Times New Roman" w:cs="Times New Roman"/>
                <w:color w:val="auto"/>
              </w:rPr>
            </w:pPr>
          </w:p>
        </w:tc>
        <w:tc>
          <w:tcPr>
            <w:tcW w:w="117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1C071E" w:rsidRPr="00273E37" w:rsidRDefault="001C071E" w:rsidP="000F42B7">
            <w:pPr>
              <w:pStyle w:val="NoParagraphStyle"/>
              <w:spacing w:line="240" w:lineRule="auto"/>
              <w:textAlignment w:val="auto"/>
              <w:rPr>
                <w:rFonts w:ascii="Times New Roman" w:hAnsi="Times New Roman" w:cs="Times New Roman"/>
                <w:color w:val="auto"/>
              </w:rPr>
            </w:pPr>
          </w:p>
        </w:tc>
        <w:tc>
          <w:tcPr>
            <w:tcW w:w="108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1C071E" w:rsidRPr="00273E37" w:rsidRDefault="001C071E" w:rsidP="000F42B7">
            <w:pPr>
              <w:pStyle w:val="NoParagraphStyle"/>
              <w:spacing w:line="240" w:lineRule="auto"/>
              <w:textAlignment w:val="auto"/>
              <w:rPr>
                <w:rFonts w:ascii="Times New Roman" w:hAnsi="Times New Roman" w:cs="Times New Roman"/>
                <w:color w:val="auto"/>
              </w:rPr>
            </w:pPr>
          </w:p>
        </w:tc>
        <w:tc>
          <w:tcPr>
            <w:tcW w:w="108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1C071E" w:rsidRPr="00273E37" w:rsidRDefault="001C071E" w:rsidP="000F42B7">
            <w:pPr>
              <w:pStyle w:val="NoParagraphStyle"/>
              <w:spacing w:line="240" w:lineRule="auto"/>
              <w:textAlignment w:val="auto"/>
              <w:rPr>
                <w:rFonts w:ascii="Times New Roman" w:hAnsi="Times New Roman" w:cs="Times New Roman"/>
                <w:color w:val="auto"/>
              </w:rPr>
            </w:pPr>
          </w:p>
        </w:tc>
        <w:tc>
          <w:tcPr>
            <w:tcW w:w="108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1C071E" w:rsidRPr="00273E37" w:rsidRDefault="001C071E" w:rsidP="000F42B7">
            <w:pPr>
              <w:pStyle w:val="NoParagraphStyle"/>
              <w:spacing w:line="240" w:lineRule="auto"/>
              <w:textAlignment w:val="auto"/>
              <w:rPr>
                <w:rFonts w:ascii="Times New Roman" w:hAnsi="Times New Roman" w:cs="Times New Roman"/>
                <w:color w:val="auto"/>
              </w:rPr>
            </w:pPr>
          </w:p>
        </w:tc>
        <w:tc>
          <w:tcPr>
            <w:tcW w:w="1204"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1C071E" w:rsidRPr="00273E37" w:rsidRDefault="001C071E" w:rsidP="000F42B7">
            <w:pPr>
              <w:pStyle w:val="NoParagraphStyle"/>
              <w:spacing w:line="240" w:lineRule="auto"/>
              <w:textAlignment w:val="auto"/>
              <w:rPr>
                <w:rFonts w:ascii="Times New Roman" w:hAnsi="Times New Roman" w:cs="Times New Roman"/>
                <w:color w:val="auto"/>
              </w:rPr>
            </w:pPr>
          </w:p>
        </w:tc>
        <w:tc>
          <w:tcPr>
            <w:tcW w:w="1080" w:type="dxa"/>
            <w:tcBorders>
              <w:top w:val="single" w:sz="4" w:space="0" w:color="000000"/>
              <w:left w:val="single" w:sz="4" w:space="0" w:color="000000"/>
              <w:bottom w:val="single" w:sz="4" w:space="0" w:color="000000"/>
              <w:right w:val="single" w:sz="4" w:space="0" w:color="000000"/>
            </w:tcBorders>
            <w:shd w:val="solid" w:color="000000" w:fill="auto"/>
            <w:tcMar>
              <w:top w:w="0" w:type="dxa"/>
              <w:left w:w="108" w:type="dxa"/>
              <w:bottom w:w="0" w:type="dxa"/>
              <w:right w:w="108" w:type="dxa"/>
            </w:tcMar>
            <w:vAlign w:val="center"/>
          </w:tcPr>
          <w:p w:rsidR="001C071E" w:rsidRPr="00273E37" w:rsidRDefault="001C071E" w:rsidP="001018CE">
            <w:pPr>
              <w:suppressAutoHyphens/>
              <w:jc w:val="right"/>
            </w:pPr>
            <w:r w:rsidRPr="00273E37">
              <w:t>$10,</w:t>
            </w:r>
            <w:r w:rsidR="001018CE" w:rsidRPr="00273E37">
              <w:t>13</w:t>
            </w:r>
            <w:r w:rsidR="001018CE">
              <w:t>8</w:t>
            </w:r>
          </w:p>
        </w:tc>
      </w:tr>
      <w:tr w:rsidR="001C071E" w:rsidRPr="00273E37" w:rsidTr="00273E37">
        <w:trPr>
          <w:trHeight w:val="423"/>
          <w:jc w:val="center"/>
        </w:trPr>
        <w:tc>
          <w:tcPr>
            <w:tcW w:w="9428"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C071E" w:rsidRPr="00273E37" w:rsidRDefault="001C071E" w:rsidP="000F42B7">
            <w:pPr>
              <w:suppressAutoHyphens/>
            </w:pPr>
            <w:r w:rsidRPr="00273E37">
              <w:t>*Based on 1983 individual annuity male mortality rate at 5 percent.</w:t>
            </w:r>
          </w:p>
        </w:tc>
      </w:tr>
    </w:tbl>
    <w:p w:rsidR="001C071E" w:rsidRPr="00273E37" w:rsidRDefault="001C071E" w:rsidP="001C071E">
      <w:pPr>
        <w:pStyle w:val="NoParagraphStyle"/>
        <w:suppressAutoHyphens/>
        <w:rPr>
          <w:rFonts w:ascii="Times New Roman" w:hAnsi="Times New Roman" w:cs="Times New Roman"/>
        </w:rPr>
      </w:pPr>
    </w:p>
    <w:p w:rsidR="00BB59D0" w:rsidRDefault="001C071E" w:rsidP="00E1727C">
      <w:pPr>
        <w:pStyle w:val="NoSpacing"/>
        <w:ind w:left="720"/>
        <w:rPr>
          <w:rFonts w:ascii="Times New Roman" w:hAnsi="Times New Roman" w:cs="Times New Roman"/>
          <w:sz w:val="24"/>
          <w:szCs w:val="24"/>
        </w:rPr>
      </w:pPr>
      <w:r w:rsidRPr="00273E37">
        <w:rPr>
          <w:rFonts w:ascii="Times New Roman" w:hAnsi="Times New Roman" w:cs="Times New Roman"/>
          <w:sz w:val="24"/>
          <w:szCs w:val="24"/>
        </w:rPr>
        <w:t xml:space="preserve">Mark’s top-heavy minimum benefit is $50 per month. Assume that the 401(k) plan in Table </w:t>
      </w:r>
      <w:r w:rsidR="00E1727C">
        <w:rPr>
          <w:rFonts w:ascii="Times New Roman" w:hAnsi="Times New Roman" w:cs="Times New Roman"/>
          <w:sz w:val="24"/>
          <w:szCs w:val="24"/>
        </w:rPr>
        <w:t>5</w:t>
      </w:r>
      <w:r w:rsidRPr="00273E37">
        <w:rPr>
          <w:rFonts w:ascii="Times New Roman" w:hAnsi="Times New Roman" w:cs="Times New Roman"/>
          <w:sz w:val="24"/>
          <w:szCs w:val="24"/>
        </w:rPr>
        <w:t xml:space="preserve">-2 also provides a profit sharing contribution to all eligible employees of 3 percent of </w:t>
      </w:r>
      <w:r w:rsidR="00BB59D0">
        <w:rPr>
          <w:rFonts w:ascii="Times New Roman" w:hAnsi="Times New Roman" w:cs="Times New Roman"/>
          <w:sz w:val="24"/>
          <w:szCs w:val="24"/>
        </w:rPr>
        <w:t xml:space="preserve">annual </w:t>
      </w:r>
      <w:r w:rsidRPr="00273E37">
        <w:rPr>
          <w:rFonts w:ascii="Times New Roman" w:hAnsi="Times New Roman" w:cs="Times New Roman"/>
          <w:sz w:val="24"/>
          <w:szCs w:val="24"/>
        </w:rPr>
        <w:t xml:space="preserve">pay; for Mark that would be $900. </w:t>
      </w:r>
    </w:p>
    <w:p w:rsidR="00BB59D0" w:rsidRDefault="00BB59D0" w:rsidP="00E1727C">
      <w:pPr>
        <w:pStyle w:val="NoSpacing"/>
        <w:ind w:left="720"/>
        <w:rPr>
          <w:rFonts w:ascii="Times New Roman" w:hAnsi="Times New Roman" w:cs="Times New Roman"/>
          <w:sz w:val="24"/>
          <w:szCs w:val="24"/>
        </w:rPr>
      </w:pPr>
    </w:p>
    <w:p w:rsidR="001C071E" w:rsidRDefault="001C071E" w:rsidP="00E1727C">
      <w:pPr>
        <w:pStyle w:val="NoSpacing"/>
        <w:ind w:left="720"/>
        <w:rPr>
          <w:rFonts w:ascii="Times New Roman" w:hAnsi="Times New Roman" w:cs="Times New Roman"/>
          <w:sz w:val="24"/>
          <w:szCs w:val="24"/>
        </w:rPr>
      </w:pPr>
      <w:r w:rsidRPr="00273E37">
        <w:rPr>
          <w:rFonts w:ascii="Times New Roman" w:hAnsi="Times New Roman" w:cs="Times New Roman"/>
          <w:sz w:val="24"/>
          <w:szCs w:val="24"/>
        </w:rPr>
        <w:t>The first step in the offset approach would be to calculate the future value of a single deposit of $900 with interest to Mark’s retirement age of 65 and convert that value to an annuity. The result of that calculation would be a lump sum at age 65 of $14,053 (using 7.5</w:t>
      </w:r>
      <w:r w:rsidR="00BB59D0">
        <w:rPr>
          <w:rFonts w:ascii="Times New Roman" w:hAnsi="Times New Roman" w:cs="Times New Roman"/>
          <w:sz w:val="24"/>
          <w:szCs w:val="24"/>
        </w:rPr>
        <w:t xml:space="preserve"> percent</w:t>
      </w:r>
      <w:r w:rsidR="00BB59D0" w:rsidRPr="00273E37">
        <w:rPr>
          <w:rFonts w:ascii="Times New Roman" w:hAnsi="Times New Roman" w:cs="Times New Roman"/>
          <w:sz w:val="24"/>
          <w:szCs w:val="24"/>
        </w:rPr>
        <w:t xml:space="preserve"> </w:t>
      </w:r>
      <w:r w:rsidRPr="00273E37">
        <w:rPr>
          <w:rFonts w:ascii="Times New Roman" w:hAnsi="Times New Roman" w:cs="Times New Roman"/>
          <w:sz w:val="24"/>
          <w:szCs w:val="24"/>
        </w:rPr>
        <w:t>interest), which would convert to a monthly annuity of $102.19</w:t>
      </w:r>
      <w:r w:rsidR="00E1727C">
        <w:rPr>
          <w:rFonts w:ascii="Times New Roman" w:hAnsi="Times New Roman" w:cs="Times New Roman"/>
          <w:sz w:val="24"/>
          <w:szCs w:val="24"/>
        </w:rPr>
        <w:t xml:space="preserve"> (based on 5</w:t>
      </w:r>
      <w:r w:rsidR="00BB59D0">
        <w:rPr>
          <w:rFonts w:ascii="Times New Roman" w:hAnsi="Times New Roman" w:cs="Times New Roman"/>
          <w:sz w:val="24"/>
          <w:szCs w:val="24"/>
        </w:rPr>
        <w:t xml:space="preserve"> percent </w:t>
      </w:r>
      <w:r w:rsidR="00E1727C">
        <w:rPr>
          <w:rFonts w:ascii="Times New Roman" w:hAnsi="Times New Roman" w:cs="Times New Roman"/>
          <w:sz w:val="24"/>
          <w:szCs w:val="24"/>
        </w:rPr>
        <w:t>interest and 1983 individual annuity male mortality)</w:t>
      </w:r>
      <w:r w:rsidRPr="00273E37">
        <w:rPr>
          <w:rFonts w:ascii="Times New Roman" w:hAnsi="Times New Roman" w:cs="Times New Roman"/>
          <w:sz w:val="24"/>
          <w:szCs w:val="24"/>
        </w:rPr>
        <w:t>, well in excess of the required top-heavy minimum of $50 per month. In Mark’s case the defined benefit plan would not have to fund the additional $17 per month benefit to bring his accrual to the top-heavy minimum amount because it is offset by the converted value of the c</w:t>
      </w:r>
      <w:r w:rsidR="00E1727C">
        <w:rPr>
          <w:rFonts w:ascii="Times New Roman" w:hAnsi="Times New Roman" w:cs="Times New Roman"/>
          <w:sz w:val="24"/>
          <w:szCs w:val="24"/>
        </w:rPr>
        <w:t>ontribution in the 401(k) plan.</w:t>
      </w:r>
    </w:p>
    <w:p w:rsidR="00E1727C" w:rsidRPr="00273E37" w:rsidRDefault="00E1727C" w:rsidP="00E1727C">
      <w:pPr>
        <w:pStyle w:val="NoSpacing"/>
        <w:ind w:left="720"/>
        <w:rPr>
          <w:rFonts w:ascii="Times New Roman" w:hAnsi="Times New Roman" w:cs="Times New Roman"/>
          <w:sz w:val="24"/>
          <w:szCs w:val="24"/>
        </w:rPr>
      </w:pPr>
    </w:p>
    <w:p w:rsidR="002F4F18" w:rsidRPr="00273E37" w:rsidRDefault="001C071E" w:rsidP="001C071E">
      <w:pPr>
        <w:pStyle w:val="NoSpacing"/>
        <w:ind w:left="720"/>
        <w:rPr>
          <w:rFonts w:ascii="Times New Roman" w:hAnsi="Times New Roman" w:cs="Times New Roman"/>
          <w:sz w:val="24"/>
          <w:szCs w:val="24"/>
        </w:rPr>
      </w:pPr>
      <w:r w:rsidRPr="00273E37">
        <w:rPr>
          <w:rFonts w:ascii="Times New Roman" w:hAnsi="Times New Roman" w:cs="Times New Roman"/>
          <w:sz w:val="24"/>
          <w:szCs w:val="24"/>
        </w:rPr>
        <w:t>In Michael’s case the lump-sum value at age 65 for his contribution of $720 (3</w:t>
      </w:r>
      <w:r w:rsidR="00BB59D0">
        <w:rPr>
          <w:rFonts w:ascii="Times New Roman" w:hAnsi="Times New Roman" w:cs="Times New Roman"/>
          <w:sz w:val="24"/>
          <w:szCs w:val="24"/>
        </w:rPr>
        <w:t xml:space="preserve"> percent</w:t>
      </w:r>
      <w:r w:rsidR="00BB59D0" w:rsidRPr="00273E37">
        <w:rPr>
          <w:rFonts w:ascii="Times New Roman" w:hAnsi="Times New Roman" w:cs="Times New Roman"/>
          <w:sz w:val="24"/>
          <w:szCs w:val="24"/>
        </w:rPr>
        <w:t xml:space="preserve"> </w:t>
      </w:r>
      <w:r w:rsidRPr="00273E37">
        <w:rPr>
          <w:rFonts w:ascii="Times New Roman" w:hAnsi="Times New Roman" w:cs="Times New Roman"/>
          <w:sz w:val="24"/>
          <w:szCs w:val="24"/>
        </w:rPr>
        <w:t xml:space="preserve">of </w:t>
      </w:r>
      <w:r w:rsidR="00BB59D0">
        <w:rPr>
          <w:rFonts w:ascii="Times New Roman" w:hAnsi="Times New Roman" w:cs="Times New Roman"/>
          <w:sz w:val="24"/>
          <w:szCs w:val="24"/>
        </w:rPr>
        <w:t xml:space="preserve">annual </w:t>
      </w:r>
      <w:r w:rsidRPr="00273E37">
        <w:rPr>
          <w:rFonts w:ascii="Times New Roman" w:hAnsi="Times New Roman" w:cs="Times New Roman"/>
          <w:sz w:val="24"/>
          <w:szCs w:val="24"/>
        </w:rPr>
        <w:t>pay) would be $5,074 (using 7.5</w:t>
      </w:r>
      <w:r w:rsidR="00BB59D0">
        <w:rPr>
          <w:rFonts w:ascii="Times New Roman" w:hAnsi="Times New Roman" w:cs="Times New Roman"/>
          <w:sz w:val="24"/>
          <w:szCs w:val="24"/>
        </w:rPr>
        <w:t xml:space="preserve"> percent</w:t>
      </w:r>
      <w:r w:rsidR="00BB59D0" w:rsidRPr="00273E37">
        <w:rPr>
          <w:rFonts w:ascii="Times New Roman" w:hAnsi="Times New Roman" w:cs="Times New Roman"/>
          <w:sz w:val="24"/>
          <w:szCs w:val="24"/>
        </w:rPr>
        <w:t xml:space="preserve"> </w:t>
      </w:r>
      <w:r w:rsidRPr="00273E37">
        <w:rPr>
          <w:rFonts w:ascii="Times New Roman" w:hAnsi="Times New Roman" w:cs="Times New Roman"/>
          <w:sz w:val="24"/>
          <w:szCs w:val="24"/>
        </w:rPr>
        <w:t>interest), which would convert to a monthly annuity of $37</w:t>
      </w:r>
      <w:r w:rsidR="00E1727C">
        <w:rPr>
          <w:rFonts w:ascii="Times New Roman" w:hAnsi="Times New Roman" w:cs="Times New Roman"/>
          <w:sz w:val="24"/>
          <w:szCs w:val="24"/>
        </w:rPr>
        <w:t xml:space="preserve"> (based on 5</w:t>
      </w:r>
      <w:r w:rsidR="00BB59D0">
        <w:rPr>
          <w:rFonts w:ascii="Times New Roman" w:hAnsi="Times New Roman" w:cs="Times New Roman"/>
          <w:sz w:val="24"/>
          <w:szCs w:val="24"/>
        </w:rPr>
        <w:t xml:space="preserve"> percent </w:t>
      </w:r>
      <w:r w:rsidR="00E1727C">
        <w:rPr>
          <w:rFonts w:ascii="Times New Roman" w:hAnsi="Times New Roman" w:cs="Times New Roman"/>
          <w:sz w:val="24"/>
          <w:szCs w:val="24"/>
        </w:rPr>
        <w:t>interest and 1983 individual annuity male mortality)</w:t>
      </w:r>
      <w:r w:rsidRPr="00273E37">
        <w:rPr>
          <w:rFonts w:ascii="Times New Roman" w:hAnsi="Times New Roman" w:cs="Times New Roman"/>
          <w:sz w:val="24"/>
          <w:szCs w:val="24"/>
        </w:rPr>
        <w:t>, by chance equal to the actual accrual in the defined benefit plan. In his case the defined benefit plan would have to fund the accrued benefit shortfall of $3 per month. If the value of Michael’s defined contribution deposit converted to a monthly annuity of $38 per month, the defined benefit plan would still have to provide the remaining $2 per month because his top-heavy minimum is $40 per month.</w:t>
      </w:r>
    </w:p>
    <w:p w:rsidR="001C071E" w:rsidRPr="00273E37" w:rsidRDefault="001C071E" w:rsidP="001C071E">
      <w:pPr>
        <w:pStyle w:val="NoSpacing"/>
        <w:ind w:left="720"/>
        <w:rPr>
          <w:rFonts w:ascii="Times New Roman" w:hAnsi="Times New Roman" w:cs="Times New Roman"/>
          <w:sz w:val="24"/>
          <w:szCs w:val="24"/>
        </w:rPr>
      </w:pPr>
    </w:p>
    <w:p w:rsidR="001C071E" w:rsidRPr="00273E37" w:rsidRDefault="001C071E" w:rsidP="002D1908">
      <w:pPr>
        <w:pStyle w:val="PG"/>
        <w:suppressAutoHyphens/>
        <w:ind w:left="720"/>
        <w:rPr>
          <w:rFonts w:ascii="Times New Roman" w:hAnsi="Times New Roman"/>
          <w:sz w:val="24"/>
          <w:szCs w:val="24"/>
        </w:rPr>
      </w:pPr>
      <w:r w:rsidRPr="00273E37">
        <w:rPr>
          <w:rFonts w:ascii="Times New Roman" w:hAnsi="Times New Roman"/>
          <w:b/>
          <w:bCs/>
          <w:sz w:val="24"/>
          <w:szCs w:val="24"/>
        </w:rPr>
        <w:t xml:space="preserve">Example </w:t>
      </w:r>
      <w:r w:rsidR="000F42B7">
        <w:rPr>
          <w:rFonts w:ascii="Times New Roman" w:hAnsi="Times New Roman"/>
          <w:b/>
          <w:bCs/>
          <w:sz w:val="24"/>
          <w:szCs w:val="24"/>
        </w:rPr>
        <w:t>8</w:t>
      </w:r>
      <w:r w:rsidRPr="00273E37">
        <w:rPr>
          <w:rFonts w:ascii="Times New Roman" w:hAnsi="Times New Roman"/>
          <w:b/>
          <w:bCs/>
          <w:sz w:val="24"/>
          <w:szCs w:val="24"/>
        </w:rPr>
        <w:t>. </w:t>
      </w:r>
      <w:r w:rsidRPr="00273E37">
        <w:rPr>
          <w:rFonts w:ascii="Times New Roman" w:hAnsi="Times New Roman"/>
          <w:sz w:val="24"/>
          <w:szCs w:val="24"/>
        </w:rPr>
        <w:t xml:space="preserve">The comparability approach with the benefits provided to Michael can be illustrated using Table </w:t>
      </w:r>
      <w:r w:rsidR="002D1908">
        <w:rPr>
          <w:rFonts w:ascii="Times New Roman" w:hAnsi="Times New Roman"/>
          <w:sz w:val="24"/>
          <w:szCs w:val="24"/>
        </w:rPr>
        <w:t>5</w:t>
      </w:r>
      <w:r w:rsidRPr="00273E37">
        <w:rPr>
          <w:rFonts w:ascii="Times New Roman" w:hAnsi="Times New Roman"/>
          <w:sz w:val="24"/>
          <w:szCs w:val="24"/>
        </w:rPr>
        <w:t>-4. In the defined benefit plan, Michael’s accrued benefit according to the plan provisions is $37 per month. If, in addition, the 401(k) plan made a 3-percent-of-pay contribution of $720, the value of that contribution when converted to an annuity was $37 per month. The sum of the two benefits of $74 per month is more than the required $50 per month top-heavy minimum benefit, so no additional accruals in the defined benefit plan or contributions in the 401(k) plan are required.</w:t>
      </w:r>
    </w:p>
    <w:p w:rsidR="005727D2" w:rsidRDefault="005727D2" w:rsidP="00606C88">
      <w:pPr>
        <w:pStyle w:val="NoSpacing"/>
        <w:ind w:left="720"/>
        <w:rPr>
          <w:rFonts w:ascii="Times New Roman" w:hAnsi="Times New Roman" w:cs="Times New Roman"/>
          <w:sz w:val="24"/>
          <w:szCs w:val="24"/>
        </w:rPr>
      </w:pPr>
      <w:r>
        <w:rPr>
          <w:rFonts w:ascii="Times New Roman" w:hAnsi="Times New Roman" w:cs="Times New Roman"/>
          <w:b/>
          <w:sz w:val="24"/>
          <w:szCs w:val="24"/>
        </w:rPr>
        <w:t>Q. 5.</w:t>
      </w:r>
      <w:r w:rsidR="000B38B4">
        <w:rPr>
          <w:rFonts w:ascii="Times New Roman" w:hAnsi="Times New Roman" w:cs="Times New Roman"/>
          <w:b/>
          <w:sz w:val="24"/>
          <w:szCs w:val="24"/>
        </w:rPr>
        <w:t>20</w:t>
      </w:r>
      <w:r>
        <w:rPr>
          <w:rFonts w:ascii="Times New Roman" w:hAnsi="Times New Roman" w:cs="Times New Roman"/>
          <w:b/>
          <w:sz w:val="24"/>
          <w:szCs w:val="24"/>
        </w:rPr>
        <w:t>:  What are the minimum benefit rules for a top-heavy aggregation group of defined contribution plans?</w:t>
      </w:r>
    </w:p>
    <w:p w:rsidR="005727D2" w:rsidRDefault="005727D2" w:rsidP="00606C88">
      <w:pPr>
        <w:pStyle w:val="NoSpacing"/>
        <w:ind w:left="720"/>
        <w:rPr>
          <w:rFonts w:ascii="Times New Roman" w:hAnsi="Times New Roman" w:cs="Times New Roman"/>
          <w:sz w:val="24"/>
          <w:szCs w:val="24"/>
        </w:rPr>
      </w:pPr>
    </w:p>
    <w:p w:rsidR="00972A15" w:rsidRDefault="00606C88" w:rsidP="00606C88">
      <w:pPr>
        <w:pStyle w:val="NoSpacing"/>
        <w:ind w:left="720"/>
        <w:rPr>
          <w:rFonts w:ascii="Times New Roman" w:hAnsi="Times New Roman" w:cs="Times New Roman"/>
          <w:sz w:val="24"/>
          <w:szCs w:val="24"/>
        </w:rPr>
      </w:pPr>
      <w:r w:rsidRPr="00AE0EF5">
        <w:rPr>
          <w:rFonts w:ascii="Times New Roman" w:hAnsi="Times New Roman" w:cs="Times New Roman"/>
          <w:sz w:val="24"/>
          <w:szCs w:val="24"/>
        </w:rPr>
        <w:t xml:space="preserve">If </w:t>
      </w:r>
      <w:r>
        <w:rPr>
          <w:rFonts w:ascii="Times New Roman" w:hAnsi="Times New Roman" w:cs="Times New Roman"/>
          <w:sz w:val="24"/>
          <w:szCs w:val="24"/>
        </w:rPr>
        <w:t xml:space="preserve">both plans </w:t>
      </w:r>
      <w:r w:rsidR="005727D2">
        <w:rPr>
          <w:rFonts w:ascii="Times New Roman" w:hAnsi="Times New Roman" w:cs="Times New Roman"/>
          <w:sz w:val="24"/>
          <w:szCs w:val="24"/>
        </w:rPr>
        <w:t xml:space="preserve">in the aggregation group </w:t>
      </w:r>
      <w:r>
        <w:rPr>
          <w:rFonts w:ascii="Times New Roman" w:hAnsi="Times New Roman" w:cs="Times New Roman"/>
          <w:sz w:val="24"/>
          <w:szCs w:val="24"/>
        </w:rPr>
        <w:t>are defined contribution plans, then</w:t>
      </w:r>
      <w:r w:rsidRPr="00AE0EF5">
        <w:rPr>
          <w:rFonts w:ascii="Times New Roman" w:hAnsi="Times New Roman" w:cs="Times New Roman"/>
          <w:sz w:val="24"/>
          <w:szCs w:val="24"/>
        </w:rPr>
        <w:t xml:space="preserve"> </w:t>
      </w:r>
      <w:r>
        <w:rPr>
          <w:rFonts w:ascii="Times New Roman" w:hAnsi="Times New Roman" w:cs="Times New Roman"/>
          <w:sz w:val="24"/>
          <w:szCs w:val="24"/>
        </w:rPr>
        <w:t xml:space="preserve">the combined contribution for each </w:t>
      </w:r>
      <w:proofErr w:type="spellStart"/>
      <w:r>
        <w:rPr>
          <w:rFonts w:ascii="Times New Roman" w:hAnsi="Times New Roman" w:cs="Times New Roman"/>
          <w:sz w:val="24"/>
          <w:szCs w:val="24"/>
        </w:rPr>
        <w:t>nonkey</w:t>
      </w:r>
      <w:proofErr w:type="spellEnd"/>
      <w:r>
        <w:rPr>
          <w:rFonts w:ascii="Times New Roman" w:hAnsi="Times New Roman" w:cs="Times New Roman"/>
          <w:sz w:val="24"/>
          <w:szCs w:val="24"/>
        </w:rPr>
        <w:t xml:space="preserve"> employee must be greater </w:t>
      </w:r>
      <w:r w:rsidR="004D444D">
        <w:rPr>
          <w:rFonts w:ascii="Times New Roman" w:hAnsi="Times New Roman" w:cs="Times New Roman"/>
          <w:sz w:val="24"/>
          <w:szCs w:val="24"/>
        </w:rPr>
        <w:t xml:space="preserve">than </w:t>
      </w:r>
      <w:r>
        <w:rPr>
          <w:rFonts w:ascii="Times New Roman" w:hAnsi="Times New Roman" w:cs="Times New Roman"/>
          <w:sz w:val="24"/>
          <w:szCs w:val="24"/>
        </w:rPr>
        <w:t>or equal to the top-heavy minimum contribution.</w:t>
      </w:r>
      <w:r w:rsidR="00EF673B">
        <w:rPr>
          <w:rFonts w:ascii="Times New Roman" w:hAnsi="Times New Roman" w:cs="Times New Roman"/>
          <w:sz w:val="24"/>
          <w:szCs w:val="24"/>
        </w:rPr>
        <w:t xml:space="preserve">  It is also possible for either </w:t>
      </w:r>
      <w:r w:rsidR="00EF673B" w:rsidRPr="00EF673B">
        <w:rPr>
          <w:rFonts w:ascii="Times New Roman" w:hAnsi="Times New Roman" w:cs="Times New Roman"/>
          <w:sz w:val="24"/>
          <w:szCs w:val="24"/>
        </w:rPr>
        <w:t xml:space="preserve">plan </w:t>
      </w:r>
      <w:r w:rsidR="00EF673B">
        <w:rPr>
          <w:rFonts w:ascii="Times New Roman" w:hAnsi="Times New Roman" w:cs="Times New Roman"/>
          <w:sz w:val="24"/>
          <w:szCs w:val="24"/>
        </w:rPr>
        <w:t>to</w:t>
      </w:r>
      <w:r w:rsidR="00EF673B" w:rsidRPr="00EF673B">
        <w:rPr>
          <w:rFonts w:ascii="Times New Roman" w:hAnsi="Times New Roman" w:cs="Times New Roman"/>
          <w:sz w:val="24"/>
          <w:szCs w:val="24"/>
        </w:rPr>
        <w:t xml:space="preserve"> provide the top-heavy minimum contribution</w:t>
      </w:r>
      <w:r w:rsidR="00EF673B">
        <w:rPr>
          <w:rFonts w:ascii="Times New Roman" w:hAnsi="Times New Roman" w:cs="Times New Roman"/>
          <w:sz w:val="24"/>
          <w:szCs w:val="24"/>
        </w:rPr>
        <w:t xml:space="preserve">.  </w:t>
      </w:r>
      <w:r w:rsidR="00EF673B" w:rsidRPr="00EF673B">
        <w:rPr>
          <w:rFonts w:ascii="Times New Roman" w:hAnsi="Times New Roman" w:cs="Times New Roman"/>
          <w:sz w:val="24"/>
          <w:szCs w:val="24"/>
        </w:rPr>
        <w:t>That would typically occur in a money purchase/profit sharing plan combination.</w:t>
      </w:r>
      <w:r w:rsidR="00EF673B">
        <w:rPr>
          <w:rFonts w:ascii="Times New Roman" w:hAnsi="Times New Roman" w:cs="Times New Roman"/>
          <w:sz w:val="24"/>
          <w:szCs w:val="24"/>
        </w:rPr>
        <w:t xml:space="preserve">  </w:t>
      </w:r>
      <w:r w:rsidR="00EF673B" w:rsidRPr="00EF673B">
        <w:rPr>
          <w:rFonts w:ascii="Times New Roman" w:hAnsi="Times New Roman" w:cs="Times New Roman"/>
          <w:sz w:val="24"/>
          <w:szCs w:val="24"/>
        </w:rPr>
        <w:t>In any case,</w:t>
      </w:r>
      <w:r w:rsidR="00EF673B">
        <w:rPr>
          <w:rFonts w:ascii="Times New Roman" w:hAnsi="Times New Roman" w:cs="Times New Roman"/>
          <w:sz w:val="24"/>
          <w:szCs w:val="24"/>
        </w:rPr>
        <w:t xml:space="preserve"> </w:t>
      </w:r>
      <w:r w:rsidR="00EF673B" w:rsidRPr="00EF673B">
        <w:rPr>
          <w:rFonts w:ascii="Times New Roman" w:hAnsi="Times New Roman" w:cs="Times New Roman"/>
          <w:sz w:val="24"/>
          <w:szCs w:val="24"/>
        </w:rPr>
        <w:t>the plan documents must specify which plan will be responsible for the top-heavy minimum contribution.</w:t>
      </w:r>
      <w:r w:rsidR="00F63587">
        <w:rPr>
          <w:rStyle w:val="FootnoteReference"/>
          <w:rFonts w:ascii="Times New Roman" w:hAnsi="Times New Roman" w:cs="Times New Roman"/>
          <w:sz w:val="24"/>
          <w:szCs w:val="24"/>
        </w:rPr>
        <w:footnoteReference w:id="30"/>
      </w:r>
      <w:r w:rsidR="00972A15">
        <w:rPr>
          <w:rFonts w:ascii="Times New Roman" w:hAnsi="Times New Roman" w:cs="Times New Roman"/>
          <w:sz w:val="24"/>
          <w:szCs w:val="24"/>
        </w:rPr>
        <w:t xml:space="preserve"> </w:t>
      </w:r>
    </w:p>
    <w:p w:rsidR="002D1908" w:rsidRPr="00273E37" w:rsidRDefault="002D1908" w:rsidP="002D1908">
      <w:pPr>
        <w:pStyle w:val="NoSpacing"/>
        <w:ind w:left="720"/>
        <w:rPr>
          <w:rFonts w:ascii="Times New Roman" w:hAnsi="Times New Roman" w:cs="Times New Roman"/>
          <w:sz w:val="24"/>
          <w:szCs w:val="24"/>
        </w:rPr>
      </w:pPr>
    </w:p>
    <w:p w:rsidR="002D1908" w:rsidRDefault="002D1908" w:rsidP="002D1908">
      <w:pPr>
        <w:pStyle w:val="NoSpacing"/>
        <w:ind w:left="720"/>
        <w:rPr>
          <w:rFonts w:ascii="Times New Roman" w:hAnsi="Times New Roman" w:cs="Times New Roman"/>
          <w:sz w:val="24"/>
          <w:szCs w:val="24"/>
        </w:rPr>
      </w:pPr>
      <w:r w:rsidRPr="002D1908">
        <w:rPr>
          <w:rFonts w:ascii="Times New Roman" w:hAnsi="Times New Roman" w:cs="Times New Roman"/>
          <w:b/>
          <w:sz w:val="24"/>
          <w:szCs w:val="24"/>
        </w:rPr>
        <w:t>Practi</w:t>
      </w:r>
      <w:r w:rsidR="004275F7">
        <w:rPr>
          <w:rFonts w:ascii="Times New Roman" w:hAnsi="Times New Roman" w:cs="Times New Roman"/>
          <w:b/>
          <w:sz w:val="24"/>
          <w:szCs w:val="24"/>
        </w:rPr>
        <w:t>ce Point:</w:t>
      </w:r>
      <w:r w:rsidRPr="002D1908">
        <w:rPr>
          <w:rFonts w:ascii="Times New Roman" w:hAnsi="Times New Roman" w:cs="Times New Roman"/>
          <w:sz w:val="24"/>
          <w:szCs w:val="24"/>
        </w:rPr>
        <w:t> </w:t>
      </w:r>
      <w:r>
        <w:rPr>
          <w:rFonts w:ascii="Times New Roman" w:hAnsi="Times New Roman" w:cs="Times New Roman"/>
          <w:sz w:val="24"/>
          <w:szCs w:val="24"/>
        </w:rPr>
        <w:t xml:space="preserve"> </w:t>
      </w:r>
      <w:r w:rsidRPr="00273E37">
        <w:rPr>
          <w:rFonts w:ascii="Times New Roman" w:hAnsi="Times New Roman" w:cs="Times New Roman"/>
          <w:sz w:val="24"/>
          <w:szCs w:val="24"/>
        </w:rPr>
        <w:t>In this combination the top-heavy minimum contribution should be provided in the money purchase plan because it has a required contribution. If the top-heavy minimum is provided in the profit sharing plan, it too now has a required contribution of 3 percent and is no longer discretionary.</w:t>
      </w:r>
    </w:p>
    <w:p w:rsidR="00F63587" w:rsidRPr="00273E37" w:rsidRDefault="00F63587" w:rsidP="002D1908">
      <w:pPr>
        <w:pStyle w:val="NoSpacing"/>
        <w:ind w:left="720"/>
        <w:rPr>
          <w:rFonts w:ascii="Times New Roman" w:hAnsi="Times New Roman" w:cs="Times New Roman"/>
          <w:sz w:val="24"/>
          <w:szCs w:val="24"/>
        </w:rPr>
      </w:pPr>
    </w:p>
    <w:p w:rsidR="002A7C66" w:rsidRDefault="00F63587" w:rsidP="002A7C66">
      <w:pPr>
        <w:pStyle w:val="NoSpacing"/>
        <w:ind w:left="720"/>
        <w:rPr>
          <w:rFonts w:ascii="Times New Roman" w:hAnsi="Times New Roman" w:cs="Times New Roman"/>
          <w:sz w:val="24"/>
          <w:szCs w:val="24"/>
        </w:rPr>
      </w:pPr>
      <w:r>
        <w:rPr>
          <w:rFonts w:ascii="Times New Roman" w:hAnsi="Times New Roman" w:cs="Times New Roman"/>
          <w:sz w:val="24"/>
          <w:szCs w:val="24"/>
        </w:rPr>
        <w:t>I</w:t>
      </w:r>
      <w:r w:rsidRPr="00273E37">
        <w:rPr>
          <w:rFonts w:ascii="Times New Roman" w:hAnsi="Times New Roman" w:cs="Times New Roman"/>
          <w:sz w:val="24"/>
          <w:szCs w:val="24"/>
        </w:rPr>
        <w:t xml:space="preserve">f </w:t>
      </w:r>
      <w:r w:rsidR="002D1908" w:rsidRPr="00273E37">
        <w:rPr>
          <w:rFonts w:ascii="Times New Roman" w:hAnsi="Times New Roman" w:cs="Times New Roman"/>
          <w:sz w:val="24"/>
          <w:szCs w:val="24"/>
        </w:rPr>
        <w:t xml:space="preserve">the profit sharing plan is a 401(k) plan allowing deferrals immediately or after six months and the money purchase plan requires one year of service to participate, the </w:t>
      </w:r>
      <w:r w:rsidR="002D1908" w:rsidRPr="00273E37">
        <w:rPr>
          <w:rFonts w:ascii="Times New Roman" w:hAnsi="Times New Roman" w:cs="Times New Roman"/>
          <w:sz w:val="24"/>
          <w:szCs w:val="24"/>
        </w:rPr>
        <w:lastRenderedPageBreak/>
        <w:t>401(k) plan is forced to make top-heavy minimum contributions for those employees who are not yet eligible for the money purchase plan.</w:t>
      </w:r>
    </w:p>
    <w:p w:rsidR="006B435C" w:rsidRDefault="006B435C" w:rsidP="002A7C66">
      <w:pPr>
        <w:pStyle w:val="NoSpacing"/>
        <w:rPr>
          <w:rFonts w:ascii="Times New Roman" w:hAnsi="Times New Roman" w:cs="Times New Roman"/>
          <w:sz w:val="24"/>
          <w:szCs w:val="24"/>
        </w:rPr>
      </w:pPr>
    </w:p>
    <w:p w:rsidR="002A7C66" w:rsidRDefault="006B435C" w:rsidP="006B435C">
      <w:pPr>
        <w:pStyle w:val="NoSpacing"/>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DB6ADD">
        <w:rPr>
          <w:rFonts w:ascii="Times New Roman" w:hAnsi="Times New Roman" w:cs="Times New Roman"/>
          <w:sz w:val="24"/>
          <w:szCs w:val="24"/>
        </w:rPr>
        <w:t>Fortunately</w:t>
      </w:r>
      <w:r w:rsidR="002D1908" w:rsidRPr="00273E37">
        <w:rPr>
          <w:rFonts w:ascii="Times New Roman" w:hAnsi="Times New Roman" w:cs="Times New Roman"/>
          <w:sz w:val="24"/>
          <w:szCs w:val="24"/>
        </w:rPr>
        <w:t xml:space="preserve"> this problem can also be solved with the adoption of the new</w:t>
      </w:r>
    </w:p>
    <w:p w:rsidR="002D1908" w:rsidRPr="00273E37" w:rsidRDefault="006B435C" w:rsidP="006B435C">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D1908" w:rsidRPr="00273E37">
        <w:rPr>
          <w:rFonts w:ascii="Times New Roman" w:hAnsi="Times New Roman" w:cs="Times New Roman"/>
          <w:sz w:val="24"/>
          <w:szCs w:val="24"/>
        </w:rPr>
        <w:t>safe</w:t>
      </w:r>
      <w:proofErr w:type="gramEnd"/>
      <w:r w:rsidR="002D1908" w:rsidRPr="00273E37">
        <w:rPr>
          <w:rFonts w:ascii="Times New Roman" w:hAnsi="Times New Roman" w:cs="Times New Roman"/>
          <w:sz w:val="24"/>
          <w:szCs w:val="24"/>
        </w:rPr>
        <w:t xml:space="preserve"> harbor 401(k) plan (see Chapter </w:t>
      </w:r>
      <w:r w:rsidR="002D1908">
        <w:rPr>
          <w:rFonts w:ascii="Times New Roman" w:hAnsi="Times New Roman" w:cs="Times New Roman"/>
          <w:sz w:val="24"/>
          <w:szCs w:val="24"/>
        </w:rPr>
        <w:t>6</w:t>
      </w:r>
      <w:r w:rsidR="002D1908" w:rsidRPr="00273E37">
        <w:rPr>
          <w:rFonts w:ascii="Times New Roman" w:hAnsi="Times New Roman" w:cs="Times New Roman"/>
          <w:sz w:val="24"/>
          <w:szCs w:val="24"/>
        </w:rPr>
        <w:t>).</w:t>
      </w:r>
    </w:p>
    <w:sectPr w:rsidR="002D1908" w:rsidRPr="00273E37" w:rsidSect="00BA5B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2A7" w:rsidRDefault="009952A7" w:rsidP="00AC4318">
      <w:r>
        <w:separator/>
      </w:r>
    </w:p>
  </w:endnote>
  <w:endnote w:type="continuationSeparator" w:id="0">
    <w:p w:rsidR="009952A7" w:rsidRDefault="009952A7" w:rsidP="00AC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LT Std Regular">
    <w:panose1 w:val="00000000000000000000"/>
    <w:charset w:val="00"/>
    <w:family w:val="auto"/>
    <w:notTrueType/>
    <w:pitch w:val="default"/>
    <w:sig w:usb0="00000003" w:usb1="00000000" w:usb2="00000000" w:usb3="00000000" w:csb0="00000001" w:csb1="00000000"/>
  </w:font>
  <w:font w:name="Minion Pro">
    <w:altName w:val="Cambria Math"/>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LT Std Bold Condensed">
    <w:panose1 w:val="00000000000000000000"/>
    <w:charset w:val="00"/>
    <w:family w:val="auto"/>
    <w:notTrueType/>
    <w:pitch w:val="default"/>
    <w:sig w:usb0="00000003" w:usb1="00000000" w:usb2="00000000" w:usb3="00000000" w:csb0="00000001" w:csb1="00000000"/>
  </w:font>
  <w:font w:name="Helvetica LT Std 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2A7" w:rsidRDefault="009952A7" w:rsidP="00AC4318">
      <w:r>
        <w:separator/>
      </w:r>
    </w:p>
  </w:footnote>
  <w:footnote w:type="continuationSeparator" w:id="0">
    <w:p w:rsidR="009952A7" w:rsidRDefault="009952A7" w:rsidP="00AC4318">
      <w:r>
        <w:continuationSeparator/>
      </w:r>
    </w:p>
  </w:footnote>
  <w:footnote w:id="1">
    <w:p w:rsidR="006B435C" w:rsidRDefault="006B435C">
      <w:pPr>
        <w:pStyle w:val="FootnoteText"/>
      </w:pPr>
      <w:r>
        <w:rPr>
          <w:rStyle w:val="FootnoteReference"/>
        </w:rPr>
        <w:footnoteRef/>
      </w:r>
      <w:r>
        <w:t xml:space="preserve"> IRC Sec. </w:t>
      </w:r>
      <w:proofErr w:type="gramStart"/>
      <w:r>
        <w:t>416(g</w:t>
      </w:r>
      <w:proofErr w:type="gramEnd"/>
      <w:r>
        <w:t>).</w:t>
      </w:r>
    </w:p>
  </w:footnote>
  <w:footnote w:id="2">
    <w:p w:rsidR="009952A7" w:rsidRDefault="009952A7">
      <w:pPr>
        <w:pStyle w:val="FootnoteText"/>
      </w:pPr>
      <w:r>
        <w:rPr>
          <w:rStyle w:val="FootnoteReference"/>
        </w:rPr>
        <w:footnoteRef/>
      </w:r>
      <w:r>
        <w:t xml:space="preserve"> IRC</w:t>
      </w:r>
      <w:r w:rsidRPr="006C7178">
        <w:t xml:space="preserve"> </w:t>
      </w:r>
      <w:r>
        <w:t>Sec.</w:t>
      </w:r>
      <w:r w:rsidRPr="006C7178">
        <w:t xml:space="preserve"> </w:t>
      </w:r>
      <w:proofErr w:type="gramStart"/>
      <w:r w:rsidRPr="006C7178">
        <w:t>416(</w:t>
      </w:r>
      <w:r>
        <w:t>a</w:t>
      </w:r>
      <w:proofErr w:type="gramEnd"/>
      <w:r w:rsidRPr="006C7178">
        <w:t>)</w:t>
      </w:r>
      <w:r>
        <w:t>.</w:t>
      </w:r>
    </w:p>
  </w:footnote>
  <w:footnote w:id="3">
    <w:p w:rsidR="009952A7" w:rsidRDefault="009952A7">
      <w:pPr>
        <w:pStyle w:val="FootnoteText"/>
      </w:pPr>
      <w:r>
        <w:rPr>
          <w:rStyle w:val="FootnoteReference"/>
        </w:rPr>
        <w:footnoteRef/>
      </w:r>
      <w:r>
        <w:t xml:space="preserve"> IRC</w:t>
      </w:r>
      <w:r w:rsidRPr="006C7178">
        <w:t xml:space="preserve"> </w:t>
      </w:r>
      <w:r>
        <w:t>Sec.</w:t>
      </w:r>
      <w:r w:rsidRPr="006C7178">
        <w:t xml:space="preserve"> 416(g</w:t>
      </w:r>
      <w:proofErr w:type="gramStart"/>
      <w:r w:rsidRPr="006C7178">
        <w:t>)(</w:t>
      </w:r>
      <w:proofErr w:type="gramEnd"/>
      <w:r w:rsidRPr="006C7178">
        <w:t>4)(C)</w:t>
      </w:r>
      <w:r>
        <w:t xml:space="preserve">; </w:t>
      </w:r>
      <w:r w:rsidRPr="006C7178">
        <w:t>Treas. Reg. § 1.416-1, T-22</w:t>
      </w:r>
      <w:r>
        <w:t>.</w:t>
      </w:r>
    </w:p>
  </w:footnote>
  <w:footnote w:id="4">
    <w:p w:rsidR="009952A7" w:rsidRDefault="009952A7">
      <w:pPr>
        <w:pStyle w:val="FootnoteText"/>
      </w:pPr>
      <w:r>
        <w:rPr>
          <w:rStyle w:val="FootnoteReference"/>
        </w:rPr>
        <w:footnoteRef/>
      </w:r>
      <w:r>
        <w:t xml:space="preserve"> </w:t>
      </w:r>
      <w:proofErr w:type="gramStart"/>
      <w:r w:rsidRPr="006C7178">
        <w:t>Treas. Reg. §§ 1.416-1, T-2</w:t>
      </w:r>
      <w:r>
        <w:t>5; 1.416-1, T-26</w:t>
      </w:r>
      <w:r>
        <w:t>.</w:t>
      </w:r>
      <w:proofErr w:type="gramEnd"/>
    </w:p>
  </w:footnote>
  <w:footnote w:id="5">
    <w:p w:rsidR="009952A7" w:rsidRDefault="009952A7">
      <w:pPr>
        <w:pStyle w:val="FootnoteText"/>
      </w:pPr>
      <w:r>
        <w:rPr>
          <w:rStyle w:val="FootnoteReference"/>
        </w:rPr>
        <w:footnoteRef/>
      </w:r>
      <w:r>
        <w:t xml:space="preserve"> IRC Sec.</w:t>
      </w:r>
      <w:r w:rsidRPr="006C7178">
        <w:t xml:space="preserve"> </w:t>
      </w:r>
      <w:proofErr w:type="gramStart"/>
      <w:r w:rsidRPr="006C7178">
        <w:t>416(</w:t>
      </w:r>
      <w:proofErr w:type="spellStart"/>
      <w:r>
        <w:t>i</w:t>
      </w:r>
      <w:proofErr w:type="spellEnd"/>
      <w:proofErr w:type="gramEnd"/>
      <w:r w:rsidRPr="006C7178">
        <w:t>)</w:t>
      </w:r>
      <w:r>
        <w:t>.</w:t>
      </w:r>
    </w:p>
  </w:footnote>
  <w:footnote w:id="6">
    <w:p w:rsidR="009952A7" w:rsidRDefault="009952A7">
      <w:pPr>
        <w:pStyle w:val="FootnoteText"/>
      </w:pPr>
      <w:r>
        <w:rPr>
          <w:rStyle w:val="FootnoteReference"/>
        </w:rPr>
        <w:footnoteRef/>
      </w:r>
      <w:r>
        <w:t xml:space="preserve"> </w:t>
      </w:r>
      <w:proofErr w:type="gramStart"/>
      <w:r w:rsidRPr="006C7178">
        <w:t>Treas. Reg. §§ 1.416-1, T-</w:t>
      </w:r>
      <w:r>
        <w:t>13; 1.416-1, T-14</w:t>
      </w:r>
      <w:r>
        <w:t>.</w:t>
      </w:r>
      <w:proofErr w:type="gramEnd"/>
    </w:p>
  </w:footnote>
  <w:footnote w:id="7">
    <w:p w:rsidR="009952A7" w:rsidRDefault="009952A7">
      <w:pPr>
        <w:pStyle w:val="FootnoteText"/>
      </w:pPr>
      <w:r>
        <w:rPr>
          <w:rStyle w:val="FootnoteReference"/>
        </w:rPr>
        <w:footnoteRef/>
      </w:r>
      <w:r>
        <w:t xml:space="preserve"> </w:t>
      </w:r>
      <w:proofErr w:type="gramStart"/>
      <w:r w:rsidRPr="006C7178">
        <w:t>Treas. Reg. § 1.416-1, T-</w:t>
      </w:r>
      <w:r>
        <w:t>9</w:t>
      </w:r>
      <w:r>
        <w:t>.</w:t>
      </w:r>
      <w:proofErr w:type="gramEnd"/>
    </w:p>
  </w:footnote>
  <w:footnote w:id="8">
    <w:p w:rsidR="009952A7" w:rsidRDefault="009952A7">
      <w:pPr>
        <w:pStyle w:val="FootnoteText"/>
      </w:pPr>
      <w:r>
        <w:rPr>
          <w:rStyle w:val="FootnoteReference"/>
        </w:rPr>
        <w:footnoteRef/>
      </w:r>
      <w:r>
        <w:t xml:space="preserve"> </w:t>
      </w:r>
      <w:proofErr w:type="gramStart"/>
      <w:r w:rsidRPr="006C7178">
        <w:t>Treas. Reg. § 1.416-1, T-</w:t>
      </w:r>
      <w:r>
        <w:t>6</w:t>
      </w:r>
      <w:r>
        <w:t>.</w:t>
      </w:r>
      <w:proofErr w:type="gramEnd"/>
      <w:r>
        <w:t xml:space="preserve"> </w:t>
      </w:r>
      <w:r w:rsidRPr="002A7C66">
        <w:t>For nondiscrimination and coverage, see Chapter 4.</w:t>
      </w:r>
      <w:r>
        <w:rPr>
          <w:sz w:val="24"/>
          <w:szCs w:val="24"/>
        </w:rPr>
        <w:t xml:space="preserve"> </w:t>
      </w:r>
    </w:p>
  </w:footnote>
  <w:footnote w:id="9">
    <w:p w:rsidR="009952A7" w:rsidRDefault="009952A7">
      <w:pPr>
        <w:pStyle w:val="FootnoteText"/>
      </w:pPr>
      <w:r>
        <w:rPr>
          <w:rStyle w:val="FootnoteReference"/>
        </w:rPr>
        <w:footnoteRef/>
      </w:r>
      <w:r>
        <w:t xml:space="preserve"> IRC Sec.</w:t>
      </w:r>
      <w:r w:rsidRPr="006C7178">
        <w:t xml:space="preserve"> 416(</w:t>
      </w:r>
      <w:r>
        <w:t>g</w:t>
      </w:r>
      <w:proofErr w:type="gramStart"/>
      <w:r w:rsidRPr="006C7178">
        <w:t>)(</w:t>
      </w:r>
      <w:proofErr w:type="gramEnd"/>
      <w:r>
        <w:t>2</w:t>
      </w:r>
      <w:r w:rsidRPr="006C7178">
        <w:t>)</w:t>
      </w:r>
      <w:r>
        <w:t xml:space="preserve">(A)(ii); </w:t>
      </w:r>
      <w:r w:rsidRPr="006C7178">
        <w:t>Treas. Reg. §§ 1.416-1, T-</w:t>
      </w:r>
      <w:r>
        <w:t xml:space="preserve">7; </w:t>
      </w:r>
      <w:r w:rsidRPr="006C7178">
        <w:t>1.416-1, T-</w:t>
      </w:r>
      <w:r>
        <w:t>11.</w:t>
      </w:r>
    </w:p>
  </w:footnote>
  <w:footnote w:id="10">
    <w:p w:rsidR="009952A7" w:rsidRDefault="009952A7">
      <w:pPr>
        <w:pStyle w:val="FootnoteText"/>
      </w:pPr>
      <w:r>
        <w:rPr>
          <w:rStyle w:val="FootnoteReference"/>
        </w:rPr>
        <w:footnoteRef/>
      </w:r>
      <w:r>
        <w:t xml:space="preserve"> IRC Sec.</w:t>
      </w:r>
      <w:r w:rsidRPr="006C7178">
        <w:t xml:space="preserve"> 416(g</w:t>
      </w:r>
      <w:proofErr w:type="gramStart"/>
      <w:r w:rsidRPr="006C7178">
        <w:t>)(</w:t>
      </w:r>
      <w:proofErr w:type="gramEnd"/>
      <w:r>
        <w:t>2</w:t>
      </w:r>
      <w:r w:rsidRPr="006C7178">
        <w:t>)</w:t>
      </w:r>
      <w:r>
        <w:t>.</w:t>
      </w:r>
    </w:p>
  </w:footnote>
  <w:footnote w:id="11">
    <w:p w:rsidR="009952A7" w:rsidRDefault="009952A7">
      <w:pPr>
        <w:pStyle w:val="FootnoteText"/>
      </w:pPr>
      <w:r>
        <w:rPr>
          <w:rStyle w:val="FootnoteReference"/>
        </w:rPr>
        <w:footnoteRef/>
      </w:r>
      <w:r>
        <w:t xml:space="preserve"> </w:t>
      </w:r>
      <w:proofErr w:type="gramStart"/>
      <w:r w:rsidRPr="006C7178">
        <w:t>Treas. Reg. § 1.416-1, T-</w:t>
      </w:r>
      <w:r>
        <w:t>28</w:t>
      </w:r>
      <w:r>
        <w:t>.</w:t>
      </w:r>
      <w:proofErr w:type="gramEnd"/>
    </w:p>
  </w:footnote>
  <w:footnote w:id="12">
    <w:p w:rsidR="009952A7" w:rsidRDefault="009952A7">
      <w:pPr>
        <w:pStyle w:val="FootnoteText"/>
      </w:pPr>
      <w:r>
        <w:rPr>
          <w:rStyle w:val="FootnoteReference"/>
        </w:rPr>
        <w:footnoteRef/>
      </w:r>
      <w:r>
        <w:t xml:space="preserve"> IRC Sec.</w:t>
      </w:r>
      <w:r w:rsidRPr="006C7178">
        <w:t xml:space="preserve"> 416(g</w:t>
      </w:r>
      <w:proofErr w:type="gramStart"/>
      <w:r w:rsidRPr="006C7178">
        <w:t>)(</w:t>
      </w:r>
      <w:proofErr w:type="gramEnd"/>
      <w:r>
        <w:t>3</w:t>
      </w:r>
      <w:r w:rsidRPr="006C7178">
        <w:t>)</w:t>
      </w:r>
      <w:r>
        <w:t xml:space="preserve">; </w:t>
      </w:r>
      <w:r w:rsidRPr="006C7178">
        <w:t>Treas. Reg. §§ 1.416-1, T-</w:t>
      </w:r>
      <w:r>
        <w:t>30; 1.416-1, T-31</w:t>
      </w:r>
      <w:r>
        <w:t>.</w:t>
      </w:r>
    </w:p>
  </w:footnote>
  <w:footnote w:id="13">
    <w:p w:rsidR="009952A7" w:rsidRDefault="009952A7">
      <w:pPr>
        <w:pStyle w:val="FootnoteText"/>
      </w:pPr>
      <w:r>
        <w:rPr>
          <w:rStyle w:val="FootnoteReference"/>
        </w:rPr>
        <w:footnoteRef/>
      </w:r>
      <w:r>
        <w:t xml:space="preserve"> IRC Sec.</w:t>
      </w:r>
      <w:r w:rsidRPr="006C7178">
        <w:t xml:space="preserve"> 416(g</w:t>
      </w:r>
      <w:proofErr w:type="gramStart"/>
      <w:r w:rsidRPr="006C7178">
        <w:t>)(</w:t>
      </w:r>
      <w:proofErr w:type="gramEnd"/>
      <w:r w:rsidRPr="006C7178">
        <w:t>4)(</w:t>
      </w:r>
      <w:r>
        <w:t>A</w:t>
      </w:r>
      <w:r w:rsidRPr="006C7178">
        <w:t>)</w:t>
      </w:r>
      <w:r>
        <w:t xml:space="preserve">; </w:t>
      </w:r>
      <w:r w:rsidRPr="006C7178">
        <w:t>Treas. Reg. § 1.416-1, T-</w:t>
      </w:r>
      <w:r>
        <w:t>3</w:t>
      </w:r>
      <w:r w:rsidRPr="006C7178">
        <w:t>2</w:t>
      </w:r>
      <w:r>
        <w:t>.</w:t>
      </w:r>
    </w:p>
  </w:footnote>
  <w:footnote w:id="14">
    <w:p w:rsidR="009952A7" w:rsidRDefault="009952A7">
      <w:pPr>
        <w:pStyle w:val="FootnoteText"/>
      </w:pPr>
      <w:r>
        <w:rPr>
          <w:rStyle w:val="FootnoteReference"/>
        </w:rPr>
        <w:footnoteRef/>
      </w:r>
      <w:r>
        <w:t xml:space="preserve"> IRC Sec.</w:t>
      </w:r>
      <w:r w:rsidRPr="006C7178">
        <w:t xml:space="preserve"> </w:t>
      </w:r>
      <w:proofErr w:type="gramStart"/>
      <w:r w:rsidRPr="006C7178">
        <w:t>416(</w:t>
      </w:r>
      <w:r>
        <w:t>a</w:t>
      </w:r>
      <w:proofErr w:type="gramEnd"/>
      <w:r w:rsidRPr="006C7178">
        <w:t>)</w:t>
      </w:r>
      <w:r>
        <w:t>.</w:t>
      </w:r>
    </w:p>
  </w:footnote>
  <w:footnote w:id="15">
    <w:p w:rsidR="009952A7" w:rsidRDefault="009952A7">
      <w:pPr>
        <w:pStyle w:val="FootnoteText"/>
      </w:pPr>
      <w:r>
        <w:rPr>
          <w:rStyle w:val="FootnoteReference"/>
        </w:rPr>
        <w:footnoteRef/>
      </w:r>
      <w:r>
        <w:t xml:space="preserve"> IRC Sec.</w:t>
      </w:r>
      <w:r w:rsidRPr="006C7178">
        <w:t xml:space="preserve"> 416(</w:t>
      </w:r>
      <w:r>
        <w:t>b</w:t>
      </w:r>
      <w:r w:rsidRPr="006C7178">
        <w:t>)</w:t>
      </w:r>
      <w:r>
        <w:t xml:space="preserve">; </w:t>
      </w:r>
      <w:r w:rsidRPr="006C7178">
        <w:t xml:space="preserve">Treas. Reg. § 1.416-1, </w:t>
      </w:r>
      <w:r>
        <w:t>V</w:t>
      </w:r>
      <w:r w:rsidRPr="006C7178">
        <w:t>-2</w:t>
      </w:r>
      <w:r>
        <w:t>; IRC Sec.</w:t>
      </w:r>
      <w:r w:rsidRPr="006C7178">
        <w:t xml:space="preserve"> 41</w:t>
      </w:r>
      <w:r>
        <w:t>1</w:t>
      </w:r>
      <w:r w:rsidRPr="006C7178">
        <w:t>(</w:t>
      </w:r>
      <w:r>
        <w:t>a</w:t>
      </w:r>
      <w:proofErr w:type="gramStart"/>
      <w:r w:rsidRPr="006C7178">
        <w:t>)</w:t>
      </w:r>
      <w:r>
        <w:t>(</w:t>
      </w:r>
      <w:proofErr w:type="gramEnd"/>
      <w:r>
        <w:t>4).</w:t>
      </w:r>
    </w:p>
  </w:footnote>
  <w:footnote w:id="16">
    <w:p w:rsidR="009952A7" w:rsidRDefault="009952A7">
      <w:pPr>
        <w:pStyle w:val="FootnoteText"/>
      </w:pPr>
      <w:r>
        <w:rPr>
          <w:rStyle w:val="FootnoteReference"/>
        </w:rPr>
        <w:footnoteRef/>
      </w:r>
      <w:r>
        <w:t xml:space="preserve"> IRC Sec.</w:t>
      </w:r>
      <w:r w:rsidRPr="006C7178">
        <w:t xml:space="preserve"> 41</w:t>
      </w:r>
      <w:r>
        <w:t>1</w:t>
      </w:r>
      <w:r w:rsidRPr="006C7178">
        <w:t>(</w:t>
      </w:r>
      <w:r>
        <w:t>a</w:t>
      </w:r>
      <w:proofErr w:type="gramStart"/>
      <w:r w:rsidRPr="006C7178">
        <w:t>)</w:t>
      </w:r>
      <w:r>
        <w:t>(</w:t>
      </w:r>
      <w:proofErr w:type="gramEnd"/>
      <w:r>
        <w:t>10).</w:t>
      </w:r>
    </w:p>
  </w:footnote>
  <w:footnote w:id="17">
    <w:p w:rsidR="009952A7" w:rsidRDefault="009952A7">
      <w:pPr>
        <w:pStyle w:val="FootnoteText"/>
      </w:pPr>
      <w:r>
        <w:rPr>
          <w:rStyle w:val="FootnoteReference"/>
        </w:rPr>
        <w:footnoteRef/>
      </w:r>
      <w:r>
        <w:t xml:space="preserve"> IRC Sec.</w:t>
      </w:r>
      <w:r w:rsidRPr="006C7178">
        <w:t xml:space="preserve"> 416(</w:t>
      </w:r>
      <w:r>
        <w:t>c</w:t>
      </w:r>
      <w:proofErr w:type="gramStart"/>
      <w:r w:rsidRPr="006C7178">
        <w:t>)(</w:t>
      </w:r>
      <w:proofErr w:type="gramEnd"/>
      <w:r>
        <w:t>1</w:t>
      </w:r>
      <w:r w:rsidRPr="006C7178">
        <w:t>)</w:t>
      </w:r>
      <w:r>
        <w:t xml:space="preserve">; </w:t>
      </w:r>
      <w:r w:rsidRPr="006C7178">
        <w:t xml:space="preserve">Treas. Reg. § 1.416-1, </w:t>
      </w:r>
      <w:r>
        <w:t>M</w:t>
      </w:r>
      <w:r w:rsidRPr="006C7178">
        <w:t>-</w:t>
      </w:r>
      <w:r>
        <w:t>2</w:t>
      </w:r>
      <w:r>
        <w:t>.</w:t>
      </w:r>
    </w:p>
  </w:footnote>
  <w:footnote w:id="18">
    <w:p w:rsidR="009952A7" w:rsidRDefault="009952A7">
      <w:pPr>
        <w:pStyle w:val="FootnoteText"/>
      </w:pPr>
      <w:r>
        <w:rPr>
          <w:rStyle w:val="FootnoteReference"/>
        </w:rPr>
        <w:footnoteRef/>
      </w:r>
      <w:r>
        <w:t xml:space="preserve"> </w:t>
      </w:r>
      <w:proofErr w:type="gramStart"/>
      <w:r w:rsidRPr="006C7178">
        <w:t xml:space="preserve">Treas. Reg. § 1.416-1, </w:t>
      </w:r>
      <w:r>
        <w:t>M</w:t>
      </w:r>
      <w:r w:rsidRPr="006C7178">
        <w:t>-</w:t>
      </w:r>
      <w:r>
        <w:t>4</w:t>
      </w:r>
      <w:r>
        <w:t>.</w:t>
      </w:r>
      <w:proofErr w:type="gramEnd"/>
    </w:p>
  </w:footnote>
  <w:footnote w:id="19">
    <w:p w:rsidR="009952A7" w:rsidRDefault="009952A7">
      <w:pPr>
        <w:pStyle w:val="FootnoteText"/>
      </w:pPr>
      <w:r>
        <w:rPr>
          <w:rStyle w:val="FootnoteReference"/>
        </w:rPr>
        <w:footnoteRef/>
      </w:r>
      <w:r>
        <w:t xml:space="preserve"> IRC Sec.</w:t>
      </w:r>
      <w:r w:rsidRPr="006C7178">
        <w:t xml:space="preserve"> 416(</w:t>
      </w:r>
      <w:r>
        <w:t>c</w:t>
      </w:r>
      <w:proofErr w:type="gramStart"/>
      <w:r w:rsidRPr="006C7178">
        <w:t>)(</w:t>
      </w:r>
      <w:proofErr w:type="gramEnd"/>
      <w:r>
        <w:t>2</w:t>
      </w:r>
      <w:r w:rsidRPr="006C7178">
        <w:t>)</w:t>
      </w:r>
      <w:r>
        <w:t>.</w:t>
      </w:r>
    </w:p>
  </w:footnote>
  <w:footnote w:id="20">
    <w:p w:rsidR="009952A7" w:rsidRDefault="009952A7">
      <w:pPr>
        <w:pStyle w:val="FootnoteText"/>
      </w:pPr>
      <w:r>
        <w:rPr>
          <w:rStyle w:val="FootnoteReference"/>
        </w:rPr>
        <w:footnoteRef/>
      </w:r>
      <w:r>
        <w:t xml:space="preserve"> </w:t>
      </w:r>
      <w:proofErr w:type="gramStart"/>
      <w:r w:rsidRPr="006C7178">
        <w:t xml:space="preserve">Treas. Reg. § 1.416-1, </w:t>
      </w:r>
      <w:r>
        <w:t>M</w:t>
      </w:r>
      <w:r w:rsidRPr="006C7178">
        <w:t>-</w:t>
      </w:r>
      <w:r>
        <w:t>20</w:t>
      </w:r>
      <w:r>
        <w:t>.</w:t>
      </w:r>
      <w:proofErr w:type="gramEnd"/>
    </w:p>
  </w:footnote>
  <w:footnote w:id="21">
    <w:p w:rsidR="009952A7" w:rsidRDefault="009952A7">
      <w:pPr>
        <w:pStyle w:val="FootnoteText"/>
      </w:pPr>
      <w:r>
        <w:rPr>
          <w:rStyle w:val="FootnoteReference"/>
        </w:rPr>
        <w:footnoteRef/>
      </w:r>
      <w:r>
        <w:t xml:space="preserve"> </w:t>
      </w:r>
      <w:proofErr w:type="gramStart"/>
      <w:r w:rsidRPr="006C7178">
        <w:t xml:space="preserve">Treas. Reg. § 1.416-1, </w:t>
      </w:r>
      <w:r>
        <w:t>M</w:t>
      </w:r>
      <w:r w:rsidRPr="006C7178">
        <w:t>-</w:t>
      </w:r>
      <w:r>
        <w:t>18</w:t>
      </w:r>
      <w:r>
        <w:t>.</w:t>
      </w:r>
      <w:proofErr w:type="gramEnd"/>
    </w:p>
  </w:footnote>
  <w:footnote w:id="22">
    <w:p w:rsidR="009952A7" w:rsidRDefault="009952A7">
      <w:pPr>
        <w:pStyle w:val="FootnoteText"/>
      </w:pPr>
      <w:r>
        <w:rPr>
          <w:rStyle w:val="FootnoteReference"/>
        </w:rPr>
        <w:footnoteRef/>
      </w:r>
      <w:r>
        <w:t xml:space="preserve"> </w:t>
      </w:r>
      <w:proofErr w:type="gramStart"/>
      <w:r w:rsidRPr="006C7178">
        <w:t xml:space="preserve">Treas. Reg. § 1.416-1, </w:t>
      </w:r>
      <w:r>
        <w:t>M</w:t>
      </w:r>
      <w:r w:rsidRPr="006C7178">
        <w:t>-</w:t>
      </w:r>
      <w:r>
        <w:t>19</w:t>
      </w:r>
      <w:r>
        <w:t>.</w:t>
      </w:r>
      <w:proofErr w:type="gramEnd"/>
    </w:p>
  </w:footnote>
  <w:footnote w:id="23">
    <w:p w:rsidR="009952A7" w:rsidRDefault="009952A7">
      <w:pPr>
        <w:pStyle w:val="FootnoteText"/>
      </w:pPr>
      <w:r>
        <w:rPr>
          <w:rStyle w:val="FootnoteReference"/>
        </w:rPr>
        <w:footnoteRef/>
      </w:r>
      <w:r>
        <w:t xml:space="preserve"> </w:t>
      </w:r>
      <w:proofErr w:type="gramStart"/>
      <w:r w:rsidRPr="006C7178">
        <w:t xml:space="preserve">Treas. Reg. § 1.416-1, </w:t>
      </w:r>
      <w:r>
        <w:t>M</w:t>
      </w:r>
      <w:r w:rsidRPr="006C7178">
        <w:t>-</w:t>
      </w:r>
      <w:r>
        <w:t>10</w:t>
      </w:r>
      <w:r>
        <w:t>.</w:t>
      </w:r>
      <w:proofErr w:type="gramEnd"/>
    </w:p>
  </w:footnote>
  <w:footnote w:id="24">
    <w:p w:rsidR="009952A7" w:rsidRDefault="009952A7">
      <w:pPr>
        <w:pStyle w:val="FootnoteText"/>
      </w:pPr>
      <w:r>
        <w:rPr>
          <w:rStyle w:val="FootnoteReference"/>
        </w:rPr>
        <w:footnoteRef/>
      </w:r>
      <w:r>
        <w:t xml:space="preserve"> </w:t>
      </w:r>
      <w:proofErr w:type="gramStart"/>
      <w:r w:rsidRPr="00077F32">
        <w:t>Treas. Reg. § 1.416-1, M-18</w:t>
      </w:r>
      <w:r>
        <w:t>.</w:t>
      </w:r>
      <w:proofErr w:type="gramEnd"/>
    </w:p>
  </w:footnote>
  <w:footnote w:id="25">
    <w:p w:rsidR="009952A7" w:rsidRDefault="009952A7">
      <w:pPr>
        <w:pStyle w:val="FootnoteText"/>
      </w:pPr>
      <w:r>
        <w:rPr>
          <w:rStyle w:val="FootnoteReference"/>
        </w:rPr>
        <w:footnoteRef/>
      </w:r>
      <w:r>
        <w:t xml:space="preserve"> </w:t>
      </w:r>
      <w:proofErr w:type="gramStart"/>
      <w:r w:rsidRPr="006C7178">
        <w:t xml:space="preserve">Treas. Reg. § 1.416-1, </w:t>
      </w:r>
      <w:r>
        <w:t>M</w:t>
      </w:r>
      <w:r w:rsidRPr="006C7178">
        <w:t>-</w:t>
      </w:r>
      <w:r>
        <w:t>19</w:t>
      </w:r>
      <w:r>
        <w:t>.</w:t>
      </w:r>
      <w:proofErr w:type="gramEnd"/>
    </w:p>
  </w:footnote>
  <w:footnote w:id="26">
    <w:p w:rsidR="009952A7" w:rsidRDefault="009952A7">
      <w:pPr>
        <w:pStyle w:val="FootnoteText"/>
      </w:pPr>
      <w:r>
        <w:rPr>
          <w:rStyle w:val="FootnoteReference"/>
        </w:rPr>
        <w:footnoteRef/>
      </w:r>
      <w:r>
        <w:t xml:space="preserve"> IRC Sec.</w:t>
      </w:r>
      <w:r w:rsidRPr="006C7178">
        <w:t xml:space="preserve"> 416(</w:t>
      </w:r>
      <w:r>
        <w:t>g</w:t>
      </w:r>
      <w:proofErr w:type="gramStart"/>
      <w:r w:rsidRPr="006C7178">
        <w:t>)(</w:t>
      </w:r>
      <w:proofErr w:type="gramEnd"/>
      <w:r>
        <w:t>4</w:t>
      </w:r>
      <w:r w:rsidRPr="006C7178">
        <w:t>)</w:t>
      </w:r>
      <w:r>
        <w:t>(H); 401(k)(12).</w:t>
      </w:r>
    </w:p>
  </w:footnote>
  <w:footnote w:id="27">
    <w:p w:rsidR="009952A7" w:rsidRDefault="009952A7">
      <w:pPr>
        <w:pStyle w:val="FootnoteText"/>
      </w:pPr>
      <w:r>
        <w:rPr>
          <w:rStyle w:val="FootnoteReference"/>
        </w:rPr>
        <w:footnoteRef/>
      </w:r>
      <w:r>
        <w:t xml:space="preserve"> </w:t>
      </w:r>
      <w:proofErr w:type="gramStart"/>
      <w:r w:rsidRPr="006C7178">
        <w:t xml:space="preserve">Treas. Reg. § 1.416-1, </w:t>
      </w:r>
      <w:r>
        <w:t>M</w:t>
      </w:r>
      <w:r w:rsidRPr="006C7178">
        <w:t>-</w:t>
      </w:r>
      <w:r>
        <w:t>12</w:t>
      </w:r>
      <w:r>
        <w:t>.</w:t>
      </w:r>
      <w:proofErr w:type="gramEnd"/>
    </w:p>
  </w:footnote>
  <w:footnote w:id="28">
    <w:p w:rsidR="009952A7" w:rsidRDefault="009952A7">
      <w:pPr>
        <w:pStyle w:val="FootnoteText"/>
      </w:pPr>
      <w:r>
        <w:rPr>
          <w:rStyle w:val="FootnoteReference"/>
        </w:rPr>
        <w:footnoteRef/>
      </w:r>
      <w:r>
        <w:t xml:space="preserve"> IRC Sec.</w:t>
      </w:r>
      <w:r w:rsidRPr="006C7178">
        <w:t xml:space="preserve"> 416(</w:t>
      </w:r>
      <w:r>
        <w:t>g</w:t>
      </w:r>
      <w:proofErr w:type="gramStart"/>
      <w:r w:rsidRPr="006C7178">
        <w:t>)(</w:t>
      </w:r>
      <w:proofErr w:type="gramEnd"/>
      <w:r>
        <w:t>2</w:t>
      </w:r>
      <w:r w:rsidRPr="006C7178">
        <w:t>)</w:t>
      </w:r>
      <w:r>
        <w:t xml:space="preserve">(A)(ii); </w:t>
      </w:r>
      <w:r w:rsidRPr="006C7178">
        <w:t xml:space="preserve">Treas. Reg. § 1.416-1, </w:t>
      </w:r>
      <w:r>
        <w:t>M</w:t>
      </w:r>
      <w:r w:rsidRPr="006C7178">
        <w:t>-</w:t>
      </w:r>
      <w:r>
        <w:t>12</w:t>
      </w:r>
      <w:r>
        <w:t>.</w:t>
      </w:r>
    </w:p>
  </w:footnote>
  <w:footnote w:id="29">
    <w:p w:rsidR="009952A7" w:rsidRDefault="009952A7">
      <w:pPr>
        <w:pStyle w:val="FootnoteText"/>
      </w:pPr>
      <w:r>
        <w:rPr>
          <w:rStyle w:val="FootnoteReference"/>
        </w:rPr>
        <w:footnoteRef/>
      </w:r>
      <w:r>
        <w:t xml:space="preserve"> </w:t>
      </w:r>
      <w:proofErr w:type="gramStart"/>
      <w:r w:rsidRPr="006C7178">
        <w:t xml:space="preserve">Treas. Reg. § 1.416-1, </w:t>
      </w:r>
      <w:r>
        <w:t>M</w:t>
      </w:r>
      <w:r w:rsidRPr="006C7178">
        <w:t>-</w:t>
      </w:r>
      <w:r>
        <w:t>15</w:t>
      </w:r>
      <w:r>
        <w:t>.</w:t>
      </w:r>
      <w:proofErr w:type="gramEnd"/>
    </w:p>
  </w:footnote>
  <w:footnote w:id="30">
    <w:p w:rsidR="009952A7" w:rsidRDefault="009952A7">
      <w:pPr>
        <w:pStyle w:val="FootnoteText"/>
      </w:pPr>
      <w:r>
        <w:rPr>
          <w:rStyle w:val="FootnoteReference"/>
        </w:rPr>
        <w:footnoteRef/>
      </w:r>
      <w:r>
        <w:t xml:space="preserve"> </w:t>
      </w:r>
      <w:proofErr w:type="gramStart"/>
      <w:r w:rsidRPr="0087637E">
        <w:t>Treas. Reg. §§ 1.416-1, T-12; 1.416-1, T-15</w:t>
      </w:r>
      <w: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3EB8"/>
    <w:multiLevelType w:val="hybridMultilevel"/>
    <w:tmpl w:val="ADA04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551445"/>
    <w:multiLevelType w:val="hybridMultilevel"/>
    <w:tmpl w:val="B62AD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E4689D"/>
    <w:multiLevelType w:val="hybridMultilevel"/>
    <w:tmpl w:val="3AD0CC5E"/>
    <w:lvl w:ilvl="0" w:tplc="B008D846">
      <w:start w:val="1"/>
      <w:numFmt w:val="decimal"/>
      <w:lvlText w:val="%1."/>
      <w:lvlJc w:val="left"/>
      <w:pPr>
        <w:ind w:left="396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099C5FF8"/>
    <w:multiLevelType w:val="hybridMultilevel"/>
    <w:tmpl w:val="E9B69D16"/>
    <w:lvl w:ilvl="0" w:tplc="B008D846">
      <w:start w:val="1"/>
      <w:numFmt w:val="decimal"/>
      <w:lvlText w:val="%1."/>
      <w:lvlJc w:val="left"/>
      <w:pPr>
        <w:ind w:left="108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09CB5178"/>
    <w:multiLevelType w:val="hybridMultilevel"/>
    <w:tmpl w:val="D54C4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A187574"/>
    <w:multiLevelType w:val="hybridMultilevel"/>
    <w:tmpl w:val="E292B71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BB01A67"/>
    <w:multiLevelType w:val="hybridMultilevel"/>
    <w:tmpl w:val="22E86FF8"/>
    <w:lvl w:ilvl="0" w:tplc="B008D846">
      <w:start w:val="1"/>
      <w:numFmt w:val="decimal"/>
      <w:lvlText w:val="%1."/>
      <w:lvlJc w:val="left"/>
      <w:pPr>
        <w:ind w:left="108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0BC006B8"/>
    <w:multiLevelType w:val="hybridMultilevel"/>
    <w:tmpl w:val="729414E6"/>
    <w:lvl w:ilvl="0" w:tplc="B008D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3A7C60"/>
    <w:multiLevelType w:val="hybridMultilevel"/>
    <w:tmpl w:val="69929C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C3769D"/>
    <w:multiLevelType w:val="hybridMultilevel"/>
    <w:tmpl w:val="716A5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8453963"/>
    <w:multiLevelType w:val="hybridMultilevel"/>
    <w:tmpl w:val="7062BC64"/>
    <w:lvl w:ilvl="0" w:tplc="2B82637C">
      <w:start w:val="1"/>
      <w:numFmt w:val="decimal"/>
      <w:lvlText w:val="%1."/>
      <w:lvlJc w:val="left"/>
      <w:pPr>
        <w:ind w:left="1200"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1">
    <w:nsid w:val="1BB05A24"/>
    <w:multiLevelType w:val="hybridMultilevel"/>
    <w:tmpl w:val="B44A1664"/>
    <w:lvl w:ilvl="0" w:tplc="2B82637C">
      <w:start w:val="1"/>
      <w:numFmt w:val="decimal"/>
      <w:lvlText w:val="%1."/>
      <w:lvlJc w:val="left"/>
      <w:pPr>
        <w:ind w:left="1995"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C0F3173"/>
    <w:multiLevelType w:val="hybridMultilevel"/>
    <w:tmpl w:val="233E4424"/>
    <w:lvl w:ilvl="0" w:tplc="2B82637C">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
    <w:nsid w:val="1CCD0B6F"/>
    <w:multiLevelType w:val="hybridMultilevel"/>
    <w:tmpl w:val="808AB5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F803630"/>
    <w:multiLevelType w:val="hybridMultilevel"/>
    <w:tmpl w:val="11CC2D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435D65"/>
    <w:multiLevelType w:val="hybridMultilevel"/>
    <w:tmpl w:val="8116A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B4C48C4"/>
    <w:multiLevelType w:val="multilevel"/>
    <w:tmpl w:val="923E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3947E5"/>
    <w:multiLevelType w:val="hybridMultilevel"/>
    <w:tmpl w:val="D0FCE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6883B6A"/>
    <w:multiLevelType w:val="hybridMultilevel"/>
    <w:tmpl w:val="2F90FF9A"/>
    <w:lvl w:ilvl="0" w:tplc="2B82637C">
      <w:start w:val="1"/>
      <w:numFmt w:val="decimal"/>
      <w:lvlText w:val="%1."/>
      <w:lvlJc w:val="left"/>
      <w:pPr>
        <w:ind w:left="1440" w:hanging="360"/>
      </w:pPr>
      <w:rPr>
        <w:rFonts w:hint="default"/>
      </w:rPr>
    </w:lvl>
    <w:lvl w:ilvl="1" w:tplc="04090019">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9">
    <w:nsid w:val="3A853B97"/>
    <w:multiLevelType w:val="hybridMultilevel"/>
    <w:tmpl w:val="7F9608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C5F4656"/>
    <w:multiLevelType w:val="hybridMultilevel"/>
    <w:tmpl w:val="1F4E62E0"/>
    <w:lvl w:ilvl="0" w:tplc="2B82637C">
      <w:start w:val="1"/>
      <w:numFmt w:val="decimal"/>
      <w:lvlText w:val="%1."/>
      <w:lvlJc w:val="left"/>
      <w:pPr>
        <w:ind w:left="1440" w:hanging="360"/>
      </w:pPr>
      <w:rPr>
        <w:rFonts w:hint="default"/>
      </w:rPr>
    </w:lvl>
    <w:lvl w:ilvl="1" w:tplc="04090019">
      <w:start w:val="1"/>
      <w:numFmt w:val="lowerLetter"/>
      <w:lvlText w:val="%2."/>
      <w:lvlJc w:val="left"/>
      <w:pPr>
        <w:ind w:left="1965" w:hanging="360"/>
      </w:pPr>
    </w:lvl>
    <w:lvl w:ilvl="2" w:tplc="0409001B">
      <w:start w:val="1"/>
      <w:numFmt w:val="lowerRoman"/>
      <w:lvlText w:val="%3."/>
      <w:lvlJc w:val="right"/>
      <w:pPr>
        <w:ind w:left="2685" w:hanging="180"/>
      </w:pPr>
    </w:lvl>
    <w:lvl w:ilvl="3" w:tplc="0409000F">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1">
    <w:nsid w:val="4E364056"/>
    <w:multiLevelType w:val="hybridMultilevel"/>
    <w:tmpl w:val="E8546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0517AFB"/>
    <w:multiLevelType w:val="hybridMultilevel"/>
    <w:tmpl w:val="24B4664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9C25FF"/>
    <w:multiLevelType w:val="hybridMultilevel"/>
    <w:tmpl w:val="E6B6583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790A74"/>
    <w:multiLevelType w:val="hybridMultilevel"/>
    <w:tmpl w:val="8FFC3BC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25">
    <w:nsid w:val="5D8C7BB8"/>
    <w:multiLevelType w:val="hybridMultilevel"/>
    <w:tmpl w:val="8C669B1A"/>
    <w:lvl w:ilvl="0" w:tplc="D6ECC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0561240"/>
    <w:multiLevelType w:val="hybridMultilevel"/>
    <w:tmpl w:val="AF82B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08470DE"/>
    <w:multiLevelType w:val="hybridMultilevel"/>
    <w:tmpl w:val="72861AF4"/>
    <w:lvl w:ilvl="0" w:tplc="B008D846">
      <w:start w:val="1"/>
      <w:numFmt w:val="decimal"/>
      <w:lvlText w:val="%1."/>
      <w:lvlJc w:val="left"/>
      <w:pPr>
        <w:ind w:left="108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nsid w:val="618B5975"/>
    <w:multiLevelType w:val="hybridMultilevel"/>
    <w:tmpl w:val="FE8E2344"/>
    <w:lvl w:ilvl="0" w:tplc="71AC4936">
      <w:start w:val="3"/>
      <w:numFmt w:val="decimal"/>
      <w:lvlText w:val="%1."/>
      <w:lvlJc w:val="left"/>
      <w:pPr>
        <w:tabs>
          <w:tab w:val="num" w:pos="945"/>
        </w:tabs>
        <w:ind w:left="945" w:hanging="36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29">
    <w:nsid w:val="69BD496C"/>
    <w:multiLevelType w:val="hybridMultilevel"/>
    <w:tmpl w:val="E634EBE4"/>
    <w:lvl w:ilvl="0" w:tplc="2B82637C">
      <w:start w:val="1"/>
      <w:numFmt w:val="decimal"/>
      <w:lvlText w:val="%1."/>
      <w:lvlJc w:val="left"/>
      <w:pPr>
        <w:ind w:left="1440" w:hanging="360"/>
      </w:pPr>
      <w:rPr>
        <w:rFonts w:hint="default"/>
      </w:rPr>
    </w:lvl>
    <w:lvl w:ilvl="1" w:tplc="04090019">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30">
    <w:nsid w:val="6B6D7204"/>
    <w:multiLevelType w:val="hybridMultilevel"/>
    <w:tmpl w:val="90327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E197299"/>
    <w:multiLevelType w:val="hybridMultilevel"/>
    <w:tmpl w:val="4B986120"/>
    <w:lvl w:ilvl="0" w:tplc="2B82637C">
      <w:start w:val="1"/>
      <w:numFmt w:val="decimal"/>
      <w:lvlText w:val="%1."/>
      <w:lvlJc w:val="left"/>
      <w:pPr>
        <w:ind w:left="1440"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32">
    <w:nsid w:val="72AD1CAF"/>
    <w:multiLevelType w:val="hybridMultilevel"/>
    <w:tmpl w:val="54CEF1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5CB3145"/>
    <w:multiLevelType w:val="multilevel"/>
    <w:tmpl w:val="9E50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015E03"/>
    <w:multiLevelType w:val="hybridMultilevel"/>
    <w:tmpl w:val="A25E67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B484DDF"/>
    <w:multiLevelType w:val="hybridMultilevel"/>
    <w:tmpl w:val="09B6103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6"/>
  </w:num>
  <w:num w:numId="3">
    <w:abstractNumId w:val="33"/>
  </w:num>
  <w:num w:numId="4">
    <w:abstractNumId w:val="28"/>
  </w:num>
  <w:num w:numId="5">
    <w:abstractNumId w:val="25"/>
  </w:num>
  <w:num w:numId="6">
    <w:abstractNumId w:val="12"/>
  </w:num>
  <w:num w:numId="7">
    <w:abstractNumId w:val="10"/>
  </w:num>
  <w:num w:numId="8">
    <w:abstractNumId w:val="18"/>
  </w:num>
  <w:num w:numId="9">
    <w:abstractNumId w:val="31"/>
  </w:num>
  <w:num w:numId="10">
    <w:abstractNumId w:val="11"/>
  </w:num>
  <w:num w:numId="11">
    <w:abstractNumId w:val="20"/>
  </w:num>
  <w:num w:numId="12">
    <w:abstractNumId w:val="29"/>
  </w:num>
  <w:num w:numId="13">
    <w:abstractNumId w:val="34"/>
  </w:num>
  <w:num w:numId="14">
    <w:abstractNumId w:val="7"/>
  </w:num>
  <w:num w:numId="15">
    <w:abstractNumId w:val="3"/>
  </w:num>
  <w:num w:numId="16">
    <w:abstractNumId w:val="2"/>
  </w:num>
  <w:num w:numId="17">
    <w:abstractNumId w:val="27"/>
  </w:num>
  <w:num w:numId="18">
    <w:abstractNumId w:val="6"/>
  </w:num>
  <w:num w:numId="19">
    <w:abstractNumId w:val="32"/>
  </w:num>
  <w:num w:numId="20">
    <w:abstractNumId w:val="0"/>
  </w:num>
  <w:num w:numId="21">
    <w:abstractNumId w:val="8"/>
  </w:num>
  <w:num w:numId="22">
    <w:abstractNumId w:val="30"/>
  </w:num>
  <w:num w:numId="23">
    <w:abstractNumId w:val="5"/>
  </w:num>
  <w:num w:numId="24">
    <w:abstractNumId w:val="24"/>
  </w:num>
  <w:num w:numId="25">
    <w:abstractNumId w:val="26"/>
  </w:num>
  <w:num w:numId="26">
    <w:abstractNumId w:val="14"/>
  </w:num>
  <w:num w:numId="27">
    <w:abstractNumId w:val="35"/>
  </w:num>
  <w:num w:numId="28">
    <w:abstractNumId w:val="4"/>
  </w:num>
  <w:num w:numId="29">
    <w:abstractNumId w:val="17"/>
  </w:num>
  <w:num w:numId="30">
    <w:abstractNumId w:val="13"/>
  </w:num>
  <w:num w:numId="31">
    <w:abstractNumId w:val="19"/>
  </w:num>
  <w:num w:numId="32">
    <w:abstractNumId w:val="21"/>
  </w:num>
  <w:num w:numId="33">
    <w:abstractNumId w:val="1"/>
  </w:num>
  <w:num w:numId="34">
    <w:abstractNumId w:val="15"/>
  </w:num>
  <w:num w:numId="35">
    <w:abstractNumId w:val="9"/>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B97"/>
    <w:rsid w:val="00000660"/>
    <w:rsid w:val="00002583"/>
    <w:rsid w:val="0002077D"/>
    <w:rsid w:val="00037168"/>
    <w:rsid w:val="00043488"/>
    <w:rsid w:val="00044F1D"/>
    <w:rsid w:val="00054F1B"/>
    <w:rsid w:val="000652A9"/>
    <w:rsid w:val="000657FA"/>
    <w:rsid w:val="0007238A"/>
    <w:rsid w:val="0007651E"/>
    <w:rsid w:val="00077F32"/>
    <w:rsid w:val="00083D57"/>
    <w:rsid w:val="00085597"/>
    <w:rsid w:val="00090E8C"/>
    <w:rsid w:val="00091CF4"/>
    <w:rsid w:val="000953E9"/>
    <w:rsid w:val="000A2983"/>
    <w:rsid w:val="000A2F33"/>
    <w:rsid w:val="000A73F0"/>
    <w:rsid w:val="000B38B4"/>
    <w:rsid w:val="000D420A"/>
    <w:rsid w:val="000E3356"/>
    <w:rsid w:val="000E5E99"/>
    <w:rsid w:val="000F39B7"/>
    <w:rsid w:val="000F42B7"/>
    <w:rsid w:val="000F6036"/>
    <w:rsid w:val="001018CE"/>
    <w:rsid w:val="00116870"/>
    <w:rsid w:val="00137212"/>
    <w:rsid w:val="00186BDD"/>
    <w:rsid w:val="001A0063"/>
    <w:rsid w:val="001B606D"/>
    <w:rsid w:val="001C071E"/>
    <w:rsid w:val="001F0EB3"/>
    <w:rsid w:val="002033BB"/>
    <w:rsid w:val="002048E3"/>
    <w:rsid w:val="002103F9"/>
    <w:rsid w:val="00221634"/>
    <w:rsid w:val="00233981"/>
    <w:rsid w:val="00257B0E"/>
    <w:rsid w:val="00261051"/>
    <w:rsid w:val="00273E37"/>
    <w:rsid w:val="002746A3"/>
    <w:rsid w:val="00284BF1"/>
    <w:rsid w:val="002A7C66"/>
    <w:rsid w:val="002D1908"/>
    <w:rsid w:val="002D1EFF"/>
    <w:rsid w:val="002E6856"/>
    <w:rsid w:val="002E7FB4"/>
    <w:rsid w:val="002F4F18"/>
    <w:rsid w:val="00300439"/>
    <w:rsid w:val="00306EC3"/>
    <w:rsid w:val="00310669"/>
    <w:rsid w:val="003131CC"/>
    <w:rsid w:val="00315EDD"/>
    <w:rsid w:val="00326B4E"/>
    <w:rsid w:val="00331610"/>
    <w:rsid w:val="0033624E"/>
    <w:rsid w:val="00351C40"/>
    <w:rsid w:val="00351EAA"/>
    <w:rsid w:val="00357533"/>
    <w:rsid w:val="0036416B"/>
    <w:rsid w:val="00377F1B"/>
    <w:rsid w:val="003A39E8"/>
    <w:rsid w:val="003B1005"/>
    <w:rsid w:val="003B4CB7"/>
    <w:rsid w:val="003C6C4F"/>
    <w:rsid w:val="003E1272"/>
    <w:rsid w:val="003E4C98"/>
    <w:rsid w:val="003E525C"/>
    <w:rsid w:val="003F5E59"/>
    <w:rsid w:val="004116F7"/>
    <w:rsid w:val="004204C0"/>
    <w:rsid w:val="004275F7"/>
    <w:rsid w:val="00440957"/>
    <w:rsid w:val="004411A7"/>
    <w:rsid w:val="00444635"/>
    <w:rsid w:val="00444EB9"/>
    <w:rsid w:val="004701A7"/>
    <w:rsid w:val="0047401D"/>
    <w:rsid w:val="004A63E4"/>
    <w:rsid w:val="004B3E29"/>
    <w:rsid w:val="004B5B97"/>
    <w:rsid w:val="004C23F3"/>
    <w:rsid w:val="004C6A04"/>
    <w:rsid w:val="004D444D"/>
    <w:rsid w:val="004F1606"/>
    <w:rsid w:val="00505512"/>
    <w:rsid w:val="00514910"/>
    <w:rsid w:val="00515407"/>
    <w:rsid w:val="00516146"/>
    <w:rsid w:val="005242F8"/>
    <w:rsid w:val="005459E3"/>
    <w:rsid w:val="00563DD8"/>
    <w:rsid w:val="005660AE"/>
    <w:rsid w:val="005727D2"/>
    <w:rsid w:val="00572AF2"/>
    <w:rsid w:val="00581EFE"/>
    <w:rsid w:val="00587DCE"/>
    <w:rsid w:val="005A28D8"/>
    <w:rsid w:val="005B4A55"/>
    <w:rsid w:val="005B7FF3"/>
    <w:rsid w:val="005C2303"/>
    <w:rsid w:val="005F1CB4"/>
    <w:rsid w:val="00600936"/>
    <w:rsid w:val="00606C88"/>
    <w:rsid w:val="00624EFF"/>
    <w:rsid w:val="00633A67"/>
    <w:rsid w:val="00641BCA"/>
    <w:rsid w:val="00656F24"/>
    <w:rsid w:val="006645CB"/>
    <w:rsid w:val="006A4414"/>
    <w:rsid w:val="006B435C"/>
    <w:rsid w:val="006C37CC"/>
    <w:rsid w:val="006C3817"/>
    <w:rsid w:val="006C7178"/>
    <w:rsid w:val="006C75E3"/>
    <w:rsid w:val="006D0130"/>
    <w:rsid w:val="006D463D"/>
    <w:rsid w:val="006E27DE"/>
    <w:rsid w:val="006F1778"/>
    <w:rsid w:val="006F30E1"/>
    <w:rsid w:val="0070193B"/>
    <w:rsid w:val="00701F6F"/>
    <w:rsid w:val="00706062"/>
    <w:rsid w:val="00720943"/>
    <w:rsid w:val="00725318"/>
    <w:rsid w:val="007363E6"/>
    <w:rsid w:val="00750FD1"/>
    <w:rsid w:val="00761EA9"/>
    <w:rsid w:val="007721B0"/>
    <w:rsid w:val="007827DF"/>
    <w:rsid w:val="007A074D"/>
    <w:rsid w:val="007A1BFD"/>
    <w:rsid w:val="007A2439"/>
    <w:rsid w:val="007A367B"/>
    <w:rsid w:val="007C40E9"/>
    <w:rsid w:val="007C427C"/>
    <w:rsid w:val="007C7BF2"/>
    <w:rsid w:val="007D0E54"/>
    <w:rsid w:val="007D63CD"/>
    <w:rsid w:val="008147D8"/>
    <w:rsid w:val="00822202"/>
    <w:rsid w:val="008331B4"/>
    <w:rsid w:val="0083517C"/>
    <w:rsid w:val="00844844"/>
    <w:rsid w:val="00844B81"/>
    <w:rsid w:val="0087637E"/>
    <w:rsid w:val="008805C0"/>
    <w:rsid w:val="00881750"/>
    <w:rsid w:val="00890352"/>
    <w:rsid w:val="00890427"/>
    <w:rsid w:val="008A4F1D"/>
    <w:rsid w:val="008C5630"/>
    <w:rsid w:val="008C610F"/>
    <w:rsid w:val="008F001E"/>
    <w:rsid w:val="008F6A98"/>
    <w:rsid w:val="00900266"/>
    <w:rsid w:val="00906A65"/>
    <w:rsid w:val="009311C3"/>
    <w:rsid w:val="00931564"/>
    <w:rsid w:val="009460EC"/>
    <w:rsid w:val="009550BA"/>
    <w:rsid w:val="00961739"/>
    <w:rsid w:val="0096336B"/>
    <w:rsid w:val="00967099"/>
    <w:rsid w:val="00967FD5"/>
    <w:rsid w:val="009722E4"/>
    <w:rsid w:val="00972A15"/>
    <w:rsid w:val="009732CC"/>
    <w:rsid w:val="0098239D"/>
    <w:rsid w:val="00990464"/>
    <w:rsid w:val="009952A7"/>
    <w:rsid w:val="009B1D51"/>
    <w:rsid w:val="009B30F7"/>
    <w:rsid w:val="009D39EF"/>
    <w:rsid w:val="009E605D"/>
    <w:rsid w:val="00A003D1"/>
    <w:rsid w:val="00A04FB2"/>
    <w:rsid w:val="00A07F25"/>
    <w:rsid w:val="00A16475"/>
    <w:rsid w:val="00A21D28"/>
    <w:rsid w:val="00A51BDB"/>
    <w:rsid w:val="00A6036D"/>
    <w:rsid w:val="00A81E29"/>
    <w:rsid w:val="00A94664"/>
    <w:rsid w:val="00AA5DE0"/>
    <w:rsid w:val="00AA7BD5"/>
    <w:rsid w:val="00AC2BF5"/>
    <w:rsid w:val="00AC4318"/>
    <w:rsid w:val="00AD3A02"/>
    <w:rsid w:val="00AE0EF5"/>
    <w:rsid w:val="00AE6419"/>
    <w:rsid w:val="00B05971"/>
    <w:rsid w:val="00B118EF"/>
    <w:rsid w:val="00B218BA"/>
    <w:rsid w:val="00B26B88"/>
    <w:rsid w:val="00B429B5"/>
    <w:rsid w:val="00B45643"/>
    <w:rsid w:val="00B5277C"/>
    <w:rsid w:val="00B55BA7"/>
    <w:rsid w:val="00B6070A"/>
    <w:rsid w:val="00B77222"/>
    <w:rsid w:val="00B80E54"/>
    <w:rsid w:val="00B8530B"/>
    <w:rsid w:val="00B85A8B"/>
    <w:rsid w:val="00B92DAE"/>
    <w:rsid w:val="00BA5BEC"/>
    <w:rsid w:val="00BB28B6"/>
    <w:rsid w:val="00BB59D0"/>
    <w:rsid w:val="00BC1A60"/>
    <w:rsid w:val="00BC44F2"/>
    <w:rsid w:val="00BD1887"/>
    <w:rsid w:val="00BD1E67"/>
    <w:rsid w:val="00BD3568"/>
    <w:rsid w:val="00C535E9"/>
    <w:rsid w:val="00C61A6C"/>
    <w:rsid w:val="00C71032"/>
    <w:rsid w:val="00C7607E"/>
    <w:rsid w:val="00C8167E"/>
    <w:rsid w:val="00C92AEF"/>
    <w:rsid w:val="00CA0FA3"/>
    <w:rsid w:val="00CA512E"/>
    <w:rsid w:val="00CC202A"/>
    <w:rsid w:val="00CC6814"/>
    <w:rsid w:val="00CD1FC7"/>
    <w:rsid w:val="00CD337F"/>
    <w:rsid w:val="00CF0752"/>
    <w:rsid w:val="00CF31E6"/>
    <w:rsid w:val="00D23016"/>
    <w:rsid w:val="00D23130"/>
    <w:rsid w:val="00D35FC1"/>
    <w:rsid w:val="00D71B3A"/>
    <w:rsid w:val="00D7734A"/>
    <w:rsid w:val="00D83A23"/>
    <w:rsid w:val="00D8574F"/>
    <w:rsid w:val="00D93726"/>
    <w:rsid w:val="00DB6ADD"/>
    <w:rsid w:val="00DB725B"/>
    <w:rsid w:val="00DC1B9B"/>
    <w:rsid w:val="00DD2DF2"/>
    <w:rsid w:val="00DD5080"/>
    <w:rsid w:val="00DD79A4"/>
    <w:rsid w:val="00DE2E3E"/>
    <w:rsid w:val="00DF0F63"/>
    <w:rsid w:val="00DF21ED"/>
    <w:rsid w:val="00DF22DA"/>
    <w:rsid w:val="00DF4426"/>
    <w:rsid w:val="00E11C31"/>
    <w:rsid w:val="00E1416D"/>
    <w:rsid w:val="00E1727C"/>
    <w:rsid w:val="00E36C74"/>
    <w:rsid w:val="00E6442A"/>
    <w:rsid w:val="00E7323E"/>
    <w:rsid w:val="00E94720"/>
    <w:rsid w:val="00EA1FC0"/>
    <w:rsid w:val="00EA4E17"/>
    <w:rsid w:val="00EE6470"/>
    <w:rsid w:val="00EF673B"/>
    <w:rsid w:val="00F03902"/>
    <w:rsid w:val="00F10536"/>
    <w:rsid w:val="00F165CD"/>
    <w:rsid w:val="00F20725"/>
    <w:rsid w:val="00F322AC"/>
    <w:rsid w:val="00F33C2B"/>
    <w:rsid w:val="00F430B0"/>
    <w:rsid w:val="00F476CA"/>
    <w:rsid w:val="00F54AD3"/>
    <w:rsid w:val="00F60249"/>
    <w:rsid w:val="00F63587"/>
    <w:rsid w:val="00F648A8"/>
    <w:rsid w:val="00F865B0"/>
    <w:rsid w:val="00F95284"/>
    <w:rsid w:val="00FA592A"/>
    <w:rsid w:val="00FB3658"/>
    <w:rsid w:val="00FC34F9"/>
    <w:rsid w:val="00FF2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439"/>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79A4"/>
    <w:pPr>
      <w:spacing w:line="240" w:lineRule="auto"/>
    </w:pPr>
  </w:style>
  <w:style w:type="paragraph" w:styleId="ListParagraph">
    <w:name w:val="List Paragraph"/>
    <w:basedOn w:val="Normal"/>
    <w:uiPriority w:val="34"/>
    <w:qFormat/>
    <w:rsid w:val="006C75E3"/>
    <w:pPr>
      <w:ind w:left="720"/>
      <w:contextualSpacing/>
    </w:pPr>
  </w:style>
  <w:style w:type="character" w:styleId="EndnoteReference">
    <w:name w:val="endnote reference"/>
    <w:rsid w:val="007C427C"/>
    <w:rPr>
      <w:vertAlign w:val="superscript"/>
    </w:rPr>
  </w:style>
  <w:style w:type="paragraph" w:customStyle="1" w:styleId="NoParagraphStyle">
    <w:name w:val="[No Paragraph Style]"/>
    <w:rsid w:val="00B429B5"/>
    <w:pPr>
      <w:widowControl w:val="0"/>
      <w:autoSpaceDE w:val="0"/>
      <w:autoSpaceDN w:val="0"/>
      <w:adjustRightInd w:val="0"/>
      <w:spacing w:line="288" w:lineRule="auto"/>
      <w:textAlignment w:val="center"/>
    </w:pPr>
    <w:rPr>
      <w:rFonts w:ascii="Times LT Std Regular" w:eastAsia="Times New Roman" w:hAnsi="Times LT Std Regular" w:cs="Times LT Std Regular"/>
      <w:color w:val="000000"/>
      <w:sz w:val="24"/>
      <w:szCs w:val="24"/>
    </w:rPr>
  </w:style>
  <w:style w:type="paragraph" w:customStyle="1" w:styleId="PQ">
    <w:name w:val="PQ"/>
    <w:rsid w:val="0083517C"/>
    <w:pPr>
      <w:tabs>
        <w:tab w:val="left" w:pos="432"/>
      </w:tabs>
      <w:overflowPunct w:val="0"/>
      <w:autoSpaceDE w:val="0"/>
      <w:autoSpaceDN w:val="0"/>
      <w:adjustRightInd w:val="0"/>
      <w:spacing w:line="240" w:lineRule="auto"/>
      <w:ind w:left="432" w:hanging="432"/>
      <w:jc w:val="both"/>
      <w:textAlignment w:val="baseline"/>
    </w:pPr>
    <w:rPr>
      <w:rFonts w:ascii="Minion Pro" w:eastAsia="Times New Roman" w:hAnsi="Minion Pro" w:cs="Times New Roman"/>
      <w:noProof/>
      <w:sz w:val="16"/>
      <w:szCs w:val="20"/>
    </w:rPr>
  </w:style>
  <w:style w:type="paragraph" w:styleId="BalloonText">
    <w:name w:val="Balloon Text"/>
    <w:basedOn w:val="Normal"/>
    <w:link w:val="BalloonTextChar"/>
    <w:uiPriority w:val="99"/>
    <w:semiHidden/>
    <w:unhideWhenUsed/>
    <w:rsid w:val="00B77222"/>
    <w:rPr>
      <w:rFonts w:ascii="Tahoma" w:hAnsi="Tahoma" w:cs="Tahoma"/>
      <w:sz w:val="16"/>
      <w:szCs w:val="16"/>
    </w:rPr>
  </w:style>
  <w:style w:type="character" w:customStyle="1" w:styleId="BalloonTextChar">
    <w:name w:val="Balloon Text Char"/>
    <w:basedOn w:val="DefaultParagraphFont"/>
    <w:link w:val="BalloonText"/>
    <w:uiPriority w:val="99"/>
    <w:semiHidden/>
    <w:rsid w:val="00B77222"/>
    <w:rPr>
      <w:rFonts w:ascii="Tahoma" w:eastAsia="Times New Roman" w:hAnsi="Tahoma" w:cs="Tahoma"/>
      <w:sz w:val="16"/>
      <w:szCs w:val="16"/>
    </w:rPr>
  </w:style>
  <w:style w:type="paragraph" w:customStyle="1" w:styleId="PA">
    <w:name w:val="PA"/>
    <w:rsid w:val="00D23016"/>
    <w:pPr>
      <w:overflowPunct w:val="0"/>
      <w:autoSpaceDE w:val="0"/>
      <w:autoSpaceDN w:val="0"/>
      <w:adjustRightInd w:val="0"/>
      <w:spacing w:after="240" w:line="240" w:lineRule="auto"/>
      <w:ind w:firstLine="432"/>
      <w:jc w:val="both"/>
      <w:textAlignment w:val="baseline"/>
    </w:pPr>
    <w:rPr>
      <w:rFonts w:ascii="Minion Pro" w:eastAsia="Times New Roman" w:hAnsi="Minion Pro" w:cs="Times New Roman"/>
      <w:noProof/>
      <w:sz w:val="20"/>
      <w:szCs w:val="20"/>
    </w:rPr>
  </w:style>
  <w:style w:type="paragraph" w:customStyle="1" w:styleId="PG">
    <w:name w:val="PG"/>
    <w:rsid w:val="00706062"/>
    <w:pPr>
      <w:overflowPunct w:val="0"/>
      <w:autoSpaceDE w:val="0"/>
      <w:autoSpaceDN w:val="0"/>
      <w:adjustRightInd w:val="0"/>
      <w:spacing w:after="240" w:line="240" w:lineRule="auto"/>
      <w:ind w:left="432"/>
      <w:jc w:val="both"/>
      <w:textAlignment w:val="baseline"/>
    </w:pPr>
    <w:rPr>
      <w:rFonts w:ascii="Minion Pro" w:eastAsia="Times New Roman" w:hAnsi="Minion Pro" w:cs="Times New Roman"/>
      <w:noProof/>
      <w:sz w:val="20"/>
      <w:szCs w:val="20"/>
    </w:rPr>
  </w:style>
  <w:style w:type="paragraph" w:customStyle="1" w:styleId="PE">
    <w:name w:val="PE"/>
    <w:rsid w:val="00706062"/>
    <w:pPr>
      <w:overflowPunct w:val="0"/>
      <w:autoSpaceDE w:val="0"/>
      <w:autoSpaceDN w:val="0"/>
      <w:adjustRightInd w:val="0"/>
      <w:spacing w:after="240" w:line="240" w:lineRule="auto"/>
      <w:ind w:left="864"/>
      <w:jc w:val="both"/>
      <w:textAlignment w:val="baseline"/>
    </w:pPr>
    <w:rPr>
      <w:rFonts w:ascii="Minion Pro" w:eastAsia="Times New Roman" w:hAnsi="Minion Pro" w:cs="Times New Roman"/>
      <w:noProof/>
      <w:sz w:val="20"/>
      <w:szCs w:val="20"/>
    </w:rPr>
  </w:style>
  <w:style w:type="paragraph" w:customStyle="1" w:styleId="PK">
    <w:name w:val="PK"/>
    <w:rsid w:val="00B85A8B"/>
    <w:pPr>
      <w:overflowPunct w:val="0"/>
      <w:autoSpaceDE w:val="0"/>
      <w:autoSpaceDN w:val="0"/>
      <w:adjustRightInd w:val="0"/>
      <w:spacing w:after="240" w:line="240" w:lineRule="auto"/>
      <w:ind w:left="432" w:firstLine="432"/>
      <w:jc w:val="both"/>
      <w:textAlignment w:val="baseline"/>
    </w:pPr>
    <w:rPr>
      <w:rFonts w:ascii="Minion Pro" w:eastAsia="Times New Roman" w:hAnsi="Minion Pro" w:cs="Times New Roman"/>
      <w:noProof/>
      <w:sz w:val="20"/>
      <w:szCs w:val="20"/>
    </w:rPr>
  </w:style>
  <w:style w:type="paragraph" w:customStyle="1" w:styleId="TableHead">
    <w:name w:val="Table Head"/>
    <w:basedOn w:val="NoParagraphStyle"/>
    <w:uiPriority w:val="99"/>
    <w:rsid w:val="00037168"/>
    <w:pPr>
      <w:suppressAutoHyphens/>
    </w:pPr>
    <w:rPr>
      <w:rFonts w:ascii="Helvetica LT Std Bold Condensed" w:hAnsi="Helvetica LT Std Bold Condensed" w:cs="Helvetica LT Std Bold Condensed"/>
      <w:b/>
      <w:bCs/>
      <w:color w:val="FFFFFF"/>
      <w:sz w:val="20"/>
      <w:szCs w:val="20"/>
    </w:rPr>
  </w:style>
  <w:style w:type="paragraph" w:styleId="FootnoteText">
    <w:name w:val="footnote text"/>
    <w:basedOn w:val="Normal"/>
    <w:link w:val="FootnoteTextChar"/>
    <w:uiPriority w:val="99"/>
    <w:semiHidden/>
    <w:unhideWhenUsed/>
    <w:rsid w:val="00AC4318"/>
    <w:rPr>
      <w:sz w:val="20"/>
      <w:szCs w:val="20"/>
    </w:rPr>
  </w:style>
  <w:style w:type="character" w:customStyle="1" w:styleId="FootnoteTextChar">
    <w:name w:val="Footnote Text Char"/>
    <w:basedOn w:val="DefaultParagraphFont"/>
    <w:link w:val="FootnoteText"/>
    <w:uiPriority w:val="99"/>
    <w:semiHidden/>
    <w:rsid w:val="00AC431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C4318"/>
    <w:rPr>
      <w:vertAlign w:val="superscript"/>
    </w:rPr>
  </w:style>
  <w:style w:type="character" w:styleId="CommentReference">
    <w:name w:val="annotation reference"/>
    <w:basedOn w:val="DefaultParagraphFont"/>
    <w:uiPriority w:val="99"/>
    <w:semiHidden/>
    <w:unhideWhenUsed/>
    <w:rsid w:val="00AC4318"/>
    <w:rPr>
      <w:sz w:val="16"/>
      <w:szCs w:val="16"/>
    </w:rPr>
  </w:style>
  <w:style w:type="paragraph" w:styleId="CommentText">
    <w:name w:val="annotation text"/>
    <w:basedOn w:val="Normal"/>
    <w:link w:val="CommentTextChar"/>
    <w:uiPriority w:val="99"/>
    <w:semiHidden/>
    <w:unhideWhenUsed/>
    <w:rsid w:val="00AC4318"/>
    <w:rPr>
      <w:sz w:val="20"/>
      <w:szCs w:val="20"/>
    </w:rPr>
  </w:style>
  <w:style w:type="character" w:customStyle="1" w:styleId="CommentTextChar">
    <w:name w:val="Comment Text Char"/>
    <w:basedOn w:val="DefaultParagraphFont"/>
    <w:link w:val="CommentText"/>
    <w:uiPriority w:val="99"/>
    <w:semiHidden/>
    <w:rsid w:val="00AC43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4318"/>
    <w:rPr>
      <w:b/>
      <w:bCs/>
    </w:rPr>
  </w:style>
  <w:style w:type="character" w:customStyle="1" w:styleId="CommentSubjectChar">
    <w:name w:val="Comment Subject Char"/>
    <w:basedOn w:val="CommentTextChar"/>
    <w:link w:val="CommentSubject"/>
    <w:uiPriority w:val="99"/>
    <w:semiHidden/>
    <w:rsid w:val="00AC4318"/>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439"/>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79A4"/>
    <w:pPr>
      <w:spacing w:line="240" w:lineRule="auto"/>
    </w:pPr>
  </w:style>
  <w:style w:type="paragraph" w:styleId="ListParagraph">
    <w:name w:val="List Paragraph"/>
    <w:basedOn w:val="Normal"/>
    <w:uiPriority w:val="34"/>
    <w:qFormat/>
    <w:rsid w:val="006C75E3"/>
    <w:pPr>
      <w:ind w:left="720"/>
      <w:contextualSpacing/>
    </w:pPr>
  </w:style>
  <w:style w:type="character" w:styleId="EndnoteReference">
    <w:name w:val="endnote reference"/>
    <w:rsid w:val="007C427C"/>
    <w:rPr>
      <w:vertAlign w:val="superscript"/>
    </w:rPr>
  </w:style>
  <w:style w:type="paragraph" w:customStyle="1" w:styleId="NoParagraphStyle">
    <w:name w:val="[No Paragraph Style]"/>
    <w:rsid w:val="00B429B5"/>
    <w:pPr>
      <w:widowControl w:val="0"/>
      <w:autoSpaceDE w:val="0"/>
      <w:autoSpaceDN w:val="0"/>
      <w:adjustRightInd w:val="0"/>
      <w:spacing w:line="288" w:lineRule="auto"/>
      <w:textAlignment w:val="center"/>
    </w:pPr>
    <w:rPr>
      <w:rFonts w:ascii="Times LT Std Regular" w:eastAsia="Times New Roman" w:hAnsi="Times LT Std Regular" w:cs="Times LT Std Regular"/>
      <w:color w:val="000000"/>
      <w:sz w:val="24"/>
      <w:szCs w:val="24"/>
    </w:rPr>
  </w:style>
  <w:style w:type="paragraph" w:customStyle="1" w:styleId="PQ">
    <w:name w:val="PQ"/>
    <w:rsid w:val="0083517C"/>
    <w:pPr>
      <w:tabs>
        <w:tab w:val="left" w:pos="432"/>
      </w:tabs>
      <w:overflowPunct w:val="0"/>
      <w:autoSpaceDE w:val="0"/>
      <w:autoSpaceDN w:val="0"/>
      <w:adjustRightInd w:val="0"/>
      <w:spacing w:line="240" w:lineRule="auto"/>
      <w:ind w:left="432" w:hanging="432"/>
      <w:jc w:val="both"/>
      <w:textAlignment w:val="baseline"/>
    </w:pPr>
    <w:rPr>
      <w:rFonts w:ascii="Minion Pro" w:eastAsia="Times New Roman" w:hAnsi="Minion Pro" w:cs="Times New Roman"/>
      <w:noProof/>
      <w:sz w:val="16"/>
      <w:szCs w:val="20"/>
    </w:rPr>
  </w:style>
  <w:style w:type="paragraph" w:styleId="BalloonText">
    <w:name w:val="Balloon Text"/>
    <w:basedOn w:val="Normal"/>
    <w:link w:val="BalloonTextChar"/>
    <w:uiPriority w:val="99"/>
    <w:semiHidden/>
    <w:unhideWhenUsed/>
    <w:rsid w:val="00B77222"/>
    <w:rPr>
      <w:rFonts w:ascii="Tahoma" w:hAnsi="Tahoma" w:cs="Tahoma"/>
      <w:sz w:val="16"/>
      <w:szCs w:val="16"/>
    </w:rPr>
  </w:style>
  <w:style w:type="character" w:customStyle="1" w:styleId="BalloonTextChar">
    <w:name w:val="Balloon Text Char"/>
    <w:basedOn w:val="DefaultParagraphFont"/>
    <w:link w:val="BalloonText"/>
    <w:uiPriority w:val="99"/>
    <w:semiHidden/>
    <w:rsid w:val="00B77222"/>
    <w:rPr>
      <w:rFonts w:ascii="Tahoma" w:eastAsia="Times New Roman" w:hAnsi="Tahoma" w:cs="Tahoma"/>
      <w:sz w:val="16"/>
      <w:szCs w:val="16"/>
    </w:rPr>
  </w:style>
  <w:style w:type="paragraph" w:customStyle="1" w:styleId="PA">
    <w:name w:val="PA"/>
    <w:rsid w:val="00D23016"/>
    <w:pPr>
      <w:overflowPunct w:val="0"/>
      <w:autoSpaceDE w:val="0"/>
      <w:autoSpaceDN w:val="0"/>
      <w:adjustRightInd w:val="0"/>
      <w:spacing w:after="240" w:line="240" w:lineRule="auto"/>
      <w:ind w:firstLine="432"/>
      <w:jc w:val="both"/>
      <w:textAlignment w:val="baseline"/>
    </w:pPr>
    <w:rPr>
      <w:rFonts w:ascii="Minion Pro" w:eastAsia="Times New Roman" w:hAnsi="Minion Pro" w:cs="Times New Roman"/>
      <w:noProof/>
      <w:sz w:val="20"/>
      <w:szCs w:val="20"/>
    </w:rPr>
  </w:style>
  <w:style w:type="paragraph" w:customStyle="1" w:styleId="PG">
    <w:name w:val="PG"/>
    <w:rsid w:val="00706062"/>
    <w:pPr>
      <w:overflowPunct w:val="0"/>
      <w:autoSpaceDE w:val="0"/>
      <w:autoSpaceDN w:val="0"/>
      <w:adjustRightInd w:val="0"/>
      <w:spacing w:after="240" w:line="240" w:lineRule="auto"/>
      <w:ind w:left="432"/>
      <w:jc w:val="both"/>
      <w:textAlignment w:val="baseline"/>
    </w:pPr>
    <w:rPr>
      <w:rFonts w:ascii="Minion Pro" w:eastAsia="Times New Roman" w:hAnsi="Minion Pro" w:cs="Times New Roman"/>
      <w:noProof/>
      <w:sz w:val="20"/>
      <w:szCs w:val="20"/>
    </w:rPr>
  </w:style>
  <w:style w:type="paragraph" w:customStyle="1" w:styleId="PE">
    <w:name w:val="PE"/>
    <w:rsid w:val="00706062"/>
    <w:pPr>
      <w:overflowPunct w:val="0"/>
      <w:autoSpaceDE w:val="0"/>
      <w:autoSpaceDN w:val="0"/>
      <w:adjustRightInd w:val="0"/>
      <w:spacing w:after="240" w:line="240" w:lineRule="auto"/>
      <w:ind w:left="864"/>
      <w:jc w:val="both"/>
      <w:textAlignment w:val="baseline"/>
    </w:pPr>
    <w:rPr>
      <w:rFonts w:ascii="Minion Pro" w:eastAsia="Times New Roman" w:hAnsi="Minion Pro" w:cs="Times New Roman"/>
      <w:noProof/>
      <w:sz w:val="20"/>
      <w:szCs w:val="20"/>
    </w:rPr>
  </w:style>
  <w:style w:type="paragraph" w:customStyle="1" w:styleId="PK">
    <w:name w:val="PK"/>
    <w:rsid w:val="00B85A8B"/>
    <w:pPr>
      <w:overflowPunct w:val="0"/>
      <w:autoSpaceDE w:val="0"/>
      <w:autoSpaceDN w:val="0"/>
      <w:adjustRightInd w:val="0"/>
      <w:spacing w:after="240" w:line="240" w:lineRule="auto"/>
      <w:ind w:left="432" w:firstLine="432"/>
      <w:jc w:val="both"/>
      <w:textAlignment w:val="baseline"/>
    </w:pPr>
    <w:rPr>
      <w:rFonts w:ascii="Minion Pro" w:eastAsia="Times New Roman" w:hAnsi="Minion Pro" w:cs="Times New Roman"/>
      <w:noProof/>
      <w:sz w:val="20"/>
      <w:szCs w:val="20"/>
    </w:rPr>
  </w:style>
  <w:style w:type="paragraph" w:customStyle="1" w:styleId="TableHead">
    <w:name w:val="Table Head"/>
    <w:basedOn w:val="NoParagraphStyle"/>
    <w:uiPriority w:val="99"/>
    <w:rsid w:val="00037168"/>
    <w:pPr>
      <w:suppressAutoHyphens/>
    </w:pPr>
    <w:rPr>
      <w:rFonts w:ascii="Helvetica LT Std Bold Condensed" w:hAnsi="Helvetica LT Std Bold Condensed" w:cs="Helvetica LT Std Bold Condensed"/>
      <w:b/>
      <w:bCs/>
      <w:color w:val="FFFFFF"/>
      <w:sz w:val="20"/>
      <w:szCs w:val="20"/>
    </w:rPr>
  </w:style>
  <w:style w:type="paragraph" w:styleId="FootnoteText">
    <w:name w:val="footnote text"/>
    <w:basedOn w:val="Normal"/>
    <w:link w:val="FootnoteTextChar"/>
    <w:uiPriority w:val="99"/>
    <w:semiHidden/>
    <w:unhideWhenUsed/>
    <w:rsid w:val="00AC4318"/>
    <w:rPr>
      <w:sz w:val="20"/>
      <w:szCs w:val="20"/>
    </w:rPr>
  </w:style>
  <w:style w:type="character" w:customStyle="1" w:styleId="FootnoteTextChar">
    <w:name w:val="Footnote Text Char"/>
    <w:basedOn w:val="DefaultParagraphFont"/>
    <w:link w:val="FootnoteText"/>
    <w:uiPriority w:val="99"/>
    <w:semiHidden/>
    <w:rsid w:val="00AC431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C4318"/>
    <w:rPr>
      <w:vertAlign w:val="superscript"/>
    </w:rPr>
  </w:style>
  <w:style w:type="character" w:styleId="CommentReference">
    <w:name w:val="annotation reference"/>
    <w:basedOn w:val="DefaultParagraphFont"/>
    <w:uiPriority w:val="99"/>
    <w:semiHidden/>
    <w:unhideWhenUsed/>
    <w:rsid w:val="00AC4318"/>
    <w:rPr>
      <w:sz w:val="16"/>
      <w:szCs w:val="16"/>
    </w:rPr>
  </w:style>
  <w:style w:type="paragraph" w:styleId="CommentText">
    <w:name w:val="annotation text"/>
    <w:basedOn w:val="Normal"/>
    <w:link w:val="CommentTextChar"/>
    <w:uiPriority w:val="99"/>
    <w:semiHidden/>
    <w:unhideWhenUsed/>
    <w:rsid w:val="00AC4318"/>
    <w:rPr>
      <w:sz w:val="20"/>
      <w:szCs w:val="20"/>
    </w:rPr>
  </w:style>
  <w:style w:type="character" w:customStyle="1" w:styleId="CommentTextChar">
    <w:name w:val="Comment Text Char"/>
    <w:basedOn w:val="DefaultParagraphFont"/>
    <w:link w:val="CommentText"/>
    <w:uiPriority w:val="99"/>
    <w:semiHidden/>
    <w:rsid w:val="00AC43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4318"/>
    <w:rPr>
      <w:b/>
      <w:bCs/>
    </w:rPr>
  </w:style>
  <w:style w:type="character" w:customStyle="1" w:styleId="CommentSubjectChar">
    <w:name w:val="Comment Subject Char"/>
    <w:basedOn w:val="CommentTextChar"/>
    <w:link w:val="CommentSubject"/>
    <w:uiPriority w:val="99"/>
    <w:semiHidden/>
    <w:rsid w:val="00AC431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43D3F-C4E7-4330-B427-0B4C3C4EF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4873</Words>
  <Characters>27778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rcline</cp:lastModifiedBy>
  <cp:revision>2</cp:revision>
  <cp:lastPrinted>2014-03-13T02:09:00Z</cp:lastPrinted>
  <dcterms:created xsi:type="dcterms:W3CDTF">2014-08-07T16:48:00Z</dcterms:created>
  <dcterms:modified xsi:type="dcterms:W3CDTF">2014-08-07T16:48:00Z</dcterms:modified>
</cp:coreProperties>
</file>