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8B" w:rsidRDefault="0074138B" w:rsidP="00DD79A4">
      <w:pPr>
        <w:pStyle w:val="NoSpacing"/>
        <w:jc w:val="center"/>
        <w:rPr>
          <w:rFonts w:ascii="Times New Roman" w:hAnsi="Times New Roman" w:cs="Times New Roman"/>
          <w:b/>
          <w:sz w:val="24"/>
          <w:szCs w:val="24"/>
        </w:rPr>
      </w:pPr>
    </w:p>
    <w:p w:rsidR="00BA5BEC" w:rsidRDefault="000E5E99" w:rsidP="00DD79A4">
      <w:pPr>
        <w:pStyle w:val="NoSpacing"/>
        <w:jc w:val="center"/>
        <w:rPr>
          <w:rFonts w:ascii="Times New Roman" w:hAnsi="Times New Roman" w:cs="Times New Roman"/>
          <w:b/>
          <w:sz w:val="24"/>
          <w:szCs w:val="24"/>
        </w:rPr>
      </w:pPr>
      <w:r>
        <w:rPr>
          <w:rFonts w:ascii="Times New Roman" w:hAnsi="Times New Roman" w:cs="Times New Roman"/>
          <w:b/>
          <w:sz w:val="24"/>
          <w:szCs w:val="24"/>
        </w:rPr>
        <w:t>Chapter 4:  Nondiscrimination –</w:t>
      </w:r>
      <w:r w:rsidR="000B1AF8">
        <w:rPr>
          <w:rFonts w:ascii="Times New Roman" w:hAnsi="Times New Roman" w:cs="Times New Roman"/>
          <w:b/>
          <w:sz w:val="24"/>
          <w:szCs w:val="24"/>
        </w:rPr>
        <w:t xml:space="preserve"> </w:t>
      </w:r>
      <w:r>
        <w:rPr>
          <w:rFonts w:ascii="Times New Roman" w:hAnsi="Times New Roman" w:cs="Times New Roman"/>
          <w:b/>
          <w:sz w:val="24"/>
          <w:szCs w:val="24"/>
        </w:rPr>
        <w:t>Structure</w:t>
      </w:r>
      <w:r w:rsidR="000B1AF8" w:rsidRPr="000B1AF8">
        <w:rPr>
          <w:rFonts w:ascii="Times New Roman" w:hAnsi="Times New Roman" w:cs="Times New Roman"/>
          <w:b/>
          <w:sz w:val="24"/>
          <w:szCs w:val="24"/>
        </w:rPr>
        <w:t xml:space="preserve"> </w:t>
      </w:r>
      <w:r w:rsidR="00B8637D">
        <w:rPr>
          <w:rFonts w:ascii="Times New Roman" w:hAnsi="Times New Roman" w:cs="Times New Roman"/>
          <w:b/>
          <w:sz w:val="24"/>
          <w:szCs w:val="24"/>
        </w:rPr>
        <w:t xml:space="preserve">and </w:t>
      </w:r>
      <w:r w:rsidR="000B1AF8">
        <w:rPr>
          <w:rFonts w:ascii="Times New Roman" w:hAnsi="Times New Roman" w:cs="Times New Roman"/>
          <w:b/>
          <w:sz w:val="24"/>
          <w:szCs w:val="24"/>
        </w:rPr>
        <w:t>Benefits</w:t>
      </w:r>
    </w:p>
    <w:p w:rsidR="00DD79A4" w:rsidRPr="00AE6419" w:rsidRDefault="00DD79A4" w:rsidP="0033241C">
      <w:pPr>
        <w:pStyle w:val="NoSpacing"/>
        <w:rPr>
          <w:rFonts w:ascii="Times New Roman" w:hAnsi="Times New Roman" w:cs="Times New Roman"/>
          <w:b/>
          <w:sz w:val="24"/>
          <w:szCs w:val="24"/>
        </w:rPr>
      </w:pPr>
    </w:p>
    <w:p w:rsidR="00DD79A4" w:rsidRPr="00AE6419" w:rsidRDefault="00DD79A4" w:rsidP="00DD79A4">
      <w:pPr>
        <w:pStyle w:val="NoSpacing"/>
        <w:ind w:left="720"/>
        <w:rPr>
          <w:rFonts w:ascii="Times New Roman" w:hAnsi="Times New Roman" w:cs="Times New Roman"/>
          <w:b/>
          <w:sz w:val="24"/>
          <w:szCs w:val="24"/>
        </w:rPr>
      </w:pPr>
    </w:p>
    <w:p w:rsidR="00DD79A4" w:rsidRPr="00AE6419" w:rsidRDefault="00083D57" w:rsidP="00DD79A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0E5E99">
        <w:rPr>
          <w:rFonts w:ascii="Times New Roman" w:hAnsi="Times New Roman" w:cs="Times New Roman"/>
          <w:b/>
          <w:sz w:val="24"/>
          <w:szCs w:val="24"/>
        </w:rPr>
        <w:t xml:space="preserve">.01:  </w:t>
      </w:r>
      <w:r w:rsidR="000E5E99" w:rsidRPr="000E5E99">
        <w:rPr>
          <w:rFonts w:ascii="Times New Roman" w:hAnsi="Times New Roman" w:cs="Times New Roman"/>
          <w:b/>
          <w:sz w:val="24"/>
          <w:szCs w:val="24"/>
        </w:rPr>
        <w:t>What are the general rules for testing nondiscrimination in a qualified plan?</w:t>
      </w:r>
    </w:p>
    <w:p w:rsidR="00DD79A4" w:rsidRDefault="00DD79A4" w:rsidP="00DD79A4">
      <w:pPr>
        <w:pStyle w:val="NoSpacing"/>
        <w:ind w:left="720"/>
        <w:rPr>
          <w:rFonts w:ascii="Times New Roman" w:hAnsi="Times New Roman" w:cs="Times New Roman"/>
          <w:sz w:val="24"/>
          <w:szCs w:val="24"/>
        </w:rPr>
      </w:pPr>
    </w:p>
    <w:p w:rsidR="00DD79A4" w:rsidRDefault="007C427C" w:rsidP="00DD79A4">
      <w:pPr>
        <w:pStyle w:val="NoSpacing"/>
        <w:ind w:left="720"/>
        <w:rPr>
          <w:rFonts w:ascii="Times New Roman" w:hAnsi="Times New Roman" w:cs="Times New Roman"/>
          <w:sz w:val="24"/>
          <w:szCs w:val="24"/>
        </w:rPr>
      </w:pPr>
      <w:r w:rsidRPr="007C427C">
        <w:rPr>
          <w:rFonts w:ascii="Times New Roman" w:hAnsi="Times New Roman" w:cs="Times New Roman"/>
          <w:sz w:val="24"/>
          <w:szCs w:val="24"/>
        </w:rPr>
        <w:t xml:space="preserve">The following general rules for testing for nondiscrimination are all based on the definition of </w:t>
      </w:r>
      <w:r w:rsidR="00A32AA1">
        <w:rPr>
          <w:rFonts w:ascii="Times New Roman" w:hAnsi="Times New Roman" w:cs="Times New Roman"/>
          <w:sz w:val="24"/>
          <w:szCs w:val="24"/>
        </w:rPr>
        <w:t xml:space="preserve">a </w:t>
      </w:r>
      <w:r w:rsidRPr="007C427C">
        <w:rPr>
          <w:rFonts w:ascii="Times New Roman" w:hAnsi="Times New Roman" w:cs="Times New Roman"/>
          <w:sz w:val="24"/>
          <w:szCs w:val="24"/>
        </w:rPr>
        <w:t>highly compensated employee (HCE):</w:t>
      </w:r>
      <w:r w:rsidR="00B8637D">
        <w:rPr>
          <w:rStyle w:val="FootnoteReference"/>
          <w:rFonts w:ascii="Times New Roman" w:hAnsi="Times New Roman" w:cs="Times New Roman"/>
          <w:sz w:val="24"/>
          <w:szCs w:val="24"/>
        </w:rPr>
        <w:footnoteReference w:id="1"/>
      </w:r>
    </w:p>
    <w:p w:rsidR="00A81E29" w:rsidRDefault="00A81E29" w:rsidP="00DD79A4">
      <w:pPr>
        <w:pStyle w:val="NoSpacing"/>
        <w:ind w:left="720"/>
        <w:rPr>
          <w:rFonts w:ascii="Times New Roman" w:hAnsi="Times New Roman" w:cs="Times New Roman"/>
          <w:sz w:val="24"/>
          <w:szCs w:val="24"/>
        </w:rPr>
      </w:pPr>
    </w:p>
    <w:p w:rsidR="00DF0316" w:rsidRDefault="00DF0316"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 xml:space="preserve">The plan must provide nondiscriminatory coverage under </w:t>
      </w:r>
      <w:r w:rsidR="00B8637D">
        <w:t xml:space="preserve">Code </w:t>
      </w:r>
      <w:r>
        <w:t xml:space="preserve">Section 410(b) (see </w:t>
      </w:r>
      <w:r w:rsidRPr="003D1A3B">
        <w:rPr>
          <w:b/>
        </w:rPr>
        <w:t>Q</w:t>
      </w:r>
      <w:r>
        <w:t>4.03)</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Benefits</w:t>
      </w:r>
      <w:r w:rsidR="00B8637D">
        <w:t xml:space="preserve"> and </w:t>
      </w:r>
      <w:r>
        <w:t>contributions must be nondiscriminatory in amount</w:t>
      </w:r>
      <w:r w:rsidR="00DF0316">
        <w:t xml:space="preserve"> (see </w:t>
      </w:r>
      <w:r w:rsidR="00DF0316" w:rsidRPr="003D1A3B">
        <w:rPr>
          <w:b/>
        </w:rPr>
        <w:t>Q</w:t>
      </w:r>
      <w:r w:rsidR="00DF0316">
        <w:t>4.1</w:t>
      </w:r>
      <w:r w:rsidR="008513B4">
        <w:t>6</w:t>
      </w:r>
      <w:r w:rsidR="00DF0316">
        <w:t>)</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The effects of plan amendments, terminations, and grants of past service must be nondiscriminatory on their face and in operation</w:t>
      </w:r>
      <w:r w:rsidR="00DF0316">
        <w:t xml:space="preserve"> (see Q4.</w:t>
      </w:r>
      <w:r w:rsidR="007F79E6">
        <w:t>3</w:t>
      </w:r>
      <w:r w:rsidR="0074138B">
        <w:t>2</w:t>
      </w:r>
      <w:r w:rsidR="00DF0316">
        <w:t>)</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 xml:space="preserve">The plan must apply the </w:t>
      </w:r>
      <w:r w:rsidR="00B8637D">
        <w:t xml:space="preserve">Code </w:t>
      </w:r>
      <w:r>
        <w:t>Section 401(a</w:t>
      </w:r>
      <w:proofErr w:type="gramStart"/>
      <w:r>
        <w:t>)(</w:t>
      </w:r>
      <w:proofErr w:type="gramEnd"/>
      <w:r>
        <w:t>17) compensation limit to determine contributions or benefits</w:t>
      </w:r>
      <w:r w:rsidR="00DF0316">
        <w:t xml:space="preserve"> (see Q4.</w:t>
      </w:r>
      <w:r w:rsidR="0074138B">
        <w:t>30</w:t>
      </w:r>
      <w:r w:rsidR="00DF0316">
        <w:t>)</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 xml:space="preserve">The plan must define compensation within the guidelines as set forth in </w:t>
      </w:r>
      <w:r w:rsidR="00B8637D">
        <w:t xml:space="preserve">Code </w:t>
      </w:r>
      <w:r>
        <w:t>Section 414(s)</w:t>
      </w:r>
      <w:r w:rsidR="000F6ADD">
        <w:t xml:space="preserve"> (see Q4.</w:t>
      </w:r>
      <w:r w:rsidR="007F79E6">
        <w:t>3</w:t>
      </w:r>
      <w:r w:rsidR="0074138B">
        <w:t>1</w:t>
      </w:r>
      <w:r w:rsidR="000F6ADD">
        <w:t>)</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 xml:space="preserve">The plan must comply with </w:t>
      </w:r>
      <w:r w:rsidR="00B8637D">
        <w:t xml:space="preserve">Code </w:t>
      </w:r>
      <w:r>
        <w:t xml:space="preserve">Section 401(l) to the extent that it integrates contributions or benefits with Social Security or satisfy the general nondiscrimination testing of </w:t>
      </w:r>
      <w:r w:rsidR="00B8637D">
        <w:t xml:space="preserve">Code </w:t>
      </w:r>
      <w:r>
        <w:t>Section 401(a)(4).</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 xml:space="preserve">The plan must comply with </w:t>
      </w:r>
      <w:r w:rsidR="00B8637D">
        <w:t xml:space="preserve">Code </w:t>
      </w:r>
      <w:r>
        <w:t>Section 414(r) if its coverage and benefits vary by organizational and structural separate lines of business</w:t>
      </w:r>
      <w:r w:rsidR="00DF0316">
        <w:t xml:space="preserve"> (see Q4.06)</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t xml:space="preserve">The plan must satisfy the minimum participation rules under </w:t>
      </w:r>
      <w:r w:rsidR="00B8637D">
        <w:t xml:space="preserve">Code </w:t>
      </w:r>
      <w:r>
        <w:t>Section 401(a</w:t>
      </w:r>
      <w:proofErr w:type="gramStart"/>
      <w:r>
        <w:t>)(</w:t>
      </w:r>
      <w:proofErr w:type="gramEnd"/>
      <w:r>
        <w:t>26)</w:t>
      </w:r>
      <w:r w:rsidR="00DF0316">
        <w:t xml:space="preserve"> (see Q4.08)</w:t>
      </w:r>
      <w:r w:rsidR="00B8637D">
        <w:t>.</w:t>
      </w:r>
    </w:p>
    <w:p w:rsidR="00A81E29" w:rsidRDefault="00A81E29"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rsidRPr="00A81E29">
        <w:t>The benefit, rights, and features provided in the plan must be nondiscriminatory in both “current availability” and “effective availability”</w:t>
      </w:r>
      <w:r w:rsidR="00DF0316">
        <w:t xml:space="preserve"> (see Q4.1</w:t>
      </w:r>
      <w:r w:rsidR="008513B4">
        <w:t>1</w:t>
      </w:r>
      <w:r w:rsidR="00DF0316">
        <w:t>)</w:t>
      </w:r>
      <w:r w:rsidR="00B8637D">
        <w:t>.</w:t>
      </w:r>
    </w:p>
    <w:p w:rsidR="00A81E29" w:rsidRDefault="00A81E29" w:rsidP="00A81E29">
      <w:pPr>
        <w:pStyle w:val="NoSpacing"/>
        <w:ind w:left="720"/>
        <w:rPr>
          <w:rFonts w:ascii="Times New Roman" w:eastAsia="Times New Roman" w:hAnsi="Times New Roman" w:cs="Times New Roman"/>
          <w:sz w:val="24"/>
          <w:szCs w:val="24"/>
        </w:rPr>
      </w:pPr>
    </w:p>
    <w:p w:rsidR="00B73D51" w:rsidRPr="00AE6419" w:rsidRDefault="00B73D51" w:rsidP="00B73D51">
      <w:pPr>
        <w:pStyle w:val="NoSpacing"/>
        <w:ind w:left="720"/>
        <w:rPr>
          <w:rFonts w:ascii="Times New Roman" w:hAnsi="Times New Roman" w:cs="Times New Roman"/>
          <w:b/>
          <w:sz w:val="24"/>
          <w:szCs w:val="24"/>
        </w:rPr>
      </w:pPr>
      <w:r>
        <w:rPr>
          <w:rFonts w:ascii="Times New Roman" w:hAnsi="Times New Roman" w:cs="Times New Roman"/>
          <w:b/>
          <w:sz w:val="24"/>
          <w:szCs w:val="24"/>
        </w:rPr>
        <w:t>Q. 4.0</w:t>
      </w:r>
      <w:r w:rsidR="007C766E">
        <w:rPr>
          <w:rFonts w:ascii="Times New Roman" w:hAnsi="Times New Roman" w:cs="Times New Roman"/>
          <w:b/>
          <w:sz w:val="24"/>
          <w:szCs w:val="24"/>
        </w:rPr>
        <w:t>2</w:t>
      </w:r>
      <w:r>
        <w:rPr>
          <w:rFonts w:ascii="Times New Roman" w:hAnsi="Times New Roman" w:cs="Times New Roman"/>
          <w:b/>
          <w:sz w:val="24"/>
          <w:szCs w:val="24"/>
        </w:rPr>
        <w:t xml:space="preserve">:  </w:t>
      </w:r>
      <w:r w:rsidRPr="000E5E99">
        <w:rPr>
          <w:rFonts w:ascii="Times New Roman" w:hAnsi="Times New Roman" w:cs="Times New Roman"/>
          <w:b/>
          <w:sz w:val="24"/>
          <w:szCs w:val="24"/>
        </w:rPr>
        <w:t xml:space="preserve">What are the </w:t>
      </w:r>
      <w:r>
        <w:rPr>
          <w:rFonts w:ascii="Times New Roman" w:hAnsi="Times New Roman" w:cs="Times New Roman"/>
          <w:b/>
          <w:sz w:val="24"/>
          <w:szCs w:val="24"/>
        </w:rPr>
        <w:t>consequences of failure to comply with any of these</w:t>
      </w:r>
      <w:r w:rsidRPr="000E5E99">
        <w:rPr>
          <w:rFonts w:ascii="Times New Roman" w:hAnsi="Times New Roman" w:cs="Times New Roman"/>
          <w:b/>
          <w:sz w:val="24"/>
          <w:szCs w:val="24"/>
        </w:rPr>
        <w:t xml:space="preserve"> nondiscrimination </w:t>
      </w:r>
      <w:r>
        <w:rPr>
          <w:rFonts w:ascii="Times New Roman" w:hAnsi="Times New Roman" w:cs="Times New Roman"/>
          <w:b/>
          <w:sz w:val="24"/>
          <w:szCs w:val="24"/>
        </w:rPr>
        <w:t>requirements</w:t>
      </w:r>
      <w:r w:rsidRPr="000E5E99">
        <w:rPr>
          <w:rFonts w:ascii="Times New Roman" w:hAnsi="Times New Roman" w:cs="Times New Roman"/>
          <w:b/>
          <w:sz w:val="24"/>
          <w:szCs w:val="24"/>
        </w:rPr>
        <w:t>?</w:t>
      </w:r>
    </w:p>
    <w:p w:rsidR="00B73D51" w:rsidRDefault="00B73D51" w:rsidP="00B73D51">
      <w:pPr>
        <w:pStyle w:val="NoSpacing"/>
        <w:ind w:left="720"/>
        <w:rPr>
          <w:rFonts w:ascii="Times New Roman" w:hAnsi="Times New Roman" w:cs="Times New Roman"/>
          <w:sz w:val="24"/>
          <w:szCs w:val="24"/>
        </w:rPr>
      </w:pPr>
    </w:p>
    <w:p w:rsidR="00B73D51" w:rsidRDefault="00B73D51" w:rsidP="00B73D51">
      <w:pPr>
        <w:pStyle w:val="NoSpacing"/>
        <w:ind w:left="720"/>
        <w:rPr>
          <w:rFonts w:ascii="Times New Roman" w:hAnsi="Times New Roman" w:cs="Times New Roman"/>
          <w:sz w:val="20"/>
          <w:szCs w:val="20"/>
        </w:rPr>
      </w:pPr>
      <w:r w:rsidRPr="00B73D51">
        <w:rPr>
          <w:rFonts w:ascii="Times New Roman" w:hAnsi="Times New Roman" w:cs="Times New Roman"/>
          <w:sz w:val="24"/>
          <w:szCs w:val="24"/>
        </w:rPr>
        <w:t>A plan that fails to comply with any of the nondiscrimination requirements, either in form or in operation, loses its qualified and tax-exempt status. Regulations allow the employer to amend the plan retroactively and treat the amendment as if it were effective on the first day of the plan year in which the defect occurred.</w:t>
      </w:r>
      <w:r w:rsidR="00D8655F">
        <w:rPr>
          <w:rStyle w:val="FootnoteReference"/>
          <w:rFonts w:ascii="Times New Roman" w:hAnsi="Times New Roman" w:cs="Times New Roman"/>
          <w:sz w:val="24"/>
          <w:szCs w:val="24"/>
        </w:rPr>
        <w:footnoteReference w:id="2"/>
      </w:r>
      <w:r w:rsidR="00205143">
        <w:rPr>
          <w:rFonts w:ascii="Times New Roman" w:hAnsi="Times New Roman" w:cs="Times New Roman"/>
          <w:sz w:val="24"/>
          <w:szCs w:val="24"/>
        </w:rPr>
        <w:t xml:space="preserve"> </w:t>
      </w:r>
    </w:p>
    <w:p w:rsidR="00B73D51" w:rsidRDefault="00B73D51" w:rsidP="00A81E29">
      <w:pPr>
        <w:pStyle w:val="NoSpacing"/>
        <w:ind w:left="720"/>
        <w:rPr>
          <w:rFonts w:ascii="Times New Roman" w:eastAsia="Times New Roman" w:hAnsi="Times New Roman" w:cs="Times New Roman"/>
          <w:sz w:val="24"/>
          <w:szCs w:val="24"/>
        </w:rPr>
      </w:pPr>
    </w:p>
    <w:p w:rsidR="007502D4" w:rsidRPr="00984AE1" w:rsidRDefault="007502D4" w:rsidP="00984AE1">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0</w:t>
      </w:r>
      <w:r>
        <w:rPr>
          <w:rFonts w:ascii="Times New Roman" w:hAnsi="Times New Roman" w:cs="Times New Roman"/>
          <w:b/>
          <w:sz w:val="24"/>
          <w:szCs w:val="24"/>
        </w:rPr>
        <w:t xml:space="preserve">3:  </w:t>
      </w:r>
      <w:r w:rsidRPr="009460EC">
        <w:rPr>
          <w:rFonts w:ascii="Times New Roman" w:hAnsi="Times New Roman" w:cs="Times New Roman"/>
          <w:b/>
          <w:sz w:val="24"/>
          <w:szCs w:val="24"/>
        </w:rPr>
        <w:t xml:space="preserve">What are the methods for testing for nondiscrimination coverage under </w:t>
      </w:r>
      <w:r w:rsidR="00D66787">
        <w:rPr>
          <w:rFonts w:ascii="Times New Roman" w:hAnsi="Times New Roman" w:cs="Times New Roman"/>
          <w:b/>
          <w:sz w:val="24"/>
          <w:szCs w:val="24"/>
        </w:rPr>
        <w:t>Code</w:t>
      </w:r>
      <w:r w:rsidR="00D66787" w:rsidRPr="009460EC">
        <w:rPr>
          <w:rFonts w:ascii="Times New Roman" w:hAnsi="Times New Roman" w:cs="Times New Roman"/>
          <w:b/>
          <w:sz w:val="24"/>
          <w:szCs w:val="24"/>
        </w:rPr>
        <w:t xml:space="preserve"> </w:t>
      </w:r>
      <w:r w:rsidRPr="009460EC">
        <w:rPr>
          <w:rFonts w:ascii="Times New Roman" w:hAnsi="Times New Roman" w:cs="Times New Roman"/>
          <w:b/>
          <w:sz w:val="24"/>
          <w:szCs w:val="24"/>
        </w:rPr>
        <w:t>Section 410(b)?</w:t>
      </w:r>
    </w:p>
    <w:p w:rsidR="007502D4" w:rsidRDefault="007502D4" w:rsidP="007502D4">
      <w:pPr>
        <w:pStyle w:val="NoSpacing"/>
        <w:ind w:left="720"/>
        <w:rPr>
          <w:rFonts w:ascii="Times New Roman" w:hAnsi="Times New Roman" w:cs="Times New Roman"/>
          <w:b/>
          <w:sz w:val="24"/>
          <w:szCs w:val="24"/>
        </w:rPr>
      </w:pPr>
    </w:p>
    <w:p w:rsidR="007502D4" w:rsidRDefault="0096422C" w:rsidP="007502D4">
      <w:pPr>
        <w:pStyle w:val="NoSpacing"/>
        <w:ind w:left="720"/>
        <w:rPr>
          <w:rFonts w:ascii="Times New Roman" w:hAnsi="Times New Roman" w:cs="Times New Roman"/>
          <w:sz w:val="24"/>
          <w:szCs w:val="24"/>
        </w:rPr>
      </w:pPr>
      <w:r>
        <w:rPr>
          <w:rFonts w:ascii="Times New Roman" w:hAnsi="Times New Roman" w:cs="Times New Roman"/>
          <w:sz w:val="24"/>
          <w:szCs w:val="24"/>
        </w:rPr>
        <w:t>In order t</w:t>
      </w:r>
      <w:r w:rsidR="007502D4" w:rsidRPr="009460EC">
        <w:rPr>
          <w:rFonts w:ascii="Times New Roman" w:hAnsi="Times New Roman" w:cs="Times New Roman"/>
          <w:sz w:val="24"/>
          <w:szCs w:val="24"/>
        </w:rPr>
        <w:t xml:space="preserve">o test whether plan coverage is in fact nondiscriminatory under </w:t>
      </w:r>
      <w:r w:rsidR="00D66787">
        <w:rPr>
          <w:rFonts w:ascii="Times New Roman" w:hAnsi="Times New Roman" w:cs="Times New Roman"/>
          <w:sz w:val="24"/>
          <w:szCs w:val="24"/>
        </w:rPr>
        <w:t>Code</w:t>
      </w:r>
      <w:r w:rsidR="00D66787" w:rsidRPr="009460EC">
        <w:rPr>
          <w:rFonts w:ascii="Times New Roman" w:hAnsi="Times New Roman" w:cs="Times New Roman"/>
          <w:sz w:val="24"/>
          <w:szCs w:val="24"/>
        </w:rPr>
        <w:t xml:space="preserve"> </w:t>
      </w:r>
      <w:r w:rsidR="007502D4" w:rsidRPr="009460EC">
        <w:rPr>
          <w:rFonts w:ascii="Times New Roman" w:hAnsi="Times New Roman" w:cs="Times New Roman"/>
          <w:sz w:val="24"/>
          <w:szCs w:val="24"/>
        </w:rPr>
        <w:t xml:space="preserve">Section 410(b), one of two tests must be used to compare the plan coverage of HCEs and </w:t>
      </w:r>
      <w:proofErr w:type="spellStart"/>
      <w:r w:rsidR="00D66787">
        <w:rPr>
          <w:rFonts w:ascii="Times New Roman" w:hAnsi="Times New Roman" w:cs="Times New Roman"/>
          <w:sz w:val="24"/>
          <w:szCs w:val="24"/>
        </w:rPr>
        <w:t>nonhighly</w:t>
      </w:r>
      <w:proofErr w:type="spellEnd"/>
      <w:r w:rsidR="00D66787">
        <w:rPr>
          <w:rFonts w:ascii="Times New Roman" w:hAnsi="Times New Roman" w:cs="Times New Roman"/>
          <w:sz w:val="24"/>
          <w:szCs w:val="24"/>
        </w:rPr>
        <w:t xml:space="preserve"> compensated employees (</w:t>
      </w:r>
      <w:r w:rsidR="007502D4" w:rsidRPr="009460EC">
        <w:rPr>
          <w:rFonts w:ascii="Times New Roman" w:hAnsi="Times New Roman" w:cs="Times New Roman"/>
          <w:sz w:val="24"/>
          <w:szCs w:val="24"/>
        </w:rPr>
        <w:t>NHCEs</w:t>
      </w:r>
      <w:r w:rsidR="00D66787">
        <w:rPr>
          <w:rFonts w:ascii="Times New Roman" w:hAnsi="Times New Roman" w:cs="Times New Roman"/>
          <w:sz w:val="24"/>
          <w:szCs w:val="24"/>
        </w:rPr>
        <w:t>)</w:t>
      </w:r>
      <w:r w:rsidR="007502D4" w:rsidRPr="009460EC">
        <w:rPr>
          <w:rFonts w:ascii="Times New Roman" w:hAnsi="Times New Roman" w:cs="Times New Roman"/>
          <w:sz w:val="24"/>
          <w:szCs w:val="24"/>
        </w:rPr>
        <w:t>:</w:t>
      </w:r>
    </w:p>
    <w:p w:rsidR="007502D4" w:rsidRDefault="007502D4" w:rsidP="007502D4">
      <w:pPr>
        <w:pStyle w:val="NoSpacing"/>
        <w:numPr>
          <w:ilvl w:val="0"/>
          <w:numId w:val="17"/>
        </w:numPr>
        <w:rPr>
          <w:rFonts w:ascii="Times New Roman" w:hAnsi="Times New Roman" w:cs="Times New Roman"/>
          <w:sz w:val="24"/>
          <w:szCs w:val="24"/>
        </w:rPr>
      </w:pPr>
      <w:r w:rsidRPr="009460EC">
        <w:rPr>
          <w:rFonts w:ascii="Times New Roman" w:hAnsi="Times New Roman" w:cs="Times New Roman"/>
          <w:sz w:val="24"/>
          <w:szCs w:val="24"/>
        </w:rPr>
        <w:t xml:space="preserve">the ratio percentage test </w:t>
      </w:r>
      <w:r>
        <w:rPr>
          <w:rFonts w:ascii="Times New Roman" w:hAnsi="Times New Roman" w:cs="Times New Roman"/>
          <w:sz w:val="24"/>
          <w:szCs w:val="24"/>
        </w:rPr>
        <w:t>or</w:t>
      </w:r>
      <w:r w:rsidRPr="009460EC">
        <w:rPr>
          <w:rFonts w:ascii="Times New Roman" w:hAnsi="Times New Roman" w:cs="Times New Roman"/>
          <w:sz w:val="24"/>
          <w:szCs w:val="24"/>
        </w:rPr>
        <w:t xml:space="preserve"> </w:t>
      </w:r>
    </w:p>
    <w:p w:rsidR="007502D4" w:rsidRDefault="007502D4" w:rsidP="007502D4">
      <w:pPr>
        <w:pStyle w:val="NoSpacing"/>
        <w:numPr>
          <w:ilvl w:val="0"/>
          <w:numId w:val="17"/>
        </w:numPr>
        <w:rPr>
          <w:rFonts w:ascii="Times New Roman" w:hAnsi="Times New Roman" w:cs="Times New Roman"/>
          <w:sz w:val="24"/>
          <w:szCs w:val="24"/>
        </w:rPr>
      </w:pPr>
      <w:proofErr w:type="gramStart"/>
      <w:r w:rsidRPr="009460EC">
        <w:rPr>
          <w:rFonts w:ascii="Times New Roman" w:hAnsi="Times New Roman" w:cs="Times New Roman"/>
          <w:sz w:val="24"/>
          <w:szCs w:val="24"/>
        </w:rPr>
        <w:t>the</w:t>
      </w:r>
      <w:proofErr w:type="gramEnd"/>
      <w:r w:rsidRPr="009460EC">
        <w:rPr>
          <w:rFonts w:ascii="Times New Roman" w:hAnsi="Times New Roman" w:cs="Times New Roman"/>
          <w:sz w:val="24"/>
          <w:szCs w:val="24"/>
        </w:rPr>
        <w:t xml:space="preserve"> average benefit</w:t>
      </w:r>
      <w:r>
        <w:rPr>
          <w:rFonts w:ascii="Times New Roman" w:hAnsi="Times New Roman" w:cs="Times New Roman"/>
          <w:sz w:val="24"/>
          <w:szCs w:val="24"/>
        </w:rPr>
        <w:t>s</w:t>
      </w:r>
      <w:r w:rsidRPr="009460EC">
        <w:rPr>
          <w:rFonts w:ascii="Times New Roman" w:hAnsi="Times New Roman" w:cs="Times New Roman"/>
          <w:sz w:val="24"/>
          <w:szCs w:val="24"/>
        </w:rPr>
        <w:t xml:space="preserve"> test.</w:t>
      </w:r>
    </w:p>
    <w:p w:rsidR="007502D4" w:rsidRPr="009460EC" w:rsidRDefault="007502D4" w:rsidP="007502D4">
      <w:pPr>
        <w:pStyle w:val="NoSpacing"/>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sz w:val="24"/>
          <w:szCs w:val="24"/>
        </w:rPr>
      </w:pPr>
      <w:r>
        <w:rPr>
          <w:rFonts w:ascii="Times New Roman" w:hAnsi="Times New Roman" w:cs="Times New Roman"/>
          <w:sz w:val="24"/>
          <w:szCs w:val="24"/>
        </w:rPr>
        <w:t>Generally, one of these two tests must be satisfied each plan year.</w:t>
      </w:r>
      <w:r w:rsidR="00D66787">
        <w:rPr>
          <w:rStyle w:val="FootnoteReference"/>
          <w:rFonts w:ascii="Times New Roman" w:hAnsi="Times New Roman" w:cs="Times New Roman"/>
          <w:sz w:val="24"/>
          <w:szCs w:val="24"/>
        </w:rPr>
        <w:footnoteReference w:id="3"/>
      </w: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0</w:t>
      </w:r>
      <w:r>
        <w:rPr>
          <w:rFonts w:ascii="Times New Roman" w:hAnsi="Times New Roman" w:cs="Times New Roman"/>
          <w:b/>
          <w:sz w:val="24"/>
          <w:szCs w:val="24"/>
        </w:rPr>
        <w:t xml:space="preserve">4:  </w:t>
      </w:r>
      <w:r w:rsidRPr="009460EC">
        <w:rPr>
          <w:rFonts w:ascii="Times New Roman" w:hAnsi="Times New Roman" w:cs="Times New Roman"/>
          <w:b/>
          <w:sz w:val="24"/>
          <w:szCs w:val="24"/>
        </w:rPr>
        <w:t>How is the ratio percentage test applied to a plan?</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4"/>
          <w:szCs w:val="24"/>
        </w:rPr>
      </w:pPr>
      <w:r w:rsidRPr="009460EC">
        <w:rPr>
          <w:rFonts w:ascii="Times New Roman" w:hAnsi="Times New Roman" w:cs="Times New Roman"/>
          <w:sz w:val="24"/>
          <w:szCs w:val="24"/>
        </w:rPr>
        <w:t xml:space="preserve">In order to apply the ratio percentage test, </w:t>
      </w:r>
      <w:r w:rsidR="0087094B">
        <w:rPr>
          <w:rFonts w:ascii="Times New Roman" w:hAnsi="Times New Roman" w:cs="Times New Roman"/>
          <w:sz w:val="24"/>
          <w:szCs w:val="24"/>
        </w:rPr>
        <w:t xml:space="preserve">the employer must </w:t>
      </w:r>
      <w:r w:rsidRPr="009460EC">
        <w:rPr>
          <w:rFonts w:ascii="Times New Roman" w:hAnsi="Times New Roman" w:cs="Times New Roman"/>
          <w:sz w:val="24"/>
          <w:szCs w:val="24"/>
        </w:rPr>
        <w:t>count the number of NHCEs covered in the plan and divide by the number of all NHCEs, whether they are in the plan</w:t>
      </w:r>
      <w:r w:rsidR="00D66787" w:rsidRPr="00D66787">
        <w:rPr>
          <w:rFonts w:ascii="Times New Roman" w:hAnsi="Times New Roman" w:cs="Times New Roman"/>
          <w:sz w:val="24"/>
          <w:szCs w:val="24"/>
        </w:rPr>
        <w:t xml:space="preserve"> </w:t>
      </w:r>
      <w:r w:rsidR="00D66787" w:rsidRPr="009460EC">
        <w:rPr>
          <w:rFonts w:ascii="Times New Roman" w:hAnsi="Times New Roman" w:cs="Times New Roman"/>
          <w:sz w:val="24"/>
          <w:szCs w:val="24"/>
        </w:rPr>
        <w:t>or not</w:t>
      </w:r>
      <w:r w:rsidRPr="009460EC">
        <w:rPr>
          <w:rFonts w:ascii="Times New Roman" w:hAnsi="Times New Roman" w:cs="Times New Roman"/>
          <w:sz w:val="24"/>
          <w:szCs w:val="24"/>
        </w:rPr>
        <w:t xml:space="preserve">.  Also </w:t>
      </w:r>
      <w:r w:rsidR="0087094B">
        <w:rPr>
          <w:rFonts w:ascii="Times New Roman" w:hAnsi="Times New Roman" w:cs="Times New Roman"/>
          <w:sz w:val="24"/>
          <w:szCs w:val="24"/>
        </w:rPr>
        <w:t xml:space="preserve">the employer must </w:t>
      </w:r>
      <w:r w:rsidRPr="009460EC">
        <w:rPr>
          <w:rFonts w:ascii="Times New Roman" w:hAnsi="Times New Roman" w:cs="Times New Roman"/>
          <w:sz w:val="24"/>
          <w:szCs w:val="24"/>
        </w:rPr>
        <w:t>count the number of HCEs</w:t>
      </w:r>
      <w:r w:rsidR="00D66787">
        <w:rPr>
          <w:rFonts w:ascii="Times New Roman" w:hAnsi="Times New Roman" w:cs="Times New Roman"/>
          <w:sz w:val="24"/>
          <w:szCs w:val="24"/>
        </w:rPr>
        <w:t xml:space="preserve"> in the plan</w:t>
      </w:r>
      <w:r w:rsidRPr="009460EC">
        <w:rPr>
          <w:rFonts w:ascii="Times New Roman" w:hAnsi="Times New Roman" w:cs="Times New Roman"/>
          <w:sz w:val="24"/>
          <w:szCs w:val="24"/>
        </w:rPr>
        <w:t xml:space="preserve"> and divide by the number of all HCEs.  If the resulting NHCE ratio is at least 70</w:t>
      </w:r>
      <w:r w:rsidR="0096422C">
        <w:rPr>
          <w:rFonts w:ascii="Times New Roman" w:hAnsi="Times New Roman" w:cs="Times New Roman"/>
          <w:sz w:val="24"/>
          <w:szCs w:val="24"/>
        </w:rPr>
        <w:t xml:space="preserve"> percent </w:t>
      </w:r>
      <w:r w:rsidRPr="009460EC">
        <w:rPr>
          <w:rFonts w:ascii="Times New Roman" w:hAnsi="Times New Roman" w:cs="Times New Roman"/>
          <w:sz w:val="24"/>
          <w:szCs w:val="24"/>
        </w:rPr>
        <w:t>of the resulting HCE ratio, then the plan passes the ratio percentage test.</w:t>
      </w:r>
    </w:p>
    <w:p w:rsidR="007502D4" w:rsidRDefault="007502D4" w:rsidP="007502D4">
      <w:pPr>
        <w:pStyle w:val="NoSpacing"/>
        <w:ind w:left="720"/>
        <w:rPr>
          <w:rFonts w:ascii="Times New Roman" w:hAnsi="Times New Roman" w:cs="Times New Roman"/>
          <w:sz w:val="24"/>
          <w:szCs w:val="24"/>
        </w:rPr>
      </w:pPr>
    </w:p>
    <w:p w:rsidR="000A5784" w:rsidRDefault="000A5784" w:rsidP="007502D4">
      <w:pPr>
        <w:pStyle w:val="NoSpacing"/>
        <w:ind w:left="720"/>
        <w:rPr>
          <w:rFonts w:ascii="Times New Roman" w:hAnsi="Times New Roman" w:cs="Times New Roman"/>
          <w:sz w:val="24"/>
          <w:szCs w:val="24"/>
        </w:rPr>
      </w:pPr>
      <w:proofErr w:type="gramStart"/>
      <w:r w:rsidRPr="000A5784">
        <w:rPr>
          <w:rFonts w:ascii="Times New Roman" w:hAnsi="Times New Roman" w:cs="Times New Roman"/>
          <w:b/>
          <w:sz w:val="24"/>
          <w:szCs w:val="24"/>
        </w:rPr>
        <w:t xml:space="preserve">Example </w:t>
      </w:r>
      <w:r w:rsidR="0033241C">
        <w:rPr>
          <w:rFonts w:ascii="Times New Roman" w:hAnsi="Times New Roman" w:cs="Times New Roman"/>
          <w:b/>
          <w:sz w:val="24"/>
          <w:szCs w:val="24"/>
        </w:rPr>
        <w:t>1.</w:t>
      </w:r>
      <w:proofErr w:type="gramEnd"/>
      <w:r>
        <w:rPr>
          <w:rFonts w:ascii="Times New Roman" w:hAnsi="Times New Roman" w:cs="Times New Roman"/>
          <w:sz w:val="24"/>
          <w:szCs w:val="24"/>
        </w:rPr>
        <w:t xml:space="preserve"> </w:t>
      </w:r>
      <w:r w:rsidRPr="000A5784">
        <w:rPr>
          <w:rFonts w:ascii="Times New Roman" w:hAnsi="Times New Roman" w:cs="Times New Roman"/>
          <w:sz w:val="24"/>
          <w:szCs w:val="24"/>
        </w:rPr>
        <w:t xml:space="preserve">Company A has </w:t>
      </w:r>
      <w:r w:rsidR="00731342">
        <w:rPr>
          <w:rFonts w:ascii="Times New Roman" w:hAnsi="Times New Roman" w:cs="Times New Roman"/>
          <w:sz w:val="24"/>
          <w:szCs w:val="24"/>
        </w:rPr>
        <w:t xml:space="preserve">five </w:t>
      </w:r>
      <w:r w:rsidRPr="000A5784">
        <w:rPr>
          <w:rFonts w:ascii="Times New Roman" w:hAnsi="Times New Roman" w:cs="Times New Roman"/>
          <w:sz w:val="24"/>
          <w:szCs w:val="24"/>
        </w:rPr>
        <w:t>HCEs: Owners A, B, and C (more than 5</w:t>
      </w:r>
      <w:r w:rsidR="00731342">
        <w:rPr>
          <w:rFonts w:ascii="Times New Roman" w:hAnsi="Times New Roman" w:cs="Times New Roman"/>
          <w:sz w:val="24"/>
          <w:szCs w:val="24"/>
        </w:rPr>
        <w:t xml:space="preserve"> </w:t>
      </w:r>
      <w:r w:rsidRPr="000A5784">
        <w:rPr>
          <w:rFonts w:ascii="Times New Roman" w:hAnsi="Times New Roman" w:cs="Times New Roman"/>
          <w:sz w:val="24"/>
          <w:szCs w:val="24"/>
        </w:rPr>
        <w:t>percent owners and compensation of $11</w:t>
      </w:r>
      <w:r w:rsidR="00594EC5">
        <w:rPr>
          <w:rFonts w:ascii="Times New Roman" w:hAnsi="Times New Roman" w:cs="Times New Roman"/>
          <w:sz w:val="24"/>
          <w:szCs w:val="24"/>
        </w:rPr>
        <w:t>5</w:t>
      </w:r>
      <w:r w:rsidRPr="000A5784">
        <w:rPr>
          <w:rFonts w:ascii="Times New Roman" w:hAnsi="Times New Roman" w:cs="Times New Roman"/>
          <w:sz w:val="24"/>
          <w:szCs w:val="24"/>
        </w:rPr>
        <w:t>,000 or more in the prior year) and Employees 4 and 8 (compensation of $11</w:t>
      </w:r>
      <w:r w:rsidR="00594EC5">
        <w:rPr>
          <w:rFonts w:ascii="Times New Roman" w:hAnsi="Times New Roman" w:cs="Times New Roman"/>
          <w:sz w:val="24"/>
          <w:szCs w:val="24"/>
        </w:rPr>
        <w:t>5</w:t>
      </w:r>
      <w:r w:rsidRPr="000A5784">
        <w:rPr>
          <w:rFonts w:ascii="Times New Roman" w:hAnsi="Times New Roman" w:cs="Times New Roman"/>
          <w:sz w:val="24"/>
          <w:szCs w:val="24"/>
        </w:rPr>
        <w:t xml:space="preserve">,000 or more in the prior year). In order to comply with the </w:t>
      </w:r>
      <w:r w:rsidR="00731342">
        <w:rPr>
          <w:rFonts w:ascii="Times New Roman" w:hAnsi="Times New Roman" w:cs="Times New Roman"/>
          <w:sz w:val="24"/>
          <w:szCs w:val="24"/>
        </w:rPr>
        <w:t>Code</w:t>
      </w:r>
      <w:r w:rsidR="00731342" w:rsidRPr="000A5784">
        <w:rPr>
          <w:rFonts w:ascii="Times New Roman" w:hAnsi="Times New Roman" w:cs="Times New Roman"/>
          <w:sz w:val="24"/>
          <w:szCs w:val="24"/>
        </w:rPr>
        <w:t xml:space="preserve"> </w:t>
      </w:r>
      <w:r w:rsidRPr="000A5784">
        <w:rPr>
          <w:rFonts w:ascii="Times New Roman" w:hAnsi="Times New Roman" w:cs="Times New Roman"/>
          <w:sz w:val="24"/>
          <w:szCs w:val="24"/>
        </w:rPr>
        <w:t>Section 410(b) ratio percentage test, the percentage of NHCEs covered must equal at least 70 percent of the percentage of HCEs covered. If all Company A’s HCEs were covered by its retirement plan, at least 70 percent of the NHCEs (six NHCEs, 70</w:t>
      </w:r>
      <w:r w:rsidR="0087094B">
        <w:rPr>
          <w:rFonts w:ascii="Times New Roman" w:hAnsi="Times New Roman" w:cs="Times New Roman"/>
          <w:sz w:val="24"/>
          <w:szCs w:val="24"/>
        </w:rPr>
        <w:t xml:space="preserve"> percent</w:t>
      </w:r>
      <w:r w:rsidR="0087094B" w:rsidRPr="000A5784">
        <w:rPr>
          <w:rFonts w:ascii="Times New Roman" w:hAnsi="Times New Roman" w:cs="Times New Roman"/>
          <w:sz w:val="24"/>
          <w:szCs w:val="24"/>
        </w:rPr>
        <w:t xml:space="preserve"> </w:t>
      </w:r>
      <w:r w:rsidRPr="000A5784">
        <w:rPr>
          <w:rFonts w:ascii="Times New Roman" w:hAnsi="Times New Roman" w:cs="Times New Roman"/>
          <w:sz w:val="24"/>
          <w:szCs w:val="24"/>
        </w:rPr>
        <w:t>times 8 employees) would also have to be covered.</w:t>
      </w:r>
    </w:p>
    <w:p w:rsidR="000A5784" w:rsidRDefault="000A5784" w:rsidP="007502D4">
      <w:pPr>
        <w:pStyle w:val="NoSpacing"/>
        <w:ind w:left="720"/>
        <w:rPr>
          <w:rFonts w:ascii="Times New Roman" w:hAnsi="Times New Roman" w:cs="Times New Roman"/>
          <w:sz w:val="24"/>
          <w:szCs w:val="24"/>
        </w:rPr>
      </w:pPr>
    </w:p>
    <w:p w:rsidR="000A5784" w:rsidRDefault="000A5784" w:rsidP="0024496C">
      <w:pPr>
        <w:pStyle w:val="NoSpacing"/>
        <w:ind w:left="720"/>
        <w:rPr>
          <w:rFonts w:ascii="Times New Roman" w:hAnsi="Times New Roman" w:cs="Times New Roman"/>
          <w:sz w:val="24"/>
          <w:szCs w:val="24"/>
        </w:rPr>
      </w:pPr>
      <w:r w:rsidRPr="0024496C">
        <w:rPr>
          <w:rFonts w:ascii="Times New Roman" w:hAnsi="Times New Roman" w:cs="Times New Roman"/>
          <w:sz w:val="24"/>
          <w:szCs w:val="24"/>
        </w:rPr>
        <w:t xml:space="preserve">For purposes of this </w:t>
      </w:r>
      <w:r w:rsidR="0024496C" w:rsidRPr="0024496C">
        <w:rPr>
          <w:rFonts w:ascii="Times New Roman" w:hAnsi="Times New Roman" w:cs="Times New Roman"/>
          <w:sz w:val="24"/>
          <w:szCs w:val="24"/>
        </w:rPr>
        <w:t>example,</w:t>
      </w:r>
      <w:r w:rsidRPr="0024496C">
        <w:rPr>
          <w:rFonts w:ascii="Times New Roman" w:hAnsi="Times New Roman" w:cs="Times New Roman"/>
          <w:sz w:val="24"/>
          <w:szCs w:val="24"/>
        </w:rPr>
        <w:t xml:space="preserve"> use the year 201</w:t>
      </w:r>
      <w:r w:rsidR="0024496C" w:rsidRPr="0024496C">
        <w:rPr>
          <w:rFonts w:ascii="Times New Roman" w:hAnsi="Times New Roman" w:cs="Times New Roman"/>
          <w:sz w:val="24"/>
          <w:szCs w:val="24"/>
        </w:rPr>
        <w:t>3</w:t>
      </w:r>
      <w:r w:rsidRPr="0024496C">
        <w:rPr>
          <w:rFonts w:ascii="Times New Roman" w:hAnsi="Times New Roman" w:cs="Times New Roman"/>
          <w:sz w:val="24"/>
          <w:szCs w:val="24"/>
        </w:rPr>
        <w:t xml:space="preserve"> HCE and NHCE employee census information listed in Table </w:t>
      </w:r>
      <w:r w:rsidR="0024496C" w:rsidRPr="0024496C">
        <w:rPr>
          <w:rFonts w:ascii="Times New Roman" w:hAnsi="Times New Roman" w:cs="Times New Roman"/>
          <w:sz w:val="24"/>
          <w:szCs w:val="24"/>
        </w:rPr>
        <w:t>4</w:t>
      </w:r>
      <w:r w:rsidRPr="0024496C">
        <w:rPr>
          <w:rFonts w:ascii="Times New Roman" w:hAnsi="Times New Roman" w:cs="Times New Roman"/>
          <w:sz w:val="24"/>
          <w:szCs w:val="24"/>
        </w:rPr>
        <w:t xml:space="preserve">-1. </w:t>
      </w:r>
      <w:r w:rsidR="00731342">
        <w:rPr>
          <w:rFonts w:ascii="Times New Roman" w:hAnsi="Times New Roman" w:cs="Times New Roman"/>
          <w:sz w:val="24"/>
          <w:szCs w:val="24"/>
        </w:rPr>
        <w:t>Assum</w:t>
      </w:r>
      <w:r w:rsidR="00092E4E">
        <w:rPr>
          <w:rFonts w:ascii="Times New Roman" w:hAnsi="Times New Roman" w:cs="Times New Roman"/>
          <w:sz w:val="24"/>
          <w:szCs w:val="24"/>
        </w:rPr>
        <w:t>e</w:t>
      </w:r>
      <w:r w:rsidR="00731342" w:rsidRPr="0024496C">
        <w:rPr>
          <w:rFonts w:ascii="Times New Roman" w:hAnsi="Times New Roman" w:cs="Times New Roman"/>
          <w:sz w:val="24"/>
          <w:szCs w:val="24"/>
        </w:rPr>
        <w:t xml:space="preserve"> </w:t>
      </w:r>
      <w:r w:rsidRPr="0024496C">
        <w:rPr>
          <w:rFonts w:ascii="Times New Roman" w:hAnsi="Times New Roman" w:cs="Times New Roman"/>
          <w:sz w:val="24"/>
          <w:szCs w:val="24"/>
        </w:rPr>
        <w:t xml:space="preserve">that all employees have satisfied the </w:t>
      </w:r>
      <w:r w:rsidR="00731342" w:rsidRPr="0024496C">
        <w:rPr>
          <w:rFonts w:ascii="Times New Roman" w:hAnsi="Times New Roman" w:cs="Times New Roman"/>
          <w:sz w:val="24"/>
          <w:szCs w:val="24"/>
        </w:rPr>
        <w:t>one</w:t>
      </w:r>
      <w:r w:rsidR="00731342">
        <w:rPr>
          <w:rFonts w:ascii="Times New Roman" w:hAnsi="Times New Roman" w:cs="Times New Roman"/>
          <w:sz w:val="24"/>
          <w:szCs w:val="24"/>
        </w:rPr>
        <w:t>-</w:t>
      </w:r>
      <w:r w:rsidRPr="0024496C">
        <w:rPr>
          <w:rFonts w:ascii="Times New Roman" w:hAnsi="Times New Roman" w:cs="Times New Roman"/>
          <w:sz w:val="24"/>
          <w:szCs w:val="24"/>
        </w:rPr>
        <w:t xml:space="preserve">year service requirement and are </w:t>
      </w:r>
      <w:r w:rsidR="00731342" w:rsidRPr="0024496C">
        <w:rPr>
          <w:rFonts w:ascii="Times New Roman" w:hAnsi="Times New Roman" w:cs="Times New Roman"/>
          <w:sz w:val="24"/>
          <w:szCs w:val="24"/>
        </w:rPr>
        <w:t>full</w:t>
      </w:r>
      <w:r w:rsidR="00731342">
        <w:rPr>
          <w:rFonts w:ascii="Times New Roman" w:hAnsi="Times New Roman" w:cs="Times New Roman"/>
          <w:sz w:val="24"/>
          <w:szCs w:val="24"/>
        </w:rPr>
        <w:t>-</w:t>
      </w:r>
      <w:r w:rsidRPr="0024496C">
        <w:rPr>
          <w:rFonts w:ascii="Times New Roman" w:hAnsi="Times New Roman" w:cs="Times New Roman"/>
          <w:sz w:val="24"/>
          <w:szCs w:val="24"/>
        </w:rPr>
        <w:t>time, i.e.</w:t>
      </w:r>
      <w:r w:rsidR="00731342">
        <w:rPr>
          <w:rFonts w:ascii="Times New Roman" w:hAnsi="Times New Roman" w:cs="Times New Roman"/>
          <w:sz w:val="24"/>
          <w:szCs w:val="24"/>
        </w:rPr>
        <w:t>,</w:t>
      </w:r>
      <w:r w:rsidRPr="0024496C">
        <w:rPr>
          <w:rFonts w:ascii="Times New Roman" w:hAnsi="Times New Roman" w:cs="Times New Roman"/>
          <w:sz w:val="24"/>
          <w:szCs w:val="24"/>
        </w:rPr>
        <w:t xml:space="preserve"> 1</w:t>
      </w:r>
      <w:r w:rsidR="00731342">
        <w:rPr>
          <w:rFonts w:ascii="Times New Roman" w:hAnsi="Times New Roman" w:cs="Times New Roman"/>
          <w:sz w:val="24"/>
          <w:szCs w:val="24"/>
        </w:rPr>
        <w:t>,</w:t>
      </w:r>
      <w:r w:rsidRPr="0024496C">
        <w:rPr>
          <w:rFonts w:ascii="Times New Roman" w:hAnsi="Times New Roman" w:cs="Times New Roman"/>
          <w:sz w:val="24"/>
          <w:szCs w:val="24"/>
        </w:rPr>
        <w:t>000 hours or more per year.</w:t>
      </w:r>
    </w:p>
    <w:p w:rsidR="0024496C" w:rsidRPr="0024496C" w:rsidRDefault="0024496C" w:rsidP="0024496C">
      <w:pPr>
        <w:pStyle w:val="NoSpacing"/>
        <w:ind w:left="72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30"/>
        <w:gridCol w:w="1670"/>
        <w:gridCol w:w="603"/>
        <w:gridCol w:w="1323"/>
        <w:gridCol w:w="1970"/>
      </w:tblGrid>
      <w:tr w:rsidR="000A5784" w:rsidRPr="0024496C" w:rsidTr="003914E0">
        <w:trPr>
          <w:trHeight w:val="356"/>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24496C">
            <w:pPr>
              <w:pStyle w:val="TableHead"/>
              <w:rPr>
                <w:rFonts w:ascii="Times New Roman" w:eastAsiaTheme="minorHAnsi" w:hAnsi="Times New Roman" w:cs="Times New Roman"/>
                <w:bCs w:val="0"/>
                <w:color w:val="auto"/>
                <w:sz w:val="24"/>
                <w:szCs w:val="24"/>
              </w:rPr>
            </w:pPr>
            <w:r w:rsidRPr="000F4979">
              <w:rPr>
                <w:rFonts w:ascii="Times New Roman" w:eastAsiaTheme="minorHAnsi" w:hAnsi="Times New Roman" w:cs="Times New Roman"/>
                <w:bCs w:val="0"/>
                <w:color w:val="auto"/>
                <w:sz w:val="24"/>
                <w:szCs w:val="24"/>
              </w:rPr>
              <w:t xml:space="preserve">Table </w:t>
            </w:r>
            <w:r w:rsidR="0024496C" w:rsidRPr="000F4979">
              <w:rPr>
                <w:rFonts w:ascii="Times New Roman" w:eastAsiaTheme="minorHAnsi" w:hAnsi="Times New Roman" w:cs="Times New Roman"/>
                <w:bCs w:val="0"/>
                <w:color w:val="auto"/>
                <w:sz w:val="24"/>
                <w:szCs w:val="24"/>
              </w:rPr>
              <w:t>4</w:t>
            </w:r>
            <w:r w:rsidRPr="000F4979">
              <w:rPr>
                <w:rFonts w:ascii="Times New Roman" w:eastAsiaTheme="minorHAnsi" w:hAnsi="Times New Roman" w:cs="Times New Roman"/>
                <w:bCs w:val="0"/>
                <w:color w:val="auto"/>
                <w:sz w:val="24"/>
                <w:szCs w:val="24"/>
              </w:rPr>
              <w:t>-1. Year 201</w:t>
            </w:r>
            <w:r w:rsidR="0024496C" w:rsidRPr="000F4979">
              <w:rPr>
                <w:rFonts w:ascii="Times New Roman" w:eastAsiaTheme="minorHAnsi" w:hAnsi="Times New Roman" w:cs="Times New Roman"/>
                <w:bCs w:val="0"/>
                <w:color w:val="auto"/>
                <w:sz w:val="24"/>
                <w:szCs w:val="24"/>
              </w:rPr>
              <w:t>3</w:t>
            </w:r>
            <w:r w:rsidRPr="000F4979">
              <w:rPr>
                <w:rFonts w:ascii="Times New Roman" w:eastAsiaTheme="minorHAnsi" w:hAnsi="Times New Roman" w:cs="Times New Roman"/>
                <w:bCs w:val="0"/>
                <w:color w:val="auto"/>
                <w:sz w:val="24"/>
                <w:szCs w:val="24"/>
              </w:rPr>
              <w:t xml:space="preserve"> Employee Census Information</w:t>
            </w:r>
          </w:p>
        </w:tc>
      </w:tr>
      <w:tr w:rsidR="000A5784" w:rsidRPr="0024496C" w:rsidTr="003914E0">
        <w:trPr>
          <w:trHeight w:val="6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pStyle w:val="NoParagraphStyle"/>
              <w:spacing w:line="240" w:lineRule="auto"/>
              <w:textAlignment w:val="auto"/>
              <w:rPr>
                <w:rFonts w:ascii="Times New Roman" w:eastAsiaTheme="minorHAnsi"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jc w:val="center"/>
              <w:rPr>
                <w:rFonts w:eastAsiaTheme="minorHAnsi"/>
                <w:b/>
                <w:i/>
              </w:rPr>
            </w:pPr>
            <w:r w:rsidRPr="000F4979">
              <w:rPr>
                <w:rFonts w:eastAsiaTheme="minorHAnsi"/>
                <w:b/>
                <w:i/>
              </w:rPr>
              <w:t>201</w:t>
            </w:r>
            <w:r w:rsidR="0024496C" w:rsidRPr="000F4979">
              <w:rPr>
                <w:rFonts w:eastAsiaTheme="minorHAnsi"/>
                <w:b/>
                <w:i/>
              </w:rPr>
              <w:t>2</w:t>
            </w:r>
            <w:r w:rsidRPr="000F4979">
              <w:rPr>
                <w:rFonts w:eastAsiaTheme="minorHAnsi"/>
                <w:b/>
                <w:i/>
              </w:rPr>
              <w:t xml:space="preserve"> and 201</w:t>
            </w:r>
            <w:r w:rsidR="0024496C" w:rsidRPr="000F4979">
              <w:rPr>
                <w:rFonts w:eastAsiaTheme="minorHAnsi"/>
                <w:b/>
                <w:i/>
              </w:rPr>
              <w:t>3</w:t>
            </w:r>
          </w:p>
          <w:p w:rsidR="000A5784" w:rsidRPr="000F4979" w:rsidRDefault="000A5784" w:rsidP="003914E0">
            <w:pPr>
              <w:suppressAutoHyphens/>
              <w:jc w:val="center"/>
              <w:rPr>
                <w:rFonts w:eastAsiaTheme="minorHAnsi"/>
                <w:b/>
                <w:i/>
              </w:rPr>
            </w:pPr>
            <w:r w:rsidRPr="000F4979">
              <w:rPr>
                <w:rFonts w:eastAsiaTheme="minorHAnsi"/>
                <w:b/>
                <w:i/>
              </w:rPr>
              <w:t>Compensation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jc w:val="center"/>
              <w:rPr>
                <w:rFonts w:eastAsiaTheme="minorHAnsi"/>
                <w:b/>
                <w:i/>
              </w:rPr>
            </w:pPr>
            <w:r w:rsidRPr="000F4979">
              <w:rPr>
                <w:rFonts w:eastAsiaTheme="minorHAnsi"/>
                <w:b/>
                <w:i/>
              </w:rPr>
              <w: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jc w:val="center"/>
              <w:rPr>
                <w:rFonts w:eastAsiaTheme="minorHAnsi"/>
                <w:b/>
                <w:i/>
              </w:rPr>
            </w:pPr>
            <w:r w:rsidRPr="000F4979">
              <w:rPr>
                <w:rFonts w:eastAsiaTheme="minorHAnsi"/>
                <w:b/>
                <w:i/>
              </w:rPr>
              <w:t>Percentage</w:t>
            </w:r>
          </w:p>
          <w:p w:rsidR="000A5784" w:rsidRPr="000F4979" w:rsidRDefault="000A5784" w:rsidP="003914E0">
            <w:pPr>
              <w:suppressAutoHyphens/>
              <w:jc w:val="center"/>
              <w:rPr>
                <w:rFonts w:eastAsiaTheme="minorHAnsi"/>
                <w:b/>
                <w:i/>
              </w:rPr>
            </w:pPr>
            <w:r w:rsidRPr="000F4979">
              <w:rPr>
                <w:rFonts w:eastAsiaTheme="minorHAnsi"/>
                <w:b/>
                <w:i/>
              </w:rPr>
              <w:t>Ownership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jc w:val="center"/>
              <w:rPr>
                <w:rFonts w:eastAsiaTheme="minorHAnsi"/>
                <w:b/>
                <w:i/>
              </w:rPr>
            </w:pPr>
            <w:r w:rsidRPr="000F4979">
              <w:rPr>
                <w:rFonts w:eastAsiaTheme="minorHAnsi"/>
                <w:b/>
                <w:i/>
              </w:rPr>
              <w:t>Job</w:t>
            </w:r>
          </w:p>
          <w:p w:rsidR="000A5784" w:rsidRPr="000F4979" w:rsidRDefault="000A5784" w:rsidP="003914E0">
            <w:pPr>
              <w:suppressAutoHyphens/>
              <w:jc w:val="center"/>
              <w:rPr>
                <w:rFonts w:eastAsiaTheme="minorHAnsi"/>
                <w:b/>
                <w:i/>
              </w:rPr>
            </w:pPr>
            <w:r w:rsidRPr="000F4979">
              <w:rPr>
                <w:rFonts w:eastAsiaTheme="minorHAnsi"/>
                <w:b/>
                <w:i/>
              </w:rPr>
              <w:t>Description</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Owner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$300,000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Owner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$180,000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Owner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pStyle w:val="NoParagraphStyle"/>
              <w:spacing w:line="240" w:lineRule="auto"/>
              <w:textAlignment w:val="auto"/>
              <w:rPr>
                <w:rFonts w:ascii="Times New Roman" w:eastAsiaTheme="minorHAnsi"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Clerical</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Office manager</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Clerk</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594EC5">
            <w:pPr>
              <w:suppressAutoHyphens/>
              <w:ind w:right="252"/>
              <w:jc w:val="right"/>
              <w:rPr>
                <w:rFonts w:eastAsiaTheme="minorHAnsi"/>
              </w:rPr>
            </w:pPr>
            <w:r w:rsidRPr="0024496C">
              <w:rPr>
                <w:rFonts w:eastAsiaTheme="minorHAnsi"/>
              </w:rPr>
              <w:t>$1</w:t>
            </w:r>
            <w:r w:rsidR="00594EC5">
              <w:rPr>
                <w:rFonts w:eastAsiaTheme="minorHAnsi"/>
              </w:rPr>
              <w:t>15</w:t>
            </w:r>
            <w:r w:rsidRPr="0024496C">
              <w:rPr>
                <w:rFonts w:eastAsiaTheme="minorHAnsi"/>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92E4E" w:rsidP="00092E4E">
            <w:pPr>
              <w:suppressAutoHyphens/>
              <w:rPr>
                <w:rFonts w:eastAsiaTheme="minorHAnsi"/>
              </w:rPr>
            </w:pPr>
            <w:r w:rsidRPr="0024496C">
              <w:rPr>
                <w:rFonts w:eastAsiaTheme="minorHAnsi"/>
              </w:rPr>
              <w:t>Sales</w:t>
            </w:r>
            <w:r>
              <w:rPr>
                <w:rFonts w:eastAsiaTheme="minorHAnsi"/>
              </w:rPr>
              <w:t xml:space="preserve"> rep</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Shipping</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$64,000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Shipping manager</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Shipping</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594EC5">
            <w:pPr>
              <w:suppressAutoHyphens/>
              <w:ind w:right="252"/>
              <w:jc w:val="right"/>
              <w:rPr>
                <w:rFonts w:eastAsiaTheme="minorHAnsi"/>
              </w:rPr>
            </w:pPr>
            <w:r w:rsidRPr="0024496C">
              <w:rPr>
                <w:rFonts w:eastAsiaTheme="minorHAnsi"/>
              </w:rPr>
              <w:t>$11</w:t>
            </w:r>
            <w:r w:rsidR="00594EC5">
              <w:rPr>
                <w:rFonts w:eastAsiaTheme="minorHAnsi"/>
              </w:rPr>
              <w:t>5</w:t>
            </w:r>
            <w:r w:rsidRPr="0024496C">
              <w:rPr>
                <w:rFonts w:eastAsiaTheme="minorHAnsi"/>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92E4E" w:rsidP="00092E4E">
            <w:pPr>
              <w:suppressAutoHyphens/>
              <w:rPr>
                <w:rFonts w:eastAsiaTheme="minorHAnsi"/>
              </w:rPr>
            </w:pPr>
            <w:r w:rsidRPr="0024496C">
              <w:rPr>
                <w:rFonts w:eastAsiaTheme="minorHAnsi"/>
              </w:rPr>
              <w:t>Sales</w:t>
            </w:r>
            <w:r>
              <w:rPr>
                <w:rFonts w:eastAsiaTheme="minorHAnsi"/>
              </w:rPr>
              <w:t xml:space="preserve"> rep</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Shipping</w:t>
            </w:r>
          </w:p>
        </w:tc>
      </w:tr>
      <w:tr w:rsidR="000A5784" w:rsidRPr="0024496C" w:rsidTr="003914E0">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0F4979" w:rsidRDefault="000A5784" w:rsidP="003914E0">
            <w:pPr>
              <w:suppressAutoHyphens/>
              <w:rPr>
                <w:rFonts w:eastAsiaTheme="minorHAnsi"/>
                <w:b/>
              </w:rPr>
            </w:pPr>
            <w:r w:rsidRPr="000F4979">
              <w:rPr>
                <w:rFonts w:eastAsiaTheme="minorHAnsi"/>
                <w:b/>
              </w:rPr>
              <w:t>Employee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ind w:right="252"/>
              <w:jc w:val="right"/>
              <w:rPr>
                <w:rFonts w:eastAsiaTheme="minorHAnsi"/>
              </w:rPr>
            </w:pPr>
            <w:r w:rsidRPr="0024496C">
              <w:rPr>
                <w:rFonts w:eastAsiaTheme="minorHAnsi"/>
              </w:rPr>
              <w:t>$42,000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jc w:val="center"/>
              <w:rPr>
                <w:rFonts w:eastAsiaTheme="minorHAnsi"/>
              </w:rPr>
            </w:pPr>
            <w:r w:rsidRPr="0024496C">
              <w:rPr>
                <w:rFonts w:eastAsiaTheme="minorHAnsi"/>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pStyle w:val="NoParagraphStyle"/>
              <w:spacing w:line="240" w:lineRule="auto"/>
              <w:textAlignment w:val="auto"/>
              <w:rPr>
                <w:rFonts w:ascii="Times New Roman" w:eastAsiaTheme="minorHAnsi"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784" w:rsidRPr="0024496C" w:rsidRDefault="000A5784" w:rsidP="003914E0">
            <w:pPr>
              <w:suppressAutoHyphens/>
              <w:rPr>
                <w:rFonts w:eastAsiaTheme="minorHAnsi"/>
              </w:rPr>
            </w:pPr>
            <w:r w:rsidRPr="0024496C">
              <w:rPr>
                <w:rFonts w:eastAsiaTheme="minorHAnsi"/>
              </w:rPr>
              <w:t>Clerk</w:t>
            </w:r>
          </w:p>
        </w:tc>
      </w:tr>
    </w:tbl>
    <w:p w:rsidR="000A5784" w:rsidRDefault="000A5784" w:rsidP="007502D4">
      <w:pPr>
        <w:pStyle w:val="NoSpacing"/>
        <w:ind w:left="720"/>
        <w:rPr>
          <w:rFonts w:ascii="Times New Roman" w:hAnsi="Times New Roman" w:cs="Times New Roman"/>
          <w:sz w:val="24"/>
          <w:szCs w:val="24"/>
        </w:rPr>
      </w:pPr>
    </w:p>
    <w:p w:rsid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lastRenderedPageBreak/>
        <w:t xml:space="preserve">If Company A’s plan excluded Employees 4 and 8, it would </w:t>
      </w:r>
      <w:r w:rsidR="0087094B">
        <w:rPr>
          <w:rFonts w:ascii="Times New Roman" w:hAnsi="Times New Roman" w:cs="Times New Roman"/>
          <w:sz w:val="24"/>
          <w:szCs w:val="24"/>
        </w:rPr>
        <w:t>cover</w:t>
      </w:r>
      <w:r w:rsidRPr="003914E0">
        <w:rPr>
          <w:rFonts w:ascii="Times New Roman" w:hAnsi="Times New Roman" w:cs="Times New Roman"/>
          <w:sz w:val="24"/>
          <w:szCs w:val="24"/>
        </w:rPr>
        <w:t xml:space="preserve"> only 60 percent of the HCEs (three out of five). Applying the </w:t>
      </w:r>
      <w:r w:rsidR="00092E4E">
        <w:rPr>
          <w:rFonts w:ascii="Times New Roman" w:hAnsi="Times New Roman" w:cs="Times New Roman"/>
          <w:sz w:val="24"/>
          <w:szCs w:val="24"/>
        </w:rPr>
        <w:t>Code</w:t>
      </w:r>
      <w:r w:rsidR="00092E4E" w:rsidRPr="003914E0">
        <w:rPr>
          <w:rFonts w:ascii="Times New Roman" w:hAnsi="Times New Roman" w:cs="Times New Roman"/>
          <w:sz w:val="24"/>
          <w:szCs w:val="24"/>
        </w:rPr>
        <w:t xml:space="preserve"> </w:t>
      </w:r>
      <w:r w:rsidRPr="003914E0">
        <w:rPr>
          <w:rFonts w:ascii="Times New Roman" w:hAnsi="Times New Roman" w:cs="Times New Roman"/>
          <w:sz w:val="24"/>
          <w:szCs w:val="24"/>
        </w:rPr>
        <w:t>Section 410(b) rule, 70 percent of the HCE percentage of 60 percent equals 42 percent</w:t>
      </w:r>
      <w:r w:rsidR="00092E4E">
        <w:rPr>
          <w:rFonts w:ascii="Times New Roman" w:hAnsi="Times New Roman" w:cs="Times New Roman"/>
          <w:sz w:val="24"/>
          <w:szCs w:val="24"/>
        </w:rPr>
        <w:t>.</w:t>
      </w:r>
      <w:r w:rsidR="00092E4E" w:rsidRPr="003914E0">
        <w:rPr>
          <w:rFonts w:ascii="Times New Roman" w:hAnsi="Times New Roman" w:cs="Times New Roman"/>
          <w:sz w:val="24"/>
          <w:szCs w:val="24"/>
        </w:rPr>
        <w:t xml:space="preserve"> </w:t>
      </w:r>
      <w:r w:rsidR="00092E4E">
        <w:rPr>
          <w:rFonts w:ascii="Times New Roman" w:hAnsi="Times New Roman" w:cs="Times New Roman"/>
          <w:sz w:val="24"/>
          <w:szCs w:val="24"/>
        </w:rPr>
        <w:t>Therefore, a</w:t>
      </w:r>
      <w:r w:rsidR="00092E4E" w:rsidRPr="003914E0">
        <w:rPr>
          <w:rFonts w:ascii="Times New Roman" w:hAnsi="Times New Roman" w:cs="Times New Roman"/>
          <w:sz w:val="24"/>
          <w:szCs w:val="24"/>
        </w:rPr>
        <w:t xml:space="preserve">t </w:t>
      </w:r>
      <w:r w:rsidRPr="003914E0">
        <w:rPr>
          <w:rFonts w:ascii="Times New Roman" w:hAnsi="Times New Roman" w:cs="Times New Roman"/>
          <w:sz w:val="24"/>
          <w:szCs w:val="24"/>
        </w:rPr>
        <w:t>least 42 percent of the NHCEs must be covered by the Company A retirement plan. Multiplying the 42</w:t>
      </w:r>
      <w:r w:rsidR="00092E4E">
        <w:rPr>
          <w:rFonts w:ascii="Times New Roman" w:hAnsi="Times New Roman" w:cs="Times New Roman"/>
          <w:sz w:val="24"/>
          <w:szCs w:val="24"/>
        </w:rPr>
        <w:t xml:space="preserve"> </w:t>
      </w:r>
      <w:r w:rsidRPr="003914E0">
        <w:rPr>
          <w:rFonts w:ascii="Times New Roman" w:hAnsi="Times New Roman" w:cs="Times New Roman"/>
          <w:sz w:val="24"/>
          <w:szCs w:val="24"/>
        </w:rPr>
        <w:t>percent coverage requirement for NHCEs by eight (the number of NHCEs) means that at least 3.36 employees, rounded to four, must be covered.</w:t>
      </w:r>
    </w:p>
    <w:p w:rsidR="003914E0" w:rsidRPr="003914E0" w:rsidRDefault="003914E0" w:rsidP="003914E0">
      <w:pPr>
        <w:pStyle w:val="NoSpacing"/>
        <w:ind w:left="720"/>
        <w:rPr>
          <w:rFonts w:ascii="Times New Roman" w:hAnsi="Times New Roman" w:cs="Times New Roman"/>
          <w:sz w:val="24"/>
          <w:szCs w:val="24"/>
        </w:rPr>
      </w:pPr>
    </w:p>
    <w:p w:rsidR="0024496C"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 xml:space="preserve">If the goal were to minimize the cost for employees, the type of plan to be adopted would dictate which employees to include. If the plan were </w:t>
      </w:r>
      <w:r w:rsidR="00092E4E" w:rsidRPr="003914E0">
        <w:rPr>
          <w:rFonts w:ascii="Times New Roman" w:hAnsi="Times New Roman" w:cs="Times New Roman"/>
          <w:sz w:val="24"/>
          <w:szCs w:val="24"/>
        </w:rPr>
        <w:t>compensation</w:t>
      </w:r>
      <w:r w:rsidR="00092E4E">
        <w:rPr>
          <w:rFonts w:ascii="Times New Roman" w:hAnsi="Times New Roman" w:cs="Times New Roman"/>
          <w:sz w:val="24"/>
          <w:szCs w:val="24"/>
        </w:rPr>
        <w:t>-</w:t>
      </w:r>
      <w:r w:rsidRPr="003914E0">
        <w:rPr>
          <w:rFonts w:ascii="Times New Roman" w:hAnsi="Times New Roman" w:cs="Times New Roman"/>
          <w:sz w:val="24"/>
          <w:szCs w:val="24"/>
        </w:rPr>
        <w:t xml:space="preserve">based only, the job classes with the lowest paid employees would be chosen. If the plan were age and compensation based, the analysis would be more involved because the lowest cost employees would be affected by both age and compensation. An older employee with low compensation could have a much higher contribution than a young employee with high compensation. In a target benefit pension plan which is an age-weighted money purchase plan, the contribution for an employee age </w:t>
      </w:r>
      <w:r w:rsidR="001B3CAE">
        <w:rPr>
          <w:rFonts w:ascii="Times New Roman" w:hAnsi="Times New Roman" w:cs="Times New Roman"/>
          <w:sz w:val="24"/>
          <w:szCs w:val="24"/>
        </w:rPr>
        <w:t>fifty-five</w:t>
      </w:r>
      <w:r w:rsidR="001B3CAE" w:rsidRPr="003914E0">
        <w:rPr>
          <w:rFonts w:ascii="Times New Roman" w:hAnsi="Times New Roman" w:cs="Times New Roman"/>
          <w:sz w:val="24"/>
          <w:szCs w:val="24"/>
        </w:rPr>
        <w:t xml:space="preserve"> </w:t>
      </w:r>
      <w:r w:rsidRPr="003914E0">
        <w:rPr>
          <w:rFonts w:ascii="Times New Roman" w:hAnsi="Times New Roman" w:cs="Times New Roman"/>
          <w:sz w:val="24"/>
          <w:szCs w:val="24"/>
        </w:rPr>
        <w:t xml:space="preserve">would be 7.25 times the contribution for an employee age </w:t>
      </w:r>
      <w:r w:rsidR="001B3CAE">
        <w:rPr>
          <w:rFonts w:ascii="Times New Roman" w:hAnsi="Times New Roman" w:cs="Times New Roman"/>
          <w:sz w:val="24"/>
          <w:szCs w:val="24"/>
        </w:rPr>
        <w:t>thirty-five</w:t>
      </w:r>
      <w:r w:rsidR="001B3CAE" w:rsidRPr="003914E0">
        <w:rPr>
          <w:rFonts w:ascii="Times New Roman" w:hAnsi="Times New Roman" w:cs="Times New Roman"/>
          <w:sz w:val="24"/>
          <w:szCs w:val="24"/>
        </w:rPr>
        <w:t xml:space="preserve"> </w:t>
      </w:r>
      <w:r w:rsidRPr="003914E0">
        <w:rPr>
          <w:rFonts w:ascii="Times New Roman" w:hAnsi="Times New Roman" w:cs="Times New Roman"/>
          <w:sz w:val="24"/>
          <w:szCs w:val="24"/>
        </w:rPr>
        <w:t>assuming equal compensation</w:t>
      </w:r>
      <w:r w:rsidR="00BD3E08">
        <w:rPr>
          <w:rFonts w:ascii="Times New Roman" w:hAnsi="Times New Roman" w:cs="Times New Roman"/>
          <w:sz w:val="24"/>
          <w:szCs w:val="24"/>
        </w:rPr>
        <w:t xml:space="preserve"> (assuming 7.5</w:t>
      </w:r>
      <w:r w:rsidR="001B3CAE">
        <w:rPr>
          <w:rFonts w:ascii="Times New Roman" w:hAnsi="Times New Roman" w:cs="Times New Roman"/>
          <w:sz w:val="24"/>
          <w:szCs w:val="24"/>
        </w:rPr>
        <w:t xml:space="preserve"> percent </w:t>
      </w:r>
      <w:r w:rsidR="00BD3E08">
        <w:rPr>
          <w:rFonts w:ascii="Times New Roman" w:hAnsi="Times New Roman" w:cs="Times New Roman"/>
          <w:sz w:val="24"/>
          <w:szCs w:val="24"/>
        </w:rPr>
        <w:t xml:space="preserve">interest </w:t>
      </w:r>
      <w:proofErr w:type="spellStart"/>
      <w:r w:rsidR="00BD3E08">
        <w:rPr>
          <w:rFonts w:ascii="Times New Roman" w:hAnsi="Times New Roman" w:cs="Times New Roman"/>
          <w:sz w:val="24"/>
          <w:szCs w:val="24"/>
        </w:rPr>
        <w:t>andmortality</w:t>
      </w:r>
      <w:proofErr w:type="spellEnd"/>
      <w:r w:rsidR="00FB01F3">
        <w:rPr>
          <w:rFonts w:ascii="Times New Roman" w:hAnsi="Times New Roman" w:cs="Times New Roman"/>
          <w:sz w:val="24"/>
          <w:szCs w:val="24"/>
        </w:rPr>
        <w:t xml:space="preserve"> of 84 years</w:t>
      </w:r>
      <w:r w:rsidR="00BD3E08">
        <w:rPr>
          <w:rFonts w:ascii="Times New Roman" w:hAnsi="Times New Roman" w:cs="Times New Roman"/>
          <w:sz w:val="24"/>
          <w:szCs w:val="24"/>
        </w:rPr>
        <w:t>)</w:t>
      </w:r>
      <w:r w:rsidRPr="003914E0">
        <w:rPr>
          <w:rFonts w:ascii="Times New Roman" w:hAnsi="Times New Roman" w:cs="Times New Roman"/>
          <w:sz w:val="24"/>
          <w:szCs w:val="24"/>
        </w:rPr>
        <w:t>.</w:t>
      </w:r>
    </w:p>
    <w:p w:rsidR="003914E0" w:rsidRDefault="003914E0" w:rsidP="003914E0">
      <w:pPr>
        <w:pStyle w:val="NoSpacing"/>
        <w:ind w:left="720"/>
        <w:rPr>
          <w:rFonts w:ascii="Times New Roman" w:hAnsi="Times New Roman" w:cs="Times New Roman"/>
          <w:sz w:val="24"/>
          <w:szCs w:val="24"/>
        </w:rPr>
      </w:pPr>
    </w:p>
    <w:p w:rsidR="00594EC5" w:rsidRDefault="003914E0" w:rsidP="003914E0">
      <w:pPr>
        <w:pStyle w:val="NoSpacing"/>
        <w:ind w:left="720"/>
        <w:rPr>
          <w:rFonts w:ascii="Times New Roman" w:hAnsi="Times New Roman" w:cs="Times New Roman"/>
          <w:sz w:val="24"/>
          <w:szCs w:val="24"/>
        </w:rPr>
      </w:pPr>
      <w:proofErr w:type="gramStart"/>
      <w:r w:rsidRPr="003914E0">
        <w:rPr>
          <w:rFonts w:ascii="Times New Roman" w:hAnsi="Times New Roman" w:cs="Times New Roman"/>
          <w:b/>
          <w:sz w:val="24"/>
          <w:szCs w:val="24"/>
        </w:rPr>
        <w:t>Example 2.</w:t>
      </w:r>
      <w:proofErr w:type="gramEnd"/>
      <w:r w:rsidRPr="003914E0">
        <w:rPr>
          <w:rFonts w:ascii="Times New Roman" w:hAnsi="Times New Roman" w:cs="Times New Roman"/>
          <w:sz w:val="24"/>
          <w:szCs w:val="24"/>
        </w:rPr>
        <w:t xml:space="preserve"> Company </w:t>
      </w:r>
      <w:r w:rsidR="005A0F91">
        <w:rPr>
          <w:rFonts w:ascii="Times New Roman" w:hAnsi="Times New Roman" w:cs="Times New Roman"/>
          <w:sz w:val="24"/>
          <w:szCs w:val="24"/>
        </w:rPr>
        <w:t>A</w:t>
      </w:r>
      <w:r w:rsidR="005A0F91" w:rsidRPr="003914E0">
        <w:rPr>
          <w:rFonts w:ascii="Times New Roman" w:hAnsi="Times New Roman" w:cs="Times New Roman"/>
          <w:sz w:val="24"/>
          <w:szCs w:val="24"/>
        </w:rPr>
        <w:t xml:space="preserve"> </w:t>
      </w:r>
      <w:r w:rsidRPr="003914E0">
        <w:rPr>
          <w:rFonts w:ascii="Times New Roman" w:hAnsi="Times New Roman" w:cs="Times New Roman"/>
          <w:sz w:val="24"/>
          <w:szCs w:val="24"/>
        </w:rPr>
        <w:t xml:space="preserve">would like its retirement plan to provide maximum benefits to Owner A, who will be retiring in the next five years (see Table </w:t>
      </w:r>
      <w:r w:rsidR="004669BE">
        <w:rPr>
          <w:rFonts w:ascii="Times New Roman" w:hAnsi="Times New Roman" w:cs="Times New Roman"/>
          <w:sz w:val="24"/>
          <w:szCs w:val="24"/>
        </w:rPr>
        <w:t>4</w:t>
      </w:r>
      <w:r w:rsidRPr="003914E0">
        <w:rPr>
          <w:rFonts w:ascii="Times New Roman" w:hAnsi="Times New Roman" w:cs="Times New Roman"/>
          <w:sz w:val="24"/>
          <w:szCs w:val="24"/>
        </w:rPr>
        <w:t xml:space="preserve">-1 for employee data for this example). A defined benefit plan accomplishes this </w:t>
      </w:r>
      <w:proofErr w:type="gramStart"/>
      <w:r w:rsidRPr="003914E0">
        <w:rPr>
          <w:rFonts w:ascii="Times New Roman" w:hAnsi="Times New Roman" w:cs="Times New Roman"/>
          <w:sz w:val="24"/>
          <w:szCs w:val="24"/>
        </w:rPr>
        <w:t>nicely .</w:t>
      </w:r>
      <w:proofErr w:type="gramEnd"/>
      <w:r w:rsidRPr="003914E0">
        <w:rPr>
          <w:rFonts w:ascii="Times New Roman" w:hAnsi="Times New Roman" w:cs="Times New Roman"/>
          <w:sz w:val="24"/>
          <w:szCs w:val="24"/>
        </w:rPr>
        <w:t xml:space="preserve"> </w:t>
      </w:r>
    </w:p>
    <w:p w:rsidR="00594EC5" w:rsidRDefault="00594EC5" w:rsidP="003914E0">
      <w:pPr>
        <w:pStyle w:val="NoSpacing"/>
        <w:ind w:left="720"/>
        <w:rPr>
          <w:rFonts w:ascii="Times New Roman" w:hAnsi="Times New Roman" w:cs="Times New Roman"/>
          <w:sz w:val="24"/>
          <w:szCs w:val="24"/>
        </w:rPr>
      </w:pPr>
    </w:p>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 xml:space="preserve">Unfortunately, with </w:t>
      </w:r>
      <w:r w:rsidR="008D2D7E">
        <w:rPr>
          <w:rFonts w:ascii="Times New Roman" w:hAnsi="Times New Roman" w:cs="Times New Roman"/>
          <w:sz w:val="24"/>
          <w:szCs w:val="24"/>
        </w:rPr>
        <w:t>ten</w:t>
      </w:r>
      <w:r w:rsidR="008D2D7E" w:rsidRPr="003914E0">
        <w:rPr>
          <w:rFonts w:ascii="Times New Roman" w:hAnsi="Times New Roman" w:cs="Times New Roman"/>
          <w:sz w:val="24"/>
          <w:szCs w:val="24"/>
        </w:rPr>
        <w:t xml:space="preserve"> </w:t>
      </w:r>
      <w:r w:rsidRPr="003914E0">
        <w:rPr>
          <w:rFonts w:ascii="Times New Roman" w:hAnsi="Times New Roman" w:cs="Times New Roman"/>
          <w:sz w:val="24"/>
          <w:szCs w:val="24"/>
        </w:rPr>
        <w:t xml:space="preserve">other employees of varying ages and compensation, and two other owners, the plan could be extremely costly. Instead, the rules in </w:t>
      </w:r>
      <w:r w:rsidR="008D2D7E">
        <w:rPr>
          <w:rFonts w:ascii="Times New Roman" w:hAnsi="Times New Roman" w:cs="Times New Roman"/>
          <w:sz w:val="24"/>
          <w:szCs w:val="24"/>
        </w:rPr>
        <w:t>Code</w:t>
      </w:r>
      <w:r w:rsidR="008D2D7E" w:rsidRPr="003914E0">
        <w:rPr>
          <w:rFonts w:ascii="Times New Roman" w:hAnsi="Times New Roman" w:cs="Times New Roman"/>
          <w:sz w:val="24"/>
          <w:szCs w:val="24"/>
        </w:rPr>
        <w:t xml:space="preserve"> </w:t>
      </w:r>
      <w:r w:rsidRPr="003914E0">
        <w:rPr>
          <w:rFonts w:ascii="Times New Roman" w:hAnsi="Times New Roman" w:cs="Times New Roman"/>
          <w:sz w:val="24"/>
          <w:szCs w:val="24"/>
        </w:rPr>
        <w:t>Section 410(b) are used to accomplish the goal by adopting the defined benefit plan covering only the following employees:</w:t>
      </w:r>
      <w:r w:rsidR="0069200A">
        <w:rPr>
          <w:rStyle w:val="FootnoteReference"/>
          <w:rFonts w:ascii="Times New Roman" w:hAnsi="Times New Roman" w:cs="Times New Roman"/>
          <w:sz w:val="24"/>
          <w:szCs w:val="24"/>
        </w:rPr>
        <w:footnoteReference w:id="4"/>
      </w:r>
    </w:p>
    <w:tbl>
      <w:tblPr>
        <w:tblW w:w="0" w:type="auto"/>
        <w:jc w:val="center"/>
        <w:tblCellMar>
          <w:left w:w="0" w:type="dxa"/>
          <w:right w:w="0" w:type="dxa"/>
        </w:tblCellMar>
        <w:tblLook w:val="0000" w:firstRow="0" w:lastRow="0" w:firstColumn="0" w:lastColumn="0" w:noHBand="0" w:noVBand="0"/>
      </w:tblPr>
      <w:tblGrid>
        <w:gridCol w:w="2210"/>
        <w:gridCol w:w="1803"/>
      </w:tblGrid>
      <w:tr w:rsidR="003914E0" w:rsidRPr="003914E0" w:rsidTr="003914E0">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0F4979" w:rsidRDefault="003914E0" w:rsidP="003914E0">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Owner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p>
        </w:tc>
      </w:tr>
      <w:tr w:rsidR="003914E0" w:rsidRPr="003914E0" w:rsidTr="003914E0">
        <w:trPr>
          <w:trHeight w:val="3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Employee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Clerk</w:t>
            </w:r>
          </w:p>
        </w:tc>
      </w:tr>
      <w:tr w:rsidR="003914E0" w:rsidRPr="003914E0" w:rsidTr="003914E0">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Employee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Shipping</w:t>
            </w:r>
          </w:p>
        </w:tc>
      </w:tr>
      <w:tr w:rsidR="003914E0" w:rsidRPr="003914E0" w:rsidTr="003914E0">
        <w:trPr>
          <w:trHeight w:val="3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Employee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Shipping</w:t>
            </w:r>
          </w:p>
        </w:tc>
      </w:tr>
      <w:tr w:rsidR="003914E0" w:rsidRPr="003914E0" w:rsidTr="003914E0">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Employee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Shipping</w:t>
            </w:r>
          </w:p>
        </w:tc>
      </w:tr>
      <w:tr w:rsidR="003914E0" w:rsidRPr="003914E0" w:rsidTr="003914E0">
        <w:trPr>
          <w:trHeight w:val="3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Employee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Clerk</w:t>
            </w:r>
          </w:p>
        </w:tc>
      </w:tr>
    </w:tbl>
    <w:p w:rsidR="003914E0" w:rsidRPr="003914E0" w:rsidRDefault="003914E0" w:rsidP="003914E0">
      <w:pPr>
        <w:pStyle w:val="NoSpacing"/>
        <w:ind w:left="720"/>
        <w:rPr>
          <w:rFonts w:ascii="Times New Roman" w:hAnsi="Times New Roman" w:cs="Times New Roman"/>
          <w:sz w:val="24"/>
          <w:szCs w:val="24"/>
        </w:rPr>
      </w:pPr>
    </w:p>
    <w:p w:rsidR="003914E0" w:rsidRPr="003914E0" w:rsidRDefault="003914E0" w:rsidP="003914E0">
      <w:pPr>
        <w:pStyle w:val="NoSpacing"/>
        <w:ind w:left="720"/>
        <w:rPr>
          <w:rFonts w:ascii="Times New Roman" w:hAnsi="Times New Roman" w:cs="Times New Roman"/>
          <w:sz w:val="24"/>
          <w:szCs w:val="24"/>
        </w:rPr>
      </w:pPr>
      <w:r w:rsidRPr="003914E0">
        <w:rPr>
          <w:rFonts w:ascii="Times New Roman" w:hAnsi="Times New Roman" w:cs="Times New Roman"/>
          <w:sz w:val="24"/>
          <w:szCs w:val="24"/>
        </w:rPr>
        <w:t xml:space="preserve">Using the ratio percentage test, this plan covers 20 percent of the HCEs (one out of five); therefore, it must cover at least 70 percent of 20 percent, or 14 percent of the NHCEs. </w:t>
      </w:r>
      <w:r w:rsidR="00051FA2">
        <w:rPr>
          <w:rFonts w:ascii="Times New Roman" w:hAnsi="Times New Roman" w:cs="Times New Roman"/>
          <w:sz w:val="24"/>
          <w:szCs w:val="24"/>
        </w:rPr>
        <w:t xml:space="preserve"> </w:t>
      </w:r>
      <w:r w:rsidR="0087094B">
        <w:rPr>
          <w:rFonts w:ascii="Times New Roman" w:hAnsi="Times New Roman" w:cs="Times New Roman"/>
          <w:sz w:val="24"/>
          <w:szCs w:val="24"/>
        </w:rPr>
        <w:t>Because</w:t>
      </w:r>
      <w:r w:rsidR="0087094B" w:rsidRPr="003914E0">
        <w:rPr>
          <w:rFonts w:ascii="Times New Roman" w:hAnsi="Times New Roman" w:cs="Times New Roman"/>
          <w:sz w:val="24"/>
          <w:szCs w:val="24"/>
        </w:rPr>
        <w:t xml:space="preserve"> </w:t>
      </w:r>
      <w:r w:rsidRPr="003914E0">
        <w:rPr>
          <w:rFonts w:ascii="Times New Roman" w:hAnsi="Times New Roman" w:cs="Times New Roman"/>
          <w:sz w:val="24"/>
          <w:szCs w:val="24"/>
        </w:rPr>
        <w:t xml:space="preserve">the plan covers five out of eight NHCEs, or 62.5 percent, the test is </w:t>
      </w:r>
      <w:proofErr w:type="gramStart"/>
      <w:r w:rsidRPr="003914E0">
        <w:rPr>
          <w:rFonts w:ascii="Times New Roman" w:hAnsi="Times New Roman" w:cs="Times New Roman"/>
          <w:sz w:val="24"/>
          <w:szCs w:val="24"/>
        </w:rPr>
        <w:t>passed .</w:t>
      </w:r>
      <w:proofErr w:type="gramEnd"/>
      <w:r w:rsidRPr="003914E0">
        <w:rPr>
          <w:rFonts w:ascii="Times New Roman" w:hAnsi="Times New Roman" w:cs="Times New Roman"/>
          <w:sz w:val="24"/>
          <w:szCs w:val="24"/>
        </w:rPr>
        <w:t xml:space="preserve"> Even though the other five employees are excluded from the defined benefit plan, the employer could adopt a profit sharing/401(k) plan for all employees in addition to the defined benefit plan. This would give Owners A and B the opportunity to defer some of their compensation and participate in any employer contribution made to the profit sharing/401(k) plan.</w:t>
      </w:r>
    </w:p>
    <w:p w:rsidR="003914E0" w:rsidRDefault="003914E0" w:rsidP="003914E0">
      <w:pPr>
        <w:pStyle w:val="NoSpacing"/>
        <w:ind w:left="720"/>
        <w:rPr>
          <w:rFonts w:ascii="Times New Roman" w:hAnsi="Times New Roman" w:cs="Times New Roman"/>
          <w:sz w:val="24"/>
          <w:szCs w:val="24"/>
        </w:rPr>
      </w:pPr>
    </w:p>
    <w:p w:rsidR="003914E0" w:rsidRPr="003914E0" w:rsidRDefault="008927DD" w:rsidP="003914E0">
      <w:pPr>
        <w:pStyle w:val="NoSpacing"/>
        <w:ind w:left="720"/>
        <w:rPr>
          <w:rFonts w:ascii="Times New Roman" w:hAnsi="Times New Roman" w:cs="Times New Roman"/>
          <w:sz w:val="24"/>
          <w:szCs w:val="24"/>
        </w:rPr>
      </w:pPr>
      <w:r>
        <w:rPr>
          <w:rFonts w:ascii="Times New Roman" w:hAnsi="Times New Roman" w:cs="Times New Roman"/>
          <w:b/>
          <w:sz w:val="24"/>
          <w:szCs w:val="24"/>
        </w:rPr>
        <w:lastRenderedPageBreak/>
        <w:t>Practice</w:t>
      </w:r>
      <w:r w:rsidR="00FB01F3">
        <w:rPr>
          <w:rFonts w:ascii="Times New Roman" w:hAnsi="Times New Roman" w:cs="Times New Roman"/>
          <w:b/>
          <w:sz w:val="24"/>
          <w:szCs w:val="24"/>
        </w:rPr>
        <w:t xml:space="preserve"> Point: </w:t>
      </w:r>
      <w:r w:rsidR="003914E0" w:rsidRPr="003914E0">
        <w:rPr>
          <w:rFonts w:ascii="Times New Roman" w:hAnsi="Times New Roman" w:cs="Times New Roman"/>
          <w:sz w:val="24"/>
          <w:szCs w:val="24"/>
        </w:rPr>
        <w:t xml:space="preserve"> Remember the maximum deduction for a combination defined benefit plan and profit sharing plan </w:t>
      </w:r>
      <w:r w:rsidR="00051FA2">
        <w:rPr>
          <w:rFonts w:ascii="Times New Roman" w:hAnsi="Times New Roman" w:cs="Times New Roman"/>
          <w:sz w:val="24"/>
          <w:szCs w:val="24"/>
        </w:rPr>
        <w:t>is</w:t>
      </w:r>
      <w:r w:rsidR="003914E0" w:rsidRPr="003914E0">
        <w:rPr>
          <w:rFonts w:ascii="Times New Roman" w:hAnsi="Times New Roman" w:cs="Times New Roman"/>
          <w:sz w:val="24"/>
          <w:szCs w:val="24"/>
        </w:rPr>
        <w:t xml:space="preserve"> the contribution necessary to satisfy the minimum funding standards of the defined benefit </w:t>
      </w:r>
      <w:proofErr w:type="gramStart"/>
      <w:r w:rsidR="003914E0" w:rsidRPr="003914E0">
        <w:rPr>
          <w:rFonts w:ascii="Times New Roman" w:hAnsi="Times New Roman" w:cs="Times New Roman"/>
          <w:sz w:val="24"/>
          <w:szCs w:val="24"/>
        </w:rPr>
        <w:t>plan  plus</w:t>
      </w:r>
      <w:proofErr w:type="gramEnd"/>
      <w:r w:rsidR="003914E0" w:rsidRPr="003914E0">
        <w:rPr>
          <w:rFonts w:ascii="Times New Roman" w:hAnsi="Times New Roman" w:cs="Times New Roman"/>
          <w:sz w:val="24"/>
          <w:szCs w:val="24"/>
        </w:rPr>
        <w:t xml:space="preserve"> up to a 6</w:t>
      </w:r>
      <w:r w:rsidR="00640AFC">
        <w:rPr>
          <w:rFonts w:ascii="Times New Roman" w:hAnsi="Times New Roman" w:cs="Times New Roman"/>
          <w:sz w:val="24"/>
          <w:szCs w:val="24"/>
        </w:rPr>
        <w:t xml:space="preserve"> percent</w:t>
      </w:r>
      <w:r w:rsidR="00640AFC" w:rsidRPr="003914E0">
        <w:rPr>
          <w:rFonts w:ascii="Times New Roman" w:hAnsi="Times New Roman" w:cs="Times New Roman"/>
          <w:sz w:val="24"/>
          <w:szCs w:val="24"/>
        </w:rPr>
        <w:t xml:space="preserve"> </w:t>
      </w:r>
      <w:r w:rsidR="003914E0" w:rsidRPr="003914E0">
        <w:rPr>
          <w:rFonts w:ascii="Times New Roman" w:hAnsi="Times New Roman" w:cs="Times New Roman"/>
          <w:sz w:val="24"/>
          <w:szCs w:val="24"/>
        </w:rPr>
        <w:t>contribution to the defined contribution plan.  Salary deferrals in a 401(k) plan do not reduce the 6 percent limit to the defined contribution plan.  For plan years beginning on or after January 1, 2008</w:t>
      </w:r>
      <w:r w:rsidR="00640AFC">
        <w:rPr>
          <w:rFonts w:ascii="Times New Roman" w:hAnsi="Times New Roman" w:cs="Times New Roman"/>
          <w:sz w:val="24"/>
          <w:szCs w:val="24"/>
        </w:rPr>
        <w:t>,</w:t>
      </w:r>
      <w:r w:rsidR="003914E0" w:rsidRPr="003914E0">
        <w:rPr>
          <w:rFonts w:ascii="Times New Roman" w:hAnsi="Times New Roman" w:cs="Times New Roman"/>
          <w:sz w:val="24"/>
          <w:szCs w:val="24"/>
        </w:rPr>
        <w:t xml:space="preserve"> there is no restriction on the contribution to the defined contribution plan other than the standard 25</w:t>
      </w:r>
      <w:r w:rsidR="00640AFC">
        <w:rPr>
          <w:rFonts w:ascii="Times New Roman" w:hAnsi="Times New Roman" w:cs="Times New Roman"/>
          <w:sz w:val="24"/>
          <w:szCs w:val="24"/>
        </w:rPr>
        <w:t xml:space="preserve"> percent</w:t>
      </w:r>
      <w:r w:rsidR="00640AFC" w:rsidRPr="003914E0">
        <w:rPr>
          <w:rFonts w:ascii="Times New Roman" w:hAnsi="Times New Roman" w:cs="Times New Roman"/>
          <w:sz w:val="24"/>
          <w:szCs w:val="24"/>
        </w:rPr>
        <w:t xml:space="preserve"> </w:t>
      </w:r>
      <w:r w:rsidR="003914E0" w:rsidRPr="003914E0">
        <w:rPr>
          <w:rFonts w:ascii="Times New Roman" w:hAnsi="Times New Roman" w:cs="Times New Roman"/>
          <w:sz w:val="24"/>
          <w:szCs w:val="24"/>
        </w:rPr>
        <w:t>of compensation if the defined benefit plan is covered by the Pension Benefit Guarantee Corporation (PBGC</w:t>
      </w:r>
      <w:r w:rsidR="00640AFC">
        <w:rPr>
          <w:rFonts w:ascii="Times New Roman" w:hAnsi="Times New Roman" w:cs="Times New Roman"/>
          <w:sz w:val="24"/>
          <w:szCs w:val="24"/>
        </w:rPr>
        <w:t>)</w:t>
      </w:r>
    </w:p>
    <w:p w:rsidR="000A5784" w:rsidRDefault="000A5784" w:rsidP="007502D4">
      <w:pPr>
        <w:pStyle w:val="NoSpacing"/>
        <w:ind w:left="720"/>
        <w:rPr>
          <w:rFonts w:ascii="Times New Roman" w:hAnsi="Times New Roman" w:cs="Times New Roman"/>
          <w:sz w:val="24"/>
          <w:szCs w:val="24"/>
        </w:rPr>
      </w:pPr>
    </w:p>
    <w:p w:rsidR="007502D4" w:rsidRDefault="00984608" w:rsidP="007502D4">
      <w:pPr>
        <w:pStyle w:val="NoSpacing"/>
        <w:ind w:left="720"/>
        <w:rPr>
          <w:rFonts w:ascii="Times New Roman" w:hAnsi="Times New Roman" w:cs="Times New Roman"/>
          <w:sz w:val="24"/>
          <w:szCs w:val="24"/>
        </w:rPr>
      </w:pPr>
      <w:r w:rsidRPr="006C7178" w:rsidDel="00984608">
        <w:rPr>
          <w:rFonts w:ascii="Times New Roman" w:hAnsi="Times New Roman" w:cs="Times New Roman"/>
          <w:sz w:val="20"/>
          <w:szCs w:val="20"/>
        </w:rPr>
        <w:t xml:space="preserve"> </w:t>
      </w: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0</w:t>
      </w:r>
      <w:r>
        <w:rPr>
          <w:rFonts w:ascii="Times New Roman" w:hAnsi="Times New Roman" w:cs="Times New Roman"/>
          <w:b/>
          <w:sz w:val="24"/>
          <w:szCs w:val="24"/>
        </w:rPr>
        <w:t xml:space="preserve">5:  </w:t>
      </w:r>
      <w:r w:rsidRPr="009460EC">
        <w:rPr>
          <w:rFonts w:ascii="Times New Roman" w:hAnsi="Times New Roman" w:cs="Times New Roman"/>
          <w:b/>
          <w:sz w:val="24"/>
          <w:szCs w:val="24"/>
        </w:rPr>
        <w:t xml:space="preserve">What </w:t>
      </w:r>
      <w:r>
        <w:rPr>
          <w:rFonts w:ascii="Times New Roman" w:hAnsi="Times New Roman" w:cs="Times New Roman"/>
          <w:b/>
          <w:sz w:val="24"/>
          <w:szCs w:val="24"/>
        </w:rPr>
        <w:t xml:space="preserve">are </w:t>
      </w:r>
      <w:r w:rsidRPr="009460EC">
        <w:rPr>
          <w:rFonts w:ascii="Times New Roman" w:hAnsi="Times New Roman" w:cs="Times New Roman"/>
          <w:b/>
          <w:sz w:val="24"/>
          <w:szCs w:val="24"/>
        </w:rPr>
        <w:t>the requirements of the average benefit</w:t>
      </w:r>
      <w:r>
        <w:rPr>
          <w:rFonts w:ascii="Times New Roman" w:hAnsi="Times New Roman" w:cs="Times New Roman"/>
          <w:b/>
          <w:sz w:val="24"/>
          <w:szCs w:val="24"/>
        </w:rPr>
        <w:t>s</w:t>
      </w:r>
      <w:r w:rsidRPr="009460EC">
        <w:rPr>
          <w:rFonts w:ascii="Times New Roman" w:hAnsi="Times New Roman" w:cs="Times New Roman"/>
          <w:b/>
          <w:sz w:val="24"/>
          <w:szCs w:val="24"/>
        </w:rPr>
        <w:t xml:space="preserve"> test?</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4"/>
          <w:szCs w:val="24"/>
        </w:rPr>
      </w:pPr>
      <w:r w:rsidRPr="00E1416D">
        <w:rPr>
          <w:rFonts w:ascii="Times New Roman" w:hAnsi="Times New Roman" w:cs="Times New Roman"/>
          <w:sz w:val="24"/>
          <w:szCs w:val="24"/>
        </w:rPr>
        <w:t>The average benefit</w:t>
      </w:r>
      <w:r>
        <w:rPr>
          <w:rFonts w:ascii="Times New Roman" w:hAnsi="Times New Roman" w:cs="Times New Roman"/>
          <w:sz w:val="24"/>
          <w:szCs w:val="24"/>
        </w:rPr>
        <w:t>s</w:t>
      </w:r>
      <w:r w:rsidRPr="00E1416D">
        <w:rPr>
          <w:rFonts w:ascii="Times New Roman" w:hAnsi="Times New Roman" w:cs="Times New Roman"/>
          <w:sz w:val="24"/>
          <w:szCs w:val="24"/>
        </w:rPr>
        <w:t xml:space="preserve"> test </w:t>
      </w:r>
      <w:r w:rsidR="00B73722">
        <w:rPr>
          <w:rFonts w:ascii="Times New Roman" w:hAnsi="Times New Roman" w:cs="Times New Roman"/>
          <w:sz w:val="24"/>
          <w:szCs w:val="24"/>
        </w:rPr>
        <w:t>consists of</w:t>
      </w:r>
      <w:r>
        <w:rPr>
          <w:rFonts w:ascii="Times New Roman" w:hAnsi="Times New Roman" w:cs="Times New Roman"/>
          <w:sz w:val="24"/>
          <w:szCs w:val="24"/>
        </w:rPr>
        <w:t xml:space="preserve"> two</w:t>
      </w:r>
      <w:r w:rsidR="00B73722">
        <w:rPr>
          <w:rFonts w:ascii="Times New Roman" w:hAnsi="Times New Roman" w:cs="Times New Roman"/>
          <w:sz w:val="24"/>
          <w:szCs w:val="24"/>
        </w:rPr>
        <w:t xml:space="preserve"> </w:t>
      </w:r>
      <w:r>
        <w:rPr>
          <w:rFonts w:ascii="Times New Roman" w:hAnsi="Times New Roman" w:cs="Times New Roman"/>
          <w:sz w:val="24"/>
          <w:szCs w:val="24"/>
        </w:rPr>
        <w:t>part</w:t>
      </w:r>
      <w:r w:rsidR="00B73722">
        <w:rPr>
          <w:rFonts w:ascii="Times New Roman" w:hAnsi="Times New Roman" w:cs="Times New Roman"/>
          <w:sz w:val="24"/>
          <w:szCs w:val="24"/>
        </w:rPr>
        <w:t>s (both of which must be satisfied)</w:t>
      </w:r>
      <w:r w:rsidRPr="00E1416D">
        <w:rPr>
          <w:rFonts w:ascii="Times New Roman" w:hAnsi="Times New Roman" w:cs="Times New Roman"/>
          <w:sz w:val="24"/>
          <w:szCs w:val="24"/>
        </w:rPr>
        <w:t>:</w:t>
      </w:r>
      <w:r w:rsidR="00097E4E">
        <w:rPr>
          <w:rFonts w:ascii="Times New Roman" w:hAnsi="Times New Roman" w:cs="Times New Roman"/>
          <w:sz w:val="24"/>
          <w:szCs w:val="24"/>
        </w:rPr>
        <w:t xml:space="preserve"> the nondiscriminatory classification test and the average benefits percentage test.</w:t>
      </w:r>
    </w:p>
    <w:p w:rsidR="00097E4E" w:rsidRDefault="00097E4E" w:rsidP="007502D4">
      <w:pPr>
        <w:pStyle w:val="NoSpacing"/>
        <w:ind w:left="720"/>
        <w:rPr>
          <w:rFonts w:ascii="Times New Roman" w:hAnsi="Times New Roman" w:cs="Times New Roman"/>
          <w:sz w:val="24"/>
          <w:szCs w:val="24"/>
        </w:rPr>
      </w:pPr>
    </w:p>
    <w:p w:rsidR="007502D4" w:rsidRDefault="007502D4" w:rsidP="0033241C">
      <w:pPr>
        <w:pStyle w:val="NoSpacing"/>
        <w:ind w:left="1080"/>
        <w:rPr>
          <w:rFonts w:ascii="Times New Roman" w:hAnsi="Times New Roman" w:cs="Times New Roman"/>
          <w:sz w:val="24"/>
          <w:szCs w:val="24"/>
        </w:rPr>
      </w:pPr>
      <w:r w:rsidRPr="00E1416D">
        <w:rPr>
          <w:rFonts w:ascii="Times New Roman" w:hAnsi="Times New Roman" w:cs="Times New Roman"/>
          <w:sz w:val="24"/>
          <w:szCs w:val="24"/>
        </w:rPr>
        <w:t xml:space="preserve">The </w:t>
      </w:r>
      <w:r>
        <w:rPr>
          <w:rFonts w:ascii="Times New Roman" w:hAnsi="Times New Roman" w:cs="Times New Roman"/>
          <w:sz w:val="24"/>
          <w:szCs w:val="24"/>
        </w:rPr>
        <w:t xml:space="preserve">nondiscriminatory </w:t>
      </w:r>
      <w:r w:rsidRPr="00E1416D">
        <w:rPr>
          <w:rFonts w:ascii="Times New Roman" w:hAnsi="Times New Roman" w:cs="Times New Roman"/>
          <w:sz w:val="24"/>
          <w:szCs w:val="24"/>
        </w:rPr>
        <w:t xml:space="preserve">classification </w:t>
      </w:r>
      <w:r>
        <w:rPr>
          <w:rFonts w:ascii="Times New Roman" w:hAnsi="Times New Roman" w:cs="Times New Roman"/>
          <w:sz w:val="24"/>
          <w:szCs w:val="24"/>
        </w:rPr>
        <w:t>test</w:t>
      </w:r>
      <w:r w:rsidR="00FB01F3">
        <w:rPr>
          <w:rFonts w:ascii="Times New Roman" w:hAnsi="Times New Roman" w:cs="Times New Roman"/>
          <w:sz w:val="24"/>
          <w:szCs w:val="24"/>
        </w:rPr>
        <w:t xml:space="preserve"> must meet the following requirements:</w:t>
      </w:r>
      <w:r w:rsidR="00984608">
        <w:rPr>
          <w:rStyle w:val="FootnoteReference"/>
          <w:rFonts w:ascii="Times New Roman" w:hAnsi="Times New Roman" w:cs="Times New Roman"/>
          <w:sz w:val="24"/>
          <w:szCs w:val="24"/>
        </w:rPr>
        <w:footnoteReference w:id="5"/>
      </w:r>
    </w:p>
    <w:p w:rsidR="007502D4" w:rsidRDefault="00FB01F3" w:rsidP="0033241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7502D4">
        <w:rPr>
          <w:rFonts w:ascii="Times New Roman" w:hAnsi="Times New Roman" w:cs="Times New Roman"/>
          <w:sz w:val="24"/>
          <w:szCs w:val="24"/>
        </w:rPr>
        <w:t xml:space="preserve">The classification </w:t>
      </w:r>
      <w:r w:rsidR="007502D4" w:rsidRPr="00E1416D">
        <w:rPr>
          <w:rFonts w:ascii="Times New Roman" w:hAnsi="Times New Roman" w:cs="Times New Roman"/>
          <w:sz w:val="24"/>
          <w:szCs w:val="24"/>
        </w:rPr>
        <w:t>of employees covered under the plan must be reasonable and based on valid business criteria, e.g., job categories, type of compensation (salaried or hourly), geographic location, or other similar criteria. This is a facts-and-circumstances determination.</w:t>
      </w:r>
    </w:p>
    <w:p w:rsidR="007502D4" w:rsidRDefault="00FB01F3" w:rsidP="0033241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7502D4" w:rsidRPr="00254737">
        <w:rPr>
          <w:rFonts w:ascii="Times New Roman" w:hAnsi="Times New Roman" w:cs="Times New Roman"/>
          <w:sz w:val="24"/>
          <w:szCs w:val="24"/>
        </w:rPr>
        <w:t xml:space="preserve">The classification of employees benefiting under the plan </w:t>
      </w:r>
      <w:r>
        <w:rPr>
          <w:rFonts w:ascii="Times New Roman" w:hAnsi="Times New Roman" w:cs="Times New Roman"/>
          <w:sz w:val="24"/>
          <w:szCs w:val="24"/>
        </w:rPr>
        <w:t>must</w:t>
      </w:r>
      <w:r w:rsidR="007502D4" w:rsidRPr="00254737">
        <w:rPr>
          <w:rFonts w:ascii="Times New Roman" w:hAnsi="Times New Roman" w:cs="Times New Roman"/>
          <w:sz w:val="24"/>
          <w:szCs w:val="24"/>
        </w:rPr>
        <w:t xml:space="preserve"> not discriminate in favor of the HCEs.  This second part of the test involves the following steps:</w:t>
      </w:r>
    </w:p>
    <w:p w:rsidR="007502D4" w:rsidRPr="00254737" w:rsidRDefault="00FB01F3" w:rsidP="0033241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7502D4" w:rsidRPr="00254737">
        <w:rPr>
          <w:rFonts w:ascii="Times New Roman" w:hAnsi="Times New Roman" w:cs="Times New Roman"/>
          <w:sz w:val="24"/>
          <w:szCs w:val="24"/>
        </w:rPr>
        <w:t>Determin</w:t>
      </w:r>
      <w:r>
        <w:rPr>
          <w:rFonts w:ascii="Times New Roman" w:hAnsi="Times New Roman" w:cs="Times New Roman"/>
          <w:sz w:val="24"/>
          <w:szCs w:val="24"/>
        </w:rPr>
        <w:t>ation of</w:t>
      </w:r>
      <w:r w:rsidR="007502D4" w:rsidRPr="00254737">
        <w:rPr>
          <w:rFonts w:ascii="Times New Roman" w:hAnsi="Times New Roman" w:cs="Times New Roman"/>
          <w:sz w:val="24"/>
          <w:szCs w:val="24"/>
        </w:rPr>
        <w:t xml:space="preserve"> the NHCE concentration percentage, i.e., the number of NHCEs divided by the total number of employees.</w:t>
      </w:r>
    </w:p>
    <w:p w:rsidR="007502D4" w:rsidRPr="00254737" w:rsidRDefault="00FB01F3" w:rsidP="0033241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7502D4" w:rsidRPr="00254737">
        <w:rPr>
          <w:rFonts w:ascii="Times New Roman" w:hAnsi="Times New Roman" w:cs="Times New Roman"/>
          <w:sz w:val="24"/>
          <w:szCs w:val="24"/>
        </w:rPr>
        <w:t xml:space="preserve">The </w:t>
      </w:r>
      <w:r w:rsidR="00904B41">
        <w:rPr>
          <w:rFonts w:ascii="Times New Roman" w:hAnsi="Times New Roman" w:cs="Times New Roman"/>
          <w:sz w:val="24"/>
          <w:szCs w:val="24"/>
        </w:rPr>
        <w:t xml:space="preserve">NHCE </w:t>
      </w:r>
      <w:r w:rsidR="007502D4" w:rsidRPr="00254737">
        <w:rPr>
          <w:rFonts w:ascii="Times New Roman" w:hAnsi="Times New Roman" w:cs="Times New Roman"/>
          <w:sz w:val="24"/>
          <w:szCs w:val="24"/>
        </w:rPr>
        <w:t xml:space="preserve">concentration percentage is </w:t>
      </w:r>
      <w:r w:rsidR="00904B41">
        <w:rPr>
          <w:rFonts w:ascii="Times New Roman" w:hAnsi="Times New Roman" w:cs="Times New Roman"/>
          <w:sz w:val="24"/>
          <w:szCs w:val="24"/>
        </w:rPr>
        <w:t xml:space="preserve">then </w:t>
      </w:r>
      <w:r w:rsidR="007502D4" w:rsidRPr="00254737">
        <w:rPr>
          <w:rFonts w:ascii="Times New Roman" w:hAnsi="Times New Roman" w:cs="Times New Roman"/>
          <w:sz w:val="24"/>
          <w:szCs w:val="24"/>
        </w:rPr>
        <w:t xml:space="preserve">compared to the </w:t>
      </w:r>
      <w:r w:rsidR="007502D4" w:rsidRPr="00746F1B">
        <w:rPr>
          <w:rFonts w:ascii="Times New Roman" w:hAnsi="Times New Roman" w:cs="Times New Roman"/>
          <w:sz w:val="24"/>
          <w:szCs w:val="24"/>
        </w:rPr>
        <w:t xml:space="preserve">table in </w:t>
      </w:r>
      <w:commentRangeStart w:id="0"/>
      <w:r w:rsidR="00EA40AD">
        <w:rPr>
          <w:rFonts w:ascii="Times New Roman" w:hAnsi="Times New Roman" w:cs="Times New Roman"/>
          <w:sz w:val="24"/>
          <w:szCs w:val="24"/>
        </w:rPr>
        <w:t>Appendix 4-1</w:t>
      </w:r>
      <w:commentRangeEnd w:id="0"/>
      <w:r w:rsidR="00EA40AD" w:rsidRPr="00254737">
        <w:rPr>
          <w:rFonts w:ascii="Times New Roman" w:hAnsi="Times New Roman" w:cs="Times New Roman"/>
          <w:sz w:val="24"/>
          <w:szCs w:val="24"/>
        </w:rPr>
        <w:t xml:space="preserve"> </w:t>
      </w:r>
      <w:r w:rsidR="00C0362E">
        <w:rPr>
          <w:rStyle w:val="CommentReference"/>
          <w:rFonts w:ascii="Times New Roman" w:eastAsia="Times New Roman" w:hAnsi="Times New Roman" w:cs="Times New Roman"/>
        </w:rPr>
        <w:commentReference w:id="0"/>
      </w:r>
      <w:r w:rsidR="007502D4" w:rsidRPr="00254737">
        <w:rPr>
          <w:rFonts w:ascii="Times New Roman" w:hAnsi="Times New Roman" w:cs="Times New Roman"/>
          <w:sz w:val="24"/>
          <w:szCs w:val="24"/>
        </w:rPr>
        <w:t xml:space="preserve">to determine the safe harbor percentage and the unsafe harbor percentage. If the </w:t>
      </w:r>
      <w:r w:rsidR="001624FE">
        <w:rPr>
          <w:rFonts w:ascii="Times New Roman" w:hAnsi="Times New Roman" w:cs="Times New Roman"/>
          <w:sz w:val="24"/>
          <w:szCs w:val="24"/>
        </w:rPr>
        <w:t>NHCE concentration</w:t>
      </w:r>
      <w:r w:rsidR="007502D4" w:rsidRPr="00254737">
        <w:rPr>
          <w:rFonts w:ascii="Times New Roman" w:hAnsi="Times New Roman" w:cs="Times New Roman"/>
          <w:sz w:val="24"/>
          <w:szCs w:val="24"/>
        </w:rPr>
        <w:t xml:space="preserve"> percentage </w:t>
      </w:r>
      <w:r w:rsidR="001624FE">
        <w:rPr>
          <w:rFonts w:ascii="Times New Roman" w:hAnsi="Times New Roman" w:cs="Times New Roman"/>
          <w:sz w:val="24"/>
          <w:szCs w:val="24"/>
        </w:rPr>
        <w:t>is</w:t>
      </w:r>
      <w:r w:rsidR="007502D4" w:rsidRPr="00254737">
        <w:rPr>
          <w:rFonts w:ascii="Times New Roman" w:hAnsi="Times New Roman" w:cs="Times New Roman"/>
          <w:sz w:val="24"/>
          <w:szCs w:val="24"/>
        </w:rPr>
        <w:t xml:space="preserve"> equal to or more than the safe harbor percentage, the plan passes this part of the average benefit</w:t>
      </w:r>
      <w:r w:rsidR="00B73722">
        <w:rPr>
          <w:rFonts w:ascii="Times New Roman" w:hAnsi="Times New Roman" w:cs="Times New Roman"/>
          <w:sz w:val="24"/>
          <w:szCs w:val="24"/>
        </w:rPr>
        <w:t>s</w:t>
      </w:r>
      <w:r w:rsidR="007502D4" w:rsidRPr="00254737">
        <w:rPr>
          <w:rFonts w:ascii="Times New Roman" w:hAnsi="Times New Roman" w:cs="Times New Roman"/>
          <w:sz w:val="24"/>
          <w:szCs w:val="24"/>
        </w:rPr>
        <w:t xml:space="preserve"> test.</w:t>
      </w:r>
    </w:p>
    <w:p w:rsidR="007502D4" w:rsidRDefault="00DC5B03" w:rsidP="0033241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7502D4" w:rsidRPr="00254737">
        <w:rPr>
          <w:rFonts w:ascii="Times New Roman" w:hAnsi="Times New Roman" w:cs="Times New Roman"/>
          <w:sz w:val="24"/>
          <w:szCs w:val="24"/>
        </w:rPr>
        <w:t xml:space="preserve">If the </w:t>
      </w:r>
      <w:r w:rsidR="001624FE">
        <w:rPr>
          <w:rFonts w:ascii="Times New Roman" w:hAnsi="Times New Roman" w:cs="Times New Roman"/>
          <w:sz w:val="24"/>
          <w:szCs w:val="24"/>
        </w:rPr>
        <w:t>NHCE concentration</w:t>
      </w:r>
      <w:r w:rsidR="007502D4" w:rsidRPr="00254737">
        <w:rPr>
          <w:rFonts w:ascii="Times New Roman" w:hAnsi="Times New Roman" w:cs="Times New Roman"/>
          <w:sz w:val="24"/>
          <w:szCs w:val="24"/>
        </w:rPr>
        <w:t xml:space="preserve"> percentage </w:t>
      </w:r>
      <w:r w:rsidR="001624FE">
        <w:rPr>
          <w:rFonts w:ascii="Times New Roman" w:hAnsi="Times New Roman" w:cs="Times New Roman"/>
          <w:sz w:val="24"/>
          <w:szCs w:val="24"/>
        </w:rPr>
        <w:t>is</w:t>
      </w:r>
      <w:r w:rsidR="007502D4" w:rsidRPr="00254737">
        <w:rPr>
          <w:rFonts w:ascii="Times New Roman" w:hAnsi="Times New Roman" w:cs="Times New Roman"/>
          <w:sz w:val="24"/>
          <w:szCs w:val="24"/>
        </w:rPr>
        <w:t xml:space="preserve"> less than the safe harbor percentage but equal to or more than the unsafe harbor percentage, and the Internal Revenue Service (IRS) finds that the classification of employees benefiting under the plan does not discriminate in favor of HCEs, the plan also passes this part of the average benefit</w:t>
      </w:r>
      <w:r w:rsidR="00B73722">
        <w:rPr>
          <w:rFonts w:ascii="Times New Roman" w:hAnsi="Times New Roman" w:cs="Times New Roman"/>
          <w:sz w:val="24"/>
          <w:szCs w:val="24"/>
        </w:rPr>
        <w:t>s</w:t>
      </w:r>
      <w:r w:rsidR="007502D4" w:rsidRPr="00254737">
        <w:rPr>
          <w:rFonts w:ascii="Times New Roman" w:hAnsi="Times New Roman" w:cs="Times New Roman"/>
          <w:sz w:val="24"/>
          <w:szCs w:val="24"/>
        </w:rPr>
        <w:t xml:space="preserve"> test.</w:t>
      </w:r>
    </w:p>
    <w:p w:rsidR="00DC5B03" w:rsidRPr="00254737" w:rsidRDefault="00DC5B03" w:rsidP="0033241C">
      <w:pPr>
        <w:pStyle w:val="NoSpacing"/>
        <w:ind w:left="2160"/>
        <w:rPr>
          <w:rFonts w:ascii="Times New Roman" w:hAnsi="Times New Roman" w:cs="Times New Roman"/>
          <w:sz w:val="24"/>
          <w:szCs w:val="24"/>
        </w:rPr>
      </w:pPr>
    </w:p>
    <w:p w:rsidR="007502D4" w:rsidRDefault="007502D4" w:rsidP="0033241C">
      <w:pPr>
        <w:pStyle w:val="NoSpacing"/>
        <w:ind w:left="720"/>
        <w:rPr>
          <w:rFonts w:ascii="Times New Roman" w:hAnsi="Times New Roman" w:cs="Times New Roman"/>
          <w:sz w:val="24"/>
          <w:szCs w:val="24"/>
        </w:rPr>
      </w:pPr>
      <w:r>
        <w:rPr>
          <w:rFonts w:ascii="Times New Roman" w:hAnsi="Times New Roman" w:cs="Times New Roman"/>
          <w:sz w:val="24"/>
          <w:szCs w:val="24"/>
        </w:rPr>
        <w:t>The average benefits percentage test</w:t>
      </w:r>
      <w:r w:rsidR="00DC5B03">
        <w:rPr>
          <w:rFonts w:ascii="Times New Roman" w:hAnsi="Times New Roman" w:cs="Times New Roman"/>
          <w:sz w:val="24"/>
          <w:szCs w:val="24"/>
        </w:rPr>
        <w:t xml:space="preserve"> requires comparing</w:t>
      </w:r>
      <w:r w:rsidRPr="00E1416D">
        <w:rPr>
          <w:rFonts w:ascii="Times New Roman" w:hAnsi="Times New Roman" w:cs="Times New Roman"/>
          <w:sz w:val="24"/>
          <w:szCs w:val="24"/>
        </w:rPr>
        <w:t xml:space="preserve"> the average benefits for the NHCEs to the average benefits for the HCEs. If the result is equal to or more than 70 percent, this part of the average benefit</w:t>
      </w:r>
      <w:r>
        <w:rPr>
          <w:rFonts w:ascii="Times New Roman" w:hAnsi="Times New Roman" w:cs="Times New Roman"/>
          <w:sz w:val="24"/>
          <w:szCs w:val="24"/>
        </w:rPr>
        <w:t>s</w:t>
      </w:r>
      <w:r w:rsidRPr="00E1416D">
        <w:rPr>
          <w:rFonts w:ascii="Times New Roman" w:hAnsi="Times New Roman" w:cs="Times New Roman"/>
          <w:sz w:val="24"/>
          <w:szCs w:val="24"/>
        </w:rPr>
        <w:t xml:space="preserve"> test is passed.</w:t>
      </w:r>
      <w:r w:rsidR="000D6F0F">
        <w:rPr>
          <w:rStyle w:val="FootnoteReference"/>
          <w:rFonts w:ascii="Times New Roman" w:hAnsi="Times New Roman" w:cs="Times New Roman"/>
          <w:sz w:val="24"/>
          <w:szCs w:val="24"/>
        </w:rPr>
        <w:footnoteReference w:id="6"/>
      </w:r>
      <w:r w:rsidR="00AD65D9">
        <w:rPr>
          <w:rFonts w:ascii="Times New Roman" w:hAnsi="Times New Roman" w:cs="Times New Roman"/>
          <w:sz w:val="24"/>
          <w:szCs w:val="24"/>
        </w:rPr>
        <w:t xml:space="preserve">  </w:t>
      </w:r>
    </w:p>
    <w:p w:rsidR="00AD65D9" w:rsidRDefault="00AD65D9" w:rsidP="007502D4">
      <w:pPr>
        <w:pStyle w:val="NoSpacing"/>
        <w:ind w:left="720"/>
        <w:rPr>
          <w:rFonts w:ascii="Times New Roman" w:hAnsi="Times New Roman" w:cs="Times New Roman"/>
          <w:sz w:val="20"/>
          <w:szCs w:val="20"/>
        </w:rPr>
      </w:pPr>
    </w:p>
    <w:p w:rsidR="005263F7" w:rsidRDefault="005263F7" w:rsidP="005263F7">
      <w:pPr>
        <w:pStyle w:val="NoSpacing"/>
        <w:ind w:left="720"/>
        <w:rPr>
          <w:rFonts w:ascii="Times New Roman" w:hAnsi="Times New Roman" w:cs="Times New Roman"/>
          <w:sz w:val="24"/>
          <w:szCs w:val="24"/>
        </w:rPr>
      </w:pPr>
      <w:proofErr w:type="gramStart"/>
      <w:r w:rsidRPr="00407C2C">
        <w:rPr>
          <w:rFonts w:ascii="Times New Roman" w:hAnsi="Times New Roman" w:cs="Times New Roman"/>
          <w:b/>
          <w:sz w:val="24"/>
          <w:szCs w:val="24"/>
        </w:rPr>
        <w:t>Example 3.</w:t>
      </w:r>
      <w:proofErr w:type="gramEnd"/>
      <w:r w:rsidRPr="005263F7">
        <w:rPr>
          <w:rFonts w:ascii="Times New Roman" w:hAnsi="Times New Roman" w:cs="Times New Roman"/>
          <w:sz w:val="24"/>
          <w:szCs w:val="24"/>
        </w:rPr>
        <w:t> </w:t>
      </w:r>
      <w:r w:rsidR="00407C2C">
        <w:rPr>
          <w:rFonts w:ascii="Times New Roman" w:hAnsi="Times New Roman" w:cs="Times New Roman"/>
          <w:sz w:val="24"/>
          <w:szCs w:val="24"/>
        </w:rPr>
        <w:t xml:space="preserve"> </w:t>
      </w:r>
      <w:r w:rsidRPr="005263F7">
        <w:rPr>
          <w:rFonts w:ascii="Times New Roman" w:hAnsi="Times New Roman" w:cs="Times New Roman"/>
          <w:sz w:val="24"/>
          <w:szCs w:val="24"/>
        </w:rPr>
        <w:t xml:space="preserve">In Example 1, there are eight NHCEs out of a total of </w:t>
      </w:r>
      <w:r w:rsidR="007C36DA">
        <w:rPr>
          <w:rFonts w:ascii="Times New Roman" w:hAnsi="Times New Roman" w:cs="Times New Roman"/>
          <w:sz w:val="24"/>
          <w:szCs w:val="24"/>
        </w:rPr>
        <w:t>thirteen</w:t>
      </w:r>
      <w:r w:rsidR="007C36DA" w:rsidRPr="005263F7">
        <w:rPr>
          <w:rFonts w:ascii="Times New Roman" w:hAnsi="Times New Roman" w:cs="Times New Roman"/>
          <w:sz w:val="24"/>
          <w:szCs w:val="24"/>
        </w:rPr>
        <w:t xml:space="preserve"> </w:t>
      </w:r>
      <w:r w:rsidRPr="005263F7">
        <w:rPr>
          <w:rFonts w:ascii="Times New Roman" w:hAnsi="Times New Roman" w:cs="Times New Roman"/>
          <w:sz w:val="24"/>
          <w:szCs w:val="24"/>
        </w:rPr>
        <w:t>employees, or a</w:t>
      </w:r>
      <w:r w:rsidR="007C36DA">
        <w:rPr>
          <w:rFonts w:ascii="Times New Roman" w:hAnsi="Times New Roman" w:cs="Times New Roman"/>
          <w:sz w:val="24"/>
          <w:szCs w:val="24"/>
        </w:rPr>
        <w:t>n</w:t>
      </w:r>
      <w:r w:rsidRPr="005263F7">
        <w:rPr>
          <w:rFonts w:ascii="Times New Roman" w:hAnsi="Times New Roman" w:cs="Times New Roman"/>
          <w:sz w:val="24"/>
          <w:szCs w:val="24"/>
        </w:rPr>
        <w:t xml:space="preserve"> </w:t>
      </w:r>
      <w:r w:rsidR="00904B41">
        <w:rPr>
          <w:rFonts w:ascii="Times New Roman" w:hAnsi="Times New Roman" w:cs="Times New Roman"/>
          <w:sz w:val="24"/>
          <w:szCs w:val="24"/>
        </w:rPr>
        <w:t xml:space="preserve">NHCE </w:t>
      </w:r>
      <w:r w:rsidRPr="005263F7">
        <w:rPr>
          <w:rFonts w:ascii="Times New Roman" w:hAnsi="Times New Roman" w:cs="Times New Roman"/>
          <w:sz w:val="24"/>
          <w:szCs w:val="24"/>
        </w:rPr>
        <w:t>concentration percentage of 61.5 percent.</w:t>
      </w:r>
      <w:r w:rsidR="00904B41">
        <w:rPr>
          <w:rFonts w:ascii="Times New Roman" w:hAnsi="Times New Roman" w:cs="Times New Roman"/>
          <w:sz w:val="24"/>
          <w:szCs w:val="24"/>
        </w:rPr>
        <w:t xml:space="preserve">  The table </w:t>
      </w:r>
      <w:r w:rsidRPr="005263F7">
        <w:rPr>
          <w:rFonts w:ascii="Times New Roman" w:hAnsi="Times New Roman" w:cs="Times New Roman"/>
          <w:sz w:val="24"/>
          <w:szCs w:val="24"/>
        </w:rPr>
        <w:t xml:space="preserve">in </w:t>
      </w:r>
      <w:r w:rsidR="00EA40AD" w:rsidRPr="001D2EA5">
        <w:rPr>
          <w:rFonts w:ascii="Times New Roman" w:hAnsi="Times New Roman" w:cs="Times New Roman"/>
          <w:color w:val="FF0000"/>
          <w:sz w:val="24"/>
          <w:szCs w:val="24"/>
        </w:rPr>
        <w:t>Appendix 4-1</w:t>
      </w:r>
      <w:r w:rsidRPr="001D2EA5">
        <w:rPr>
          <w:rFonts w:ascii="Times New Roman" w:hAnsi="Times New Roman" w:cs="Times New Roman"/>
          <w:color w:val="FF0000"/>
          <w:sz w:val="24"/>
          <w:szCs w:val="24"/>
        </w:rPr>
        <w:t xml:space="preserve"> </w:t>
      </w:r>
      <w:r w:rsidR="00D0735F">
        <w:rPr>
          <w:rFonts w:ascii="Times New Roman" w:hAnsi="Times New Roman" w:cs="Times New Roman"/>
          <w:sz w:val="24"/>
          <w:szCs w:val="24"/>
        </w:rPr>
        <w:t>shows a</w:t>
      </w:r>
      <w:r w:rsidRPr="005263F7">
        <w:rPr>
          <w:rFonts w:ascii="Times New Roman" w:hAnsi="Times New Roman" w:cs="Times New Roman"/>
          <w:sz w:val="24"/>
          <w:szCs w:val="24"/>
        </w:rPr>
        <w:t xml:space="preserve"> </w:t>
      </w:r>
      <w:r w:rsidRPr="005263F7">
        <w:rPr>
          <w:rFonts w:ascii="Times New Roman" w:hAnsi="Times New Roman" w:cs="Times New Roman"/>
          <w:sz w:val="24"/>
          <w:szCs w:val="24"/>
        </w:rPr>
        <w:lastRenderedPageBreak/>
        <w:t xml:space="preserve">safe harbor percentage </w:t>
      </w:r>
      <w:r w:rsidR="00D0735F">
        <w:rPr>
          <w:rFonts w:ascii="Times New Roman" w:hAnsi="Times New Roman" w:cs="Times New Roman"/>
          <w:sz w:val="24"/>
          <w:szCs w:val="24"/>
        </w:rPr>
        <w:t xml:space="preserve">of </w:t>
      </w:r>
      <w:r w:rsidRPr="005263F7">
        <w:rPr>
          <w:rFonts w:ascii="Times New Roman" w:hAnsi="Times New Roman" w:cs="Times New Roman"/>
          <w:sz w:val="24"/>
          <w:szCs w:val="24"/>
        </w:rPr>
        <w:t xml:space="preserve">49.25 percent and </w:t>
      </w:r>
      <w:r w:rsidR="00D0735F">
        <w:rPr>
          <w:rFonts w:ascii="Times New Roman" w:hAnsi="Times New Roman" w:cs="Times New Roman"/>
          <w:sz w:val="24"/>
          <w:szCs w:val="24"/>
        </w:rPr>
        <w:t>an</w:t>
      </w:r>
      <w:r w:rsidRPr="005263F7">
        <w:rPr>
          <w:rFonts w:ascii="Times New Roman" w:hAnsi="Times New Roman" w:cs="Times New Roman"/>
          <w:sz w:val="24"/>
          <w:szCs w:val="24"/>
        </w:rPr>
        <w:t xml:space="preserve"> unsafe harbor percentage </w:t>
      </w:r>
      <w:r w:rsidR="00D0735F">
        <w:rPr>
          <w:rFonts w:ascii="Times New Roman" w:hAnsi="Times New Roman" w:cs="Times New Roman"/>
          <w:sz w:val="24"/>
          <w:szCs w:val="24"/>
        </w:rPr>
        <w:t xml:space="preserve">of </w:t>
      </w:r>
      <w:r w:rsidRPr="005263F7">
        <w:rPr>
          <w:rFonts w:ascii="Times New Roman" w:hAnsi="Times New Roman" w:cs="Times New Roman"/>
          <w:sz w:val="24"/>
          <w:szCs w:val="24"/>
        </w:rPr>
        <w:t>39.25 percent.</w:t>
      </w:r>
      <w:r w:rsidR="00F44C92">
        <w:rPr>
          <w:rFonts w:ascii="Times New Roman" w:hAnsi="Times New Roman" w:cs="Times New Roman"/>
          <w:sz w:val="24"/>
          <w:szCs w:val="24"/>
        </w:rPr>
        <w:t xml:space="preserve">  </w:t>
      </w:r>
      <w:r w:rsidR="00433D49">
        <w:rPr>
          <w:rFonts w:ascii="Times New Roman" w:hAnsi="Times New Roman" w:cs="Times New Roman"/>
          <w:sz w:val="24"/>
          <w:szCs w:val="24"/>
        </w:rPr>
        <w:t xml:space="preserve">Because </w:t>
      </w:r>
      <w:r w:rsidR="00F44C92">
        <w:rPr>
          <w:rFonts w:ascii="Times New Roman" w:hAnsi="Times New Roman" w:cs="Times New Roman"/>
          <w:sz w:val="24"/>
          <w:szCs w:val="24"/>
        </w:rPr>
        <w:t>the NHCE concentration percentage exceeds the safe harbor percentage, the plan pass</w:t>
      </w:r>
      <w:r w:rsidRPr="005263F7">
        <w:rPr>
          <w:rFonts w:ascii="Times New Roman" w:hAnsi="Times New Roman" w:cs="Times New Roman"/>
          <w:sz w:val="24"/>
          <w:szCs w:val="24"/>
        </w:rPr>
        <w:t>es this part of the average benefit test.</w:t>
      </w:r>
    </w:p>
    <w:p w:rsidR="0071708F" w:rsidRPr="005263F7" w:rsidRDefault="0071708F" w:rsidP="005263F7">
      <w:pPr>
        <w:pStyle w:val="NoSpacing"/>
        <w:ind w:left="720"/>
        <w:rPr>
          <w:rFonts w:ascii="Times New Roman" w:hAnsi="Times New Roman" w:cs="Times New Roman"/>
          <w:sz w:val="24"/>
          <w:szCs w:val="24"/>
        </w:rPr>
      </w:pPr>
    </w:p>
    <w:p w:rsidR="005263F7" w:rsidRPr="005263F7" w:rsidRDefault="00594EC5" w:rsidP="005263F7">
      <w:pPr>
        <w:pStyle w:val="NoSpacing"/>
        <w:ind w:left="720"/>
        <w:rPr>
          <w:rFonts w:ascii="Times New Roman" w:hAnsi="Times New Roman" w:cs="Times New Roman"/>
          <w:sz w:val="24"/>
          <w:szCs w:val="24"/>
        </w:rPr>
      </w:pPr>
      <w:r>
        <w:rPr>
          <w:rFonts w:ascii="Times New Roman" w:hAnsi="Times New Roman" w:cs="Times New Roman"/>
          <w:sz w:val="24"/>
          <w:szCs w:val="24"/>
        </w:rPr>
        <w:t>I</w:t>
      </w:r>
      <w:r w:rsidR="005263F7" w:rsidRPr="005263F7">
        <w:rPr>
          <w:rFonts w:ascii="Times New Roman" w:hAnsi="Times New Roman" w:cs="Times New Roman"/>
          <w:sz w:val="24"/>
          <w:szCs w:val="24"/>
        </w:rPr>
        <w:t>f the plan covered four out of the eight NHCEs, or 50 percent, and 100 percent of the HCEs, it would satisfy the safe harbor percentage and this part of the average benefit test (equal to or more than the safe harbor percent of 49.25</w:t>
      </w:r>
      <w:r w:rsidR="00433D49">
        <w:rPr>
          <w:rFonts w:ascii="Times New Roman" w:hAnsi="Times New Roman" w:cs="Times New Roman"/>
          <w:sz w:val="24"/>
          <w:szCs w:val="24"/>
        </w:rPr>
        <w:t xml:space="preserve"> percent</w:t>
      </w:r>
      <w:r w:rsidR="00433D49" w:rsidRPr="005263F7">
        <w:rPr>
          <w:rFonts w:ascii="Times New Roman" w:hAnsi="Times New Roman" w:cs="Times New Roman"/>
          <w:sz w:val="24"/>
          <w:szCs w:val="24"/>
        </w:rPr>
        <w:t>).</w:t>
      </w:r>
    </w:p>
    <w:p w:rsidR="00594EC5" w:rsidRDefault="00594EC5" w:rsidP="005263F7">
      <w:pPr>
        <w:pStyle w:val="NoSpacing"/>
        <w:ind w:left="720"/>
        <w:rPr>
          <w:rFonts w:ascii="Times New Roman" w:hAnsi="Times New Roman" w:cs="Times New Roman"/>
          <w:sz w:val="24"/>
          <w:szCs w:val="24"/>
        </w:rPr>
      </w:pPr>
    </w:p>
    <w:p w:rsidR="00594EC5" w:rsidRDefault="005263F7" w:rsidP="005263F7">
      <w:pPr>
        <w:pStyle w:val="NoSpacing"/>
        <w:ind w:left="720"/>
        <w:rPr>
          <w:rFonts w:ascii="Times New Roman" w:hAnsi="Times New Roman" w:cs="Times New Roman"/>
          <w:sz w:val="24"/>
          <w:szCs w:val="24"/>
        </w:rPr>
      </w:pPr>
      <w:proofErr w:type="gramStart"/>
      <w:r w:rsidRPr="00594EC5">
        <w:rPr>
          <w:rFonts w:ascii="Times New Roman" w:hAnsi="Times New Roman" w:cs="Times New Roman"/>
          <w:b/>
          <w:sz w:val="24"/>
          <w:szCs w:val="24"/>
        </w:rPr>
        <w:t xml:space="preserve">Example </w:t>
      </w:r>
      <w:proofErr w:type="gramEnd"/>
      <w:r w:rsidR="00594EC5" w:rsidRPr="00594EC5">
        <w:rPr>
          <w:rFonts w:ascii="Times New Roman" w:hAnsi="Times New Roman" w:cs="Times New Roman"/>
          <w:b/>
          <w:sz w:val="24"/>
          <w:szCs w:val="24"/>
        </w:rPr>
        <w:t>4</w:t>
      </w:r>
      <w:r w:rsidRPr="00594EC5">
        <w:rPr>
          <w:rFonts w:ascii="Times New Roman" w:hAnsi="Times New Roman" w:cs="Times New Roman"/>
          <w:b/>
          <w:sz w:val="24"/>
          <w:szCs w:val="24"/>
        </w:rPr>
        <w:t>.</w:t>
      </w:r>
      <w:r w:rsidRPr="005263F7">
        <w:rPr>
          <w:rFonts w:ascii="Times New Roman" w:hAnsi="Times New Roman" w:cs="Times New Roman"/>
          <w:sz w:val="24"/>
          <w:szCs w:val="24"/>
        </w:rPr>
        <w:t xml:space="preserve"> Consider the following plan based on the census information in Table </w:t>
      </w:r>
      <w:r w:rsidR="00594EC5">
        <w:rPr>
          <w:rFonts w:ascii="Times New Roman" w:hAnsi="Times New Roman" w:cs="Times New Roman"/>
          <w:sz w:val="24"/>
          <w:szCs w:val="24"/>
        </w:rPr>
        <w:t>4</w:t>
      </w:r>
      <w:r w:rsidRPr="005263F7">
        <w:rPr>
          <w:rFonts w:ascii="Times New Roman" w:hAnsi="Times New Roman" w:cs="Times New Roman"/>
          <w:sz w:val="24"/>
          <w:szCs w:val="24"/>
        </w:rPr>
        <w:t xml:space="preserve">-1. All HCEs are covered and four out of eight NHCEs are covered. The plan satisfies part </w:t>
      </w:r>
      <w:r w:rsidR="00594EC5">
        <w:rPr>
          <w:rFonts w:ascii="Times New Roman" w:hAnsi="Times New Roman" w:cs="Times New Roman"/>
          <w:sz w:val="24"/>
          <w:szCs w:val="24"/>
        </w:rPr>
        <w:t>1(a)</w:t>
      </w:r>
      <w:r w:rsidRPr="005263F7">
        <w:rPr>
          <w:rFonts w:ascii="Times New Roman" w:hAnsi="Times New Roman" w:cs="Times New Roman"/>
          <w:sz w:val="24"/>
          <w:szCs w:val="24"/>
        </w:rPr>
        <w:t xml:space="preserve"> of the average benefit</w:t>
      </w:r>
      <w:r w:rsidR="00594EC5">
        <w:rPr>
          <w:rFonts w:ascii="Times New Roman" w:hAnsi="Times New Roman" w:cs="Times New Roman"/>
          <w:sz w:val="24"/>
          <w:szCs w:val="24"/>
        </w:rPr>
        <w:t>s</w:t>
      </w:r>
      <w:r w:rsidRPr="005263F7">
        <w:rPr>
          <w:rFonts w:ascii="Times New Roman" w:hAnsi="Times New Roman" w:cs="Times New Roman"/>
          <w:sz w:val="24"/>
          <w:szCs w:val="24"/>
        </w:rPr>
        <w:t xml:space="preserve"> test because the employees covered are determined based on job categories. The plan covers 50 percent of the NHCEs so it satisfies part </w:t>
      </w:r>
      <w:r w:rsidR="00594EC5">
        <w:rPr>
          <w:rFonts w:ascii="Times New Roman" w:hAnsi="Times New Roman" w:cs="Times New Roman"/>
          <w:sz w:val="24"/>
          <w:szCs w:val="24"/>
        </w:rPr>
        <w:t>1(b)</w:t>
      </w:r>
      <w:r w:rsidRPr="005263F7">
        <w:rPr>
          <w:rFonts w:ascii="Times New Roman" w:hAnsi="Times New Roman" w:cs="Times New Roman"/>
          <w:sz w:val="24"/>
          <w:szCs w:val="24"/>
        </w:rPr>
        <w:t xml:space="preserve"> of the average benefit test (50 percent is more than the safe harbor percentage of 49.25 percent). </w:t>
      </w:r>
    </w:p>
    <w:p w:rsidR="00594EC5" w:rsidRDefault="00594EC5" w:rsidP="005263F7">
      <w:pPr>
        <w:pStyle w:val="NoSpacing"/>
        <w:ind w:left="720"/>
        <w:rPr>
          <w:rFonts w:ascii="Times New Roman" w:hAnsi="Times New Roman" w:cs="Times New Roman"/>
          <w:sz w:val="24"/>
          <w:szCs w:val="24"/>
        </w:rPr>
      </w:pPr>
    </w:p>
    <w:p w:rsid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The last part of the average benefit test is illustrated as follows:</w:t>
      </w:r>
      <w:r w:rsidRPr="005263F7">
        <w:rPr>
          <w:rFonts w:ascii="Times New Roman" w:hAnsi="Times New Roman" w:cs="Times New Roman"/>
          <w:sz w:val="24"/>
          <w:szCs w:val="24"/>
        </w:rPr>
        <w:tab/>
      </w:r>
    </w:p>
    <w:p w:rsidR="000D19B5" w:rsidRPr="005263F7" w:rsidRDefault="000D19B5" w:rsidP="005263F7">
      <w:pPr>
        <w:pStyle w:val="NoSpacing"/>
        <w:ind w:left="72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76"/>
        <w:gridCol w:w="1836"/>
        <w:gridCol w:w="2217"/>
        <w:gridCol w:w="3383"/>
      </w:tblGrid>
      <w:tr w:rsidR="005263F7" w:rsidRPr="005263F7" w:rsidTr="00E826AF">
        <w:trPr>
          <w:trHeight w:val="5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i/>
                <w:sz w:val="24"/>
                <w:szCs w:val="24"/>
              </w:rPr>
            </w:pPr>
            <w:r w:rsidRPr="000F4979">
              <w:rPr>
                <w:rFonts w:ascii="Times New Roman" w:hAnsi="Times New Roman" w:cs="Times New Roman"/>
                <w:b/>
                <w:i/>
                <w:sz w:val="24"/>
                <w:szCs w:val="24"/>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i/>
                <w:sz w:val="24"/>
                <w:szCs w:val="24"/>
              </w:rPr>
            </w:pPr>
            <w:r w:rsidRPr="000F4979">
              <w:rPr>
                <w:rFonts w:ascii="Times New Roman" w:hAnsi="Times New Roman" w:cs="Times New Roman"/>
                <w:b/>
                <w:i/>
                <w:sz w:val="24"/>
                <w:szCs w:val="24"/>
              </w:rPr>
              <w:t>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i/>
                <w:sz w:val="24"/>
                <w:szCs w:val="24"/>
              </w:rPr>
            </w:pPr>
            <w:r w:rsidRPr="000F4979">
              <w:rPr>
                <w:rFonts w:ascii="Times New Roman" w:hAnsi="Times New Roman" w:cs="Times New Roman"/>
                <w:b/>
                <w:i/>
                <w:sz w:val="24"/>
                <w:szCs w:val="24"/>
              </w:rPr>
              <w:t>Contribution Percentage</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u w:val="single"/>
              </w:rPr>
            </w:pPr>
            <w:r w:rsidRPr="000F4979">
              <w:rPr>
                <w:rFonts w:ascii="Times New Roman" w:hAnsi="Times New Roman" w:cs="Times New Roman"/>
                <w:b/>
                <w:sz w:val="24"/>
                <w:szCs w:val="24"/>
                <w:u w:val="single"/>
              </w:rPr>
              <w:t>HCEs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Owner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$2</w:t>
            </w:r>
            <w:r w:rsidR="00D93C70">
              <w:rPr>
                <w:rFonts w:ascii="Times New Roman" w:hAnsi="Times New Roman" w:cs="Times New Roman"/>
                <w:sz w:val="24"/>
                <w:szCs w:val="24"/>
              </w:rPr>
              <w:t>55</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w:t>
            </w:r>
            <w:r w:rsidR="00D93C70">
              <w:rPr>
                <w:rFonts w:ascii="Times New Roman" w:hAnsi="Times New Roman" w:cs="Times New Roman"/>
                <w:sz w:val="24"/>
                <w:szCs w:val="24"/>
              </w:rPr>
              <w:t>51</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20.000%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Owner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w:t>
            </w:r>
            <w:r w:rsidR="00D93C70">
              <w:rPr>
                <w:rFonts w:ascii="Times New Roman" w:hAnsi="Times New Roman" w:cs="Times New Roman"/>
                <w:sz w:val="24"/>
                <w:szCs w:val="24"/>
              </w:rPr>
              <w:t>204</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w:t>
            </w:r>
            <w:r w:rsidR="00D93C70">
              <w:rPr>
                <w:rFonts w:ascii="Times New Roman" w:hAnsi="Times New Roman" w:cs="Times New Roman"/>
                <w:sz w:val="24"/>
                <w:szCs w:val="24"/>
              </w:rPr>
              <w:t>51</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25.000%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Owner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w:t>
            </w:r>
            <w:r w:rsidR="00D93C70">
              <w:rPr>
                <w:rFonts w:ascii="Times New Roman" w:hAnsi="Times New Roman" w:cs="Times New Roman"/>
                <w:sz w:val="24"/>
                <w:szCs w:val="24"/>
              </w:rPr>
              <w:t>204</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w:t>
            </w:r>
            <w:r w:rsidR="00D93C70">
              <w:rPr>
                <w:rFonts w:ascii="Times New Roman" w:hAnsi="Times New Roman" w:cs="Times New Roman"/>
                <w:sz w:val="24"/>
                <w:szCs w:val="24"/>
              </w:rPr>
              <w:t>51</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25.000%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EE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94EC5">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$11</w:t>
            </w:r>
            <w:r w:rsidR="00594EC5">
              <w:rPr>
                <w:rFonts w:ascii="Times New Roman" w:hAnsi="Times New Roman" w:cs="Times New Roman"/>
                <w:sz w:val="24"/>
                <w:szCs w:val="24"/>
              </w:rPr>
              <w:t>5</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94EC5">
            <w:pPr>
              <w:pStyle w:val="NoSpacing"/>
              <w:ind w:left="720"/>
              <w:rPr>
                <w:rFonts w:ascii="Times New Roman" w:hAnsi="Times New Roman" w:cs="Times New Roman"/>
                <w:sz w:val="24"/>
                <w:szCs w:val="24"/>
              </w:rPr>
            </w:pPr>
            <w:r w:rsidRPr="005263F7">
              <w:rPr>
                <w:rFonts w:ascii="Times New Roman" w:hAnsi="Times New Roman" w:cs="Times New Roman"/>
                <w:sz w:val="24"/>
                <w:szCs w:val="24"/>
              </w:rPr>
              <w:t>$5</w:t>
            </w:r>
            <w:r w:rsidR="00594EC5">
              <w:rPr>
                <w:rFonts w:ascii="Times New Roman" w:hAnsi="Times New Roman" w:cs="Times New Roman"/>
                <w:sz w:val="24"/>
                <w:szCs w:val="24"/>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0.500%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EE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94EC5">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$11</w:t>
            </w:r>
            <w:r w:rsidR="00594EC5">
              <w:rPr>
                <w:rFonts w:ascii="Times New Roman" w:hAnsi="Times New Roman" w:cs="Times New Roman"/>
                <w:sz w:val="24"/>
                <w:szCs w:val="24"/>
              </w:rPr>
              <w:t>5</w:t>
            </w:r>
            <w:r w:rsidRPr="005263F7">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94EC5">
            <w:pPr>
              <w:pStyle w:val="NoSpacing"/>
              <w:ind w:left="720"/>
              <w:rPr>
                <w:rFonts w:ascii="Times New Roman" w:hAnsi="Times New Roman" w:cs="Times New Roman"/>
                <w:sz w:val="24"/>
                <w:szCs w:val="24"/>
              </w:rPr>
            </w:pPr>
            <w:r w:rsidRPr="005263F7">
              <w:rPr>
                <w:rFonts w:ascii="Times New Roman" w:hAnsi="Times New Roman" w:cs="Times New Roman"/>
                <w:sz w:val="24"/>
                <w:szCs w:val="24"/>
              </w:rPr>
              <w:t>$5</w:t>
            </w:r>
            <w:r w:rsidR="00594EC5">
              <w:rPr>
                <w:rFonts w:ascii="Times New Roman" w:hAnsi="Times New Roman" w:cs="Times New Roman"/>
                <w:sz w:val="24"/>
                <w:szCs w:val="24"/>
              </w:rPr>
              <w:t>7</w:t>
            </w:r>
            <w:r w:rsidRPr="005263F7">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0.500%</w:t>
            </w:r>
          </w:p>
        </w:tc>
      </w:tr>
      <w:tr w:rsidR="005263F7" w:rsidRPr="005263F7" w:rsidTr="00E826AF">
        <w:trPr>
          <w:trHeight w:val="2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Average HCE 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14.200%</w:t>
            </w:r>
          </w:p>
        </w:tc>
      </w:tr>
      <w:tr w:rsidR="005263F7" w:rsidRPr="005263F7" w:rsidTr="00E826AF">
        <w:trPr>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u w:val="single"/>
              </w:rPr>
            </w:pPr>
            <w:r w:rsidRPr="000F4979">
              <w:rPr>
                <w:rFonts w:ascii="Times New Roman" w:hAnsi="Times New Roman" w:cs="Times New Roman"/>
                <w:b/>
                <w:sz w:val="24"/>
                <w:szCs w:val="24"/>
                <w:u w:val="single"/>
              </w:rPr>
              <w:t>NHCEs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EE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$2,187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9.940%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EE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$3,181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9.940%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EE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$1,789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9.940%</w:t>
            </w:r>
          </w:p>
        </w:tc>
      </w:tr>
      <w:tr w:rsidR="005263F7" w:rsidRPr="005263F7" w:rsidTr="00E826AF">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EE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$1,193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9.940%</w:t>
            </w:r>
          </w:p>
        </w:tc>
      </w:tr>
      <w:tr w:rsidR="005263F7" w:rsidRPr="005263F7" w:rsidTr="00E826AF">
        <w:trPr>
          <w:trHeight w:val="2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Average NHCE 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9.940%</w:t>
            </w:r>
          </w:p>
        </w:tc>
      </w:tr>
      <w:tr w:rsidR="005263F7" w:rsidRPr="005263F7" w:rsidTr="00E826AF">
        <w:trPr>
          <w:trHeight w:val="270"/>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p>
        </w:tc>
      </w:tr>
      <w:tr w:rsidR="005263F7" w:rsidRPr="005263F7" w:rsidTr="00E826AF">
        <w:trPr>
          <w:trHeight w:val="2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NHCE% divided by HCE%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70.000%</w:t>
            </w:r>
          </w:p>
        </w:tc>
      </w:tr>
      <w:tr w:rsidR="005263F7" w:rsidRPr="005263F7" w:rsidTr="00E826AF">
        <w:trPr>
          <w:trHeight w:val="2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5263F7">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Total Owners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D93C70">
            <w:pPr>
              <w:pStyle w:val="NoSpacing"/>
              <w:ind w:left="720"/>
              <w:rPr>
                <w:rFonts w:ascii="Times New Roman" w:hAnsi="Times New Roman" w:cs="Times New Roman"/>
                <w:sz w:val="24"/>
                <w:szCs w:val="24"/>
              </w:rPr>
            </w:pPr>
            <w:r w:rsidRPr="005263F7">
              <w:rPr>
                <w:rFonts w:ascii="Times New Roman" w:hAnsi="Times New Roman" w:cs="Times New Roman"/>
                <w:sz w:val="24"/>
                <w:szCs w:val="24"/>
              </w:rPr>
              <w:t>$  1</w:t>
            </w:r>
            <w:r w:rsidR="00D93C70">
              <w:rPr>
                <w:rFonts w:ascii="Times New Roman" w:hAnsi="Times New Roman" w:cs="Times New Roman"/>
                <w:sz w:val="24"/>
                <w:szCs w:val="24"/>
              </w:rPr>
              <w:t>53</w:t>
            </w:r>
            <w:r w:rsidRPr="005263F7">
              <w:rPr>
                <w:rFonts w:ascii="Times New Roman" w:hAnsi="Times New Roman" w:cs="Times New Roman"/>
                <w:sz w:val="24"/>
                <w:szCs w:val="24"/>
              </w:rPr>
              <w:t>,000</w:t>
            </w:r>
          </w:p>
        </w:tc>
      </w:tr>
      <w:tr w:rsidR="005263F7" w:rsidRPr="005263F7" w:rsidTr="00E826AF">
        <w:trPr>
          <w:trHeight w:val="2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0F4979" w:rsidRDefault="005263F7" w:rsidP="00EF60B5">
            <w:pPr>
              <w:pStyle w:val="NoSpacing"/>
              <w:ind w:left="720"/>
              <w:rPr>
                <w:rFonts w:ascii="Times New Roman" w:hAnsi="Times New Roman" w:cs="Times New Roman"/>
                <w:b/>
                <w:sz w:val="24"/>
                <w:szCs w:val="24"/>
              </w:rPr>
            </w:pPr>
            <w:r w:rsidRPr="000F4979">
              <w:rPr>
                <w:rFonts w:ascii="Times New Roman" w:hAnsi="Times New Roman" w:cs="Times New Roman"/>
                <w:b/>
                <w:sz w:val="24"/>
                <w:szCs w:val="24"/>
              </w:rPr>
              <w:t xml:space="preserve">Total </w:t>
            </w:r>
            <w:proofErr w:type="spellStart"/>
            <w:r w:rsidRPr="000F4979">
              <w:rPr>
                <w:rFonts w:ascii="Times New Roman" w:hAnsi="Times New Roman" w:cs="Times New Roman"/>
                <w:b/>
                <w:sz w:val="24"/>
                <w:szCs w:val="24"/>
              </w:rPr>
              <w:t>Non</w:t>
            </w:r>
            <w:r w:rsidR="004E0885">
              <w:rPr>
                <w:rFonts w:ascii="Times New Roman" w:hAnsi="Times New Roman" w:cs="Times New Roman"/>
                <w:b/>
                <w:sz w:val="24"/>
                <w:szCs w:val="24"/>
              </w:rPr>
              <w:t>o</w:t>
            </w:r>
            <w:r w:rsidRPr="000F4979">
              <w:rPr>
                <w:rFonts w:ascii="Times New Roman" w:hAnsi="Times New Roman" w:cs="Times New Roman"/>
                <w:b/>
                <w:sz w:val="24"/>
                <w:szCs w:val="24"/>
              </w:rPr>
              <w:t>wners</w:t>
            </w:r>
            <w:proofErr w:type="spellEnd"/>
            <w:r w:rsidRPr="000F4979">
              <w:rPr>
                <w:rFonts w:ascii="Times New Roman" w:hAnsi="Times New Roman" w:cs="Times New Roman"/>
                <w:b/>
                <w:sz w:val="24"/>
                <w:szCs w:val="24"/>
              </w:rPr>
              <w:t xml:space="preserve">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0D19B5">
            <w:pPr>
              <w:pStyle w:val="NoSpacing"/>
              <w:ind w:left="720"/>
              <w:rPr>
                <w:rFonts w:ascii="Times New Roman" w:hAnsi="Times New Roman" w:cs="Times New Roman"/>
                <w:sz w:val="24"/>
                <w:szCs w:val="24"/>
              </w:rPr>
            </w:pPr>
            <w:r w:rsidRPr="005263F7">
              <w:rPr>
                <w:rFonts w:ascii="Times New Roman" w:hAnsi="Times New Roman" w:cs="Times New Roman"/>
                <w:sz w:val="24"/>
                <w:szCs w:val="24"/>
              </w:rPr>
              <w:t>$   9,5</w:t>
            </w:r>
            <w:r w:rsidR="000D19B5">
              <w:rPr>
                <w:rFonts w:ascii="Times New Roman" w:hAnsi="Times New Roman" w:cs="Times New Roman"/>
                <w:sz w:val="24"/>
                <w:szCs w:val="24"/>
              </w:rPr>
              <w:t>0</w:t>
            </w:r>
            <w:r w:rsidRPr="005263F7">
              <w:rPr>
                <w:rFonts w:ascii="Times New Roman" w:hAnsi="Times New Roman" w:cs="Times New Roman"/>
                <w:sz w:val="24"/>
                <w:szCs w:val="24"/>
              </w:rPr>
              <w:t>0</w:t>
            </w:r>
          </w:p>
        </w:tc>
      </w:tr>
      <w:tr w:rsidR="005263F7" w:rsidRPr="005263F7" w:rsidTr="00E826AF">
        <w:trPr>
          <w:trHeight w:val="270"/>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 xml:space="preserve"> </w:t>
            </w:r>
          </w:p>
        </w:tc>
      </w:tr>
    </w:tbl>
    <w:p w:rsidR="005263F7" w:rsidRPr="005263F7" w:rsidRDefault="005263F7" w:rsidP="005263F7">
      <w:pPr>
        <w:pStyle w:val="NoSpacing"/>
        <w:ind w:left="720"/>
        <w:rPr>
          <w:rFonts w:ascii="Times New Roman" w:hAnsi="Times New Roman" w:cs="Times New Roman"/>
          <w:sz w:val="24"/>
          <w:szCs w:val="24"/>
        </w:rPr>
      </w:pPr>
    </w:p>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t xml:space="preserve">This plan, which clearly favors the three owners, satisfies the coverage requirements because all three parts of the average benefit test are passed.  In this example, employee number 4 and </w:t>
      </w:r>
      <w:r w:rsidR="00EF60B5">
        <w:rPr>
          <w:rFonts w:ascii="Times New Roman" w:hAnsi="Times New Roman" w:cs="Times New Roman"/>
          <w:sz w:val="24"/>
          <w:szCs w:val="24"/>
        </w:rPr>
        <w:t xml:space="preserve">employee </w:t>
      </w:r>
      <w:r w:rsidR="004E0885">
        <w:rPr>
          <w:rFonts w:ascii="Times New Roman" w:hAnsi="Times New Roman" w:cs="Times New Roman"/>
          <w:sz w:val="24"/>
          <w:szCs w:val="24"/>
        </w:rPr>
        <w:t xml:space="preserve">number </w:t>
      </w:r>
      <w:r w:rsidRPr="005263F7">
        <w:rPr>
          <w:rFonts w:ascii="Times New Roman" w:hAnsi="Times New Roman" w:cs="Times New Roman"/>
          <w:sz w:val="24"/>
          <w:szCs w:val="24"/>
        </w:rPr>
        <w:t>8 receive a contribution of only $5</w:t>
      </w:r>
      <w:r w:rsidR="000D19B5">
        <w:rPr>
          <w:rFonts w:ascii="Times New Roman" w:hAnsi="Times New Roman" w:cs="Times New Roman"/>
          <w:sz w:val="24"/>
          <w:szCs w:val="24"/>
        </w:rPr>
        <w:t>75</w:t>
      </w:r>
      <w:r w:rsidRPr="005263F7">
        <w:rPr>
          <w:rFonts w:ascii="Times New Roman" w:hAnsi="Times New Roman" w:cs="Times New Roman"/>
          <w:sz w:val="24"/>
          <w:szCs w:val="24"/>
        </w:rPr>
        <w:t xml:space="preserve"> bringing the average for the HCEs down.  A plan can always discriminate against highly compensated employees.</w:t>
      </w:r>
    </w:p>
    <w:p w:rsidR="00637F1D" w:rsidRDefault="00637F1D" w:rsidP="005263F7">
      <w:pPr>
        <w:pStyle w:val="NoSpacing"/>
        <w:ind w:left="720"/>
        <w:rPr>
          <w:rFonts w:ascii="Times New Roman" w:hAnsi="Times New Roman" w:cs="Times New Roman"/>
          <w:sz w:val="24"/>
          <w:szCs w:val="24"/>
        </w:rPr>
      </w:pPr>
    </w:p>
    <w:p w:rsidR="005263F7" w:rsidRPr="005263F7" w:rsidRDefault="005263F7" w:rsidP="005263F7">
      <w:pPr>
        <w:pStyle w:val="NoSpacing"/>
        <w:ind w:left="720"/>
        <w:rPr>
          <w:rFonts w:ascii="Times New Roman" w:hAnsi="Times New Roman" w:cs="Times New Roman"/>
          <w:sz w:val="24"/>
          <w:szCs w:val="24"/>
        </w:rPr>
      </w:pPr>
      <w:r w:rsidRPr="005263F7">
        <w:rPr>
          <w:rFonts w:ascii="Times New Roman" w:hAnsi="Times New Roman" w:cs="Times New Roman"/>
          <w:sz w:val="24"/>
          <w:szCs w:val="24"/>
        </w:rPr>
        <w:lastRenderedPageBreak/>
        <w:t xml:space="preserve">The plan still has to be tested for nondiscrimination in </w:t>
      </w:r>
      <w:r w:rsidR="00433D49">
        <w:rPr>
          <w:rFonts w:ascii="Times New Roman" w:hAnsi="Times New Roman" w:cs="Times New Roman"/>
          <w:sz w:val="24"/>
          <w:szCs w:val="24"/>
        </w:rPr>
        <w:t xml:space="preserve">the </w:t>
      </w:r>
      <w:r w:rsidRPr="005263F7">
        <w:rPr>
          <w:rFonts w:ascii="Times New Roman" w:hAnsi="Times New Roman" w:cs="Times New Roman"/>
          <w:sz w:val="24"/>
          <w:szCs w:val="24"/>
        </w:rPr>
        <w:t>amount of benefits (</w:t>
      </w:r>
      <w:commentRangeStart w:id="1"/>
      <w:r w:rsidRPr="005263F7">
        <w:rPr>
          <w:rFonts w:ascii="Times New Roman" w:hAnsi="Times New Roman" w:cs="Times New Roman"/>
          <w:sz w:val="24"/>
          <w:szCs w:val="24"/>
        </w:rPr>
        <w:t xml:space="preserve">see </w:t>
      </w:r>
      <w:r w:rsidR="00DC5B03">
        <w:rPr>
          <w:rFonts w:ascii="Times New Roman" w:hAnsi="Times New Roman" w:cs="Times New Roman"/>
          <w:sz w:val="24"/>
          <w:szCs w:val="24"/>
        </w:rPr>
        <w:t xml:space="preserve"> </w:t>
      </w:r>
      <w:r w:rsidR="00433D49">
        <w:rPr>
          <w:rFonts w:ascii="Times New Roman" w:hAnsi="Times New Roman" w:cs="Times New Roman"/>
          <w:sz w:val="24"/>
          <w:szCs w:val="24"/>
        </w:rPr>
        <w:t>4.19</w:t>
      </w:r>
      <w:commentRangeEnd w:id="1"/>
      <w:r w:rsidR="00433D49">
        <w:rPr>
          <w:rStyle w:val="CommentReference"/>
          <w:rFonts w:ascii="Times New Roman" w:eastAsia="Times New Roman" w:hAnsi="Times New Roman" w:cs="Times New Roman"/>
        </w:rPr>
        <w:commentReference w:id="1"/>
      </w:r>
      <w:r w:rsidRPr="005263F7">
        <w:rPr>
          <w:rFonts w:ascii="Times New Roman" w:hAnsi="Times New Roman" w:cs="Times New Roman"/>
          <w:sz w:val="24"/>
          <w:szCs w:val="24"/>
        </w:rPr>
        <w:t>).  Most likely some form of comparability would give the best results.</w:t>
      </w:r>
      <w:r w:rsidR="00F96049">
        <w:rPr>
          <w:rStyle w:val="FootnoteReference"/>
          <w:rFonts w:ascii="Times New Roman" w:hAnsi="Times New Roman" w:cs="Times New Roman"/>
          <w:sz w:val="24"/>
          <w:szCs w:val="24"/>
        </w:rPr>
        <w:footnoteReference w:id="7"/>
      </w:r>
    </w:p>
    <w:p w:rsidR="005263F7" w:rsidRPr="005263F7" w:rsidRDefault="005263F7"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sz w:val="20"/>
          <w:szCs w:val="20"/>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0</w:t>
      </w:r>
      <w:r>
        <w:rPr>
          <w:rFonts w:ascii="Times New Roman" w:hAnsi="Times New Roman" w:cs="Times New Roman"/>
          <w:b/>
          <w:sz w:val="24"/>
          <w:szCs w:val="24"/>
        </w:rPr>
        <w:t xml:space="preserve">6:  </w:t>
      </w:r>
      <w:r w:rsidRPr="00E1416D">
        <w:rPr>
          <w:rFonts w:ascii="Times New Roman" w:hAnsi="Times New Roman" w:cs="Times New Roman"/>
          <w:b/>
          <w:sz w:val="24"/>
          <w:szCs w:val="24"/>
        </w:rPr>
        <w:t xml:space="preserve">What </w:t>
      </w:r>
      <w:r>
        <w:rPr>
          <w:rFonts w:ascii="Times New Roman" w:hAnsi="Times New Roman" w:cs="Times New Roman"/>
          <w:b/>
          <w:sz w:val="24"/>
          <w:szCs w:val="24"/>
        </w:rPr>
        <w:t>is a qualified separate line of business</w:t>
      </w:r>
      <w:r w:rsidR="000F0168">
        <w:rPr>
          <w:rFonts w:ascii="Times New Roman" w:hAnsi="Times New Roman" w:cs="Times New Roman"/>
          <w:b/>
          <w:sz w:val="24"/>
          <w:szCs w:val="24"/>
        </w:rPr>
        <w:t xml:space="preserve"> (QSLOB)</w:t>
      </w:r>
      <w:r>
        <w:rPr>
          <w:rFonts w:ascii="Times New Roman" w:hAnsi="Times New Roman" w:cs="Times New Roman"/>
          <w:b/>
          <w:sz w:val="24"/>
          <w:szCs w:val="24"/>
        </w:rPr>
        <w:t>?</w:t>
      </w:r>
    </w:p>
    <w:p w:rsidR="007502D4" w:rsidRDefault="007502D4" w:rsidP="007502D4">
      <w:pPr>
        <w:pStyle w:val="NoSpacing"/>
        <w:ind w:left="720"/>
        <w:rPr>
          <w:rFonts w:ascii="Times New Roman" w:hAnsi="Times New Roman" w:cs="Times New Roman"/>
          <w:b/>
          <w:sz w:val="24"/>
          <w:szCs w:val="24"/>
        </w:rPr>
      </w:pPr>
    </w:p>
    <w:p w:rsidR="000F0168" w:rsidRPr="00A60285" w:rsidRDefault="000F0168" w:rsidP="000F0168">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7502D4" w:rsidRPr="00BB5EA5">
        <w:rPr>
          <w:rFonts w:ascii="Times New Roman" w:hAnsi="Times New Roman" w:cs="Times New Roman"/>
          <w:sz w:val="24"/>
          <w:szCs w:val="24"/>
        </w:rPr>
        <w:t xml:space="preserve"> “line of business” is a portion of the employer identified by the property or services it provides to its customers.</w:t>
      </w:r>
      <w:r>
        <w:rPr>
          <w:rFonts w:ascii="Times New Roman" w:hAnsi="Times New Roman" w:cs="Times New Roman"/>
          <w:sz w:val="24"/>
          <w:szCs w:val="24"/>
        </w:rPr>
        <w:t xml:space="preserve">  </w:t>
      </w:r>
      <w:r w:rsidR="00B73722">
        <w:rPr>
          <w:rFonts w:ascii="Times New Roman" w:hAnsi="Times New Roman" w:cs="Times New Roman"/>
          <w:sz w:val="24"/>
          <w:szCs w:val="24"/>
        </w:rPr>
        <w:t>In order t</w:t>
      </w:r>
      <w:r w:rsidRPr="00A60285">
        <w:rPr>
          <w:rFonts w:ascii="Times New Roman" w:hAnsi="Times New Roman" w:cs="Times New Roman"/>
          <w:sz w:val="24"/>
          <w:szCs w:val="24"/>
        </w:rPr>
        <w:t xml:space="preserve">o be considered a </w:t>
      </w:r>
      <w:r>
        <w:rPr>
          <w:rFonts w:ascii="Times New Roman" w:hAnsi="Times New Roman" w:cs="Times New Roman"/>
          <w:sz w:val="24"/>
          <w:szCs w:val="24"/>
        </w:rPr>
        <w:t>qualified separate line of business (</w:t>
      </w:r>
      <w:r w:rsidRPr="00A60285">
        <w:rPr>
          <w:rFonts w:ascii="Times New Roman" w:hAnsi="Times New Roman" w:cs="Times New Roman"/>
          <w:sz w:val="24"/>
          <w:szCs w:val="24"/>
        </w:rPr>
        <w:t>QSLOB</w:t>
      </w:r>
      <w:r>
        <w:rPr>
          <w:rFonts w:ascii="Times New Roman" w:hAnsi="Times New Roman" w:cs="Times New Roman"/>
          <w:sz w:val="24"/>
          <w:szCs w:val="24"/>
        </w:rPr>
        <w:t>)</w:t>
      </w:r>
      <w:r w:rsidRPr="00A60285">
        <w:rPr>
          <w:rFonts w:ascii="Times New Roman" w:hAnsi="Times New Roman" w:cs="Times New Roman"/>
          <w:sz w:val="24"/>
          <w:szCs w:val="24"/>
        </w:rPr>
        <w:t xml:space="preserve"> the following </w:t>
      </w:r>
      <w:r>
        <w:rPr>
          <w:rFonts w:ascii="Times New Roman" w:hAnsi="Times New Roman" w:cs="Times New Roman"/>
          <w:sz w:val="24"/>
          <w:szCs w:val="24"/>
        </w:rPr>
        <w:t>requirements must be satisfied:</w:t>
      </w:r>
      <w:r w:rsidR="00154A6D">
        <w:rPr>
          <w:rStyle w:val="FootnoteReference"/>
          <w:rFonts w:ascii="Times New Roman" w:hAnsi="Times New Roman" w:cs="Times New Roman"/>
          <w:sz w:val="24"/>
          <w:szCs w:val="24"/>
        </w:rPr>
        <w:footnoteReference w:id="8"/>
      </w:r>
    </w:p>
    <w:p w:rsidR="000F0168" w:rsidRDefault="000F0168" w:rsidP="000F0168">
      <w:pPr>
        <w:pStyle w:val="NoSpacing"/>
        <w:numPr>
          <w:ilvl w:val="0"/>
          <w:numId w:val="19"/>
        </w:numPr>
        <w:rPr>
          <w:rFonts w:ascii="Times New Roman" w:hAnsi="Times New Roman" w:cs="Times New Roman"/>
          <w:sz w:val="24"/>
          <w:szCs w:val="24"/>
        </w:rPr>
      </w:pPr>
      <w:r w:rsidRPr="00A60285">
        <w:rPr>
          <w:rFonts w:ascii="Times New Roman" w:hAnsi="Times New Roman" w:cs="Times New Roman"/>
          <w:sz w:val="24"/>
          <w:szCs w:val="24"/>
        </w:rPr>
        <w:t xml:space="preserve">The line of business must have at least </w:t>
      </w:r>
      <w:r w:rsidR="00711676">
        <w:rPr>
          <w:rFonts w:ascii="Times New Roman" w:hAnsi="Times New Roman" w:cs="Times New Roman"/>
          <w:sz w:val="24"/>
          <w:szCs w:val="24"/>
        </w:rPr>
        <w:t>fifty</w:t>
      </w:r>
      <w:r w:rsidR="00711676" w:rsidRPr="00A60285">
        <w:rPr>
          <w:rFonts w:ascii="Times New Roman" w:hAnsi="Times New Roman" w:cs="Times New Roman"/>
          <w:sz w:val="24"/>
          <w:szCs w:val="24"/>
        </w:rPr>
        <w:t xml:space="preserve"> </w:t>
      </w:r>
      <w:r w:rsidRPr="00A60285">
        <w:rPr>
          <w:rFonts w:ascii="Times New Roman" w:hAnsi="Times New Roman" w:cs="Times New Roman"/>
          <w:sz w:val="24"/>
          <w:szCs w:val="24"/>
        </w:rPr>
        <w:t>employees</w:t>
      </w:r>
      <w:r w:rsidR="00DC5B03">
        <w:rPr>
          <w:rFonts w:ascii="Times New Roman" w:hAnsi="Times New Roman" w:cs="Times New Roman"/>
          <w:sz w:val="24"/>
          <w:szCs w:val="24"/>
        </w:rPr>
        <w:t>;</w:t>
      </w:r>
    </w:p>
    <w:p w:rsidR="000F0168" w:rsidRDefault="000F0168" w:rsidP="000F016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w:t>
      </w:r>
      <w:r w:rsidRPr="00A60285">
        <w:rPr>
          <w:rFonts w:ascii="Times New Roman" w:hAnsi="Times New Roman" w:cs="Times New Roman"/>
          <w:sz w:val="24"/>
          <w:szCs w:val="24"/>
        </w:rPr>
        <w:t>he employer must notify the Secretary of the Treasury that it is treating itself as operating a separate line of business</w:t>
      </w:r>
      <w:r w:rsidR="00DC5B03">
        <w:rPr>
          <w:rFonts w:ascii="Times New Roman" w:hAnsi="Times New Roman" w:cs="Times New Roman"/>
          <w:sz w:val="24"/>
          <w:szCs w:val="24"/>
        </w:rPr>
        <w:t>;</w:t>
      </w:r>
    </w:p>
    <w:p w:rsidR="000F0168" w:rsidRPr="00A60285" w:rsidRDefault="000F0168" w:rsidP="000F0168">
      <w:pPr>
        <w:pStyle w:val="NoSpacing"/>
        <w:numPr>
          <w:ilvl w:val="0"/>
          <w:numId w:val="19"/>
        </w:numPr>
        <w:rPr>
          <w:rFonts w:ascii="Times New Roman" w:hAnsi="Times New Roman" w:cs="Times New Roman"/>
          <w:sz w:val="24"/>
          <w:szCs w:val="24"/>
        </w:rPr>
      </w:pPr>
      <w:r w:rsidRPr="00A60285">
        <w:rPr>
          <w:rFonts w:ascii="Times New Roman" w:hAnsi="Times New Roman" w:cs="Times New Roman"/>
          <w:sz w:val="24"/>
          <w:szCs w:val="24"/>
        </w:rPr>
        <w:t>The separate line of business must pass administrative scrutiny by either:</w:t>
      </w:r>
    </w:p>
    <w:p w:rsidR="000F0168" w:rsidRDefault="00711676" w:rsidP="000F0168">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p</w:t>
      </w:r>
      <w:r w:rsidRPr="00A60285">
        <w:rPr>
          <w:rFonts w:ascii="Times New Roman" w:hAnsi="Times New Roman" w:cs="Times New Roman"/>
          <w:sz w:val="24"/>
          <w:szCs w:val="24"/>
        </w:rPr>
        <w:t xml:space="preserve">assing </w:t>
      </w:r>
      <w:r w:rsidR="000F0168" w:rsidRPr="00A60285">
        <w:rPr>
          <w:rFonts w:ascii="Times New Roman" w:hAnsi="Times New Roman" w:cs="Times New Roman"/>
          <w:sz w:val="24"/>
          <w:szCs w:val="24"/>
        </w:rPr>
        <w:t>any of the safe harbors in Treasury Regulations Section 1.414(r)-5</w:t>
      </w:r>
      <w:r>
        <w:rPr>
          <w:rFonts w:ascii="Times New Roman" w:hAnsi="Times New Roman" w:cs="Times New Roman"/>
          <w:sz w:val="24"/>
          <w:szCs w:val="24"/>
        </w:rPr>
        <w:t>, or</w:t>
      </w:r>
      <w:r w:rsidRPr="00A60285">
        <w:rPr>
          <w:rFonts w:ascii="Times New Roman" w:hAnsi="Times New Roman" w:cs="Times New Roman"/>
          <w:sz w:val="24"/>
          <w:szCs w:val="24"/>
        </w:rPr>
        <w:t xml:space="preserve"> </w:t>
      </w:r>
    </w:p>
    <w:p w:rsidR="000F0168" w:rsidRDefault="00711676" w:rsidP="000F0168">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a</w:t>
      </w:r>
      <w:r w:rsidRPr="00A60285">
        <w:rPr>
          <w:rFonts w:ascii="Times New Roman" w:hAnsi="Times New Roman" w:cs="Times New Roman"/>
          <w:sz w:val="24"/>
          <w:szCs w:val="24"/>
        </w:rPr>
        <w:t xml:space="preserve">pplying </w:t>
      </w:r>
      <w:r w:rsidR="000F0168" w:rsidRPr="00A60285">
        <w:rPr>
          <w:rFonts w:ascii="Times New Roman" w:hAnsi="Times New Roman" w:cs="Times New Roman"/>
          <w:sz w:val="24"/>
          <w:szCs w:val="24"/>
        </w:rPr>
        <w:t>to the IRS Commissioner for a determination letter that the separate line of business satisfies the administrative scrutiny rule.</w:t>
      </w:r>
    </w:p>
    <w:p w:rsidR="00205143" w:rsidRDefault="00205143" w:rsidP="000F0168">
      <w:pPr>
        <w:pStyle w:val="NoSpacing"/>
        <w:ind w:left="720"/>
        <w:rPr>
          <w:rFonts w:ascii="Times New Roman" w:hAnsi="Times New Roman" w:cs="Times New Roman"/>
          <w:sz w:val="20"/>
          <w:szCs w:val="20"/>
        </w:rPr>
      </w:pPr>
    </w:p>
    <w:p w:rsidR="000F0168" w:rsidRDefault="000F0168" w:rsidP="000F0168">
      <w:pPr>
        <w:pStyle w:val="NoSpacing"/>
        <w:ind w:left="720"/>
        <w:rPr>
          <w:rFonts w:ascii="Times New Roman" w:hAnsi="Times New Roman" w:cs="Times New Roman"/>
          <w:sz w:val="20"/>
          <w:szCs w:val="20"/>
        </w:rPr>
      </w:pPr>
    </w:p>
    <w:p w:rsidR="007502D4" w:rsidRDefault="007502D4" w:rsidP="000F0168">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sz w:val="24"/>
          <w:szCs w:val="24"/>
        </w:rPr>
      </w:pPr>
    </w:p>
    <w:p w:rsidR="000F0168" w:rsidRDefault="000F0168" w:rsidP="000F0168">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07</w:t>
      </w:r>
      <w:r>
        <w:rPr>
          <w:rFonts w:ascii="Times New Roman" w:hAnsi="Times New Roman" w:cs="Times New Roman"/>
          <w:b/>
          <w:sz w:val="24"/>
          <w:szCs w:val="24"/>
        </w:rPr>
        <w:t>:  How is a QSLOB treated for nondiscrimination coverage testing?</w:t>
      </w:r>
    </w:p>
    <w:p w:rsidR="000F0168" w:rsidRDefault="000F0168" w:rsidP="000F0168">
      <w:pPr>
        <w:pStyle w:val="NoSpacing"/>
        <w:ind w:left="720"/>
        <w:rPr>
          <w:rFonts w:ascii="Times New Roman" w:hAnsi="Times New Roman" w:cs="Times New Roman"/>
          <w:b/>
          <w:sz w:val="24"/>
          <w:szCs w:val="24"/>
        </w:rPr>
      </w:pPr>
    </w:p>
    <w:p w:rsidR="000F0168" w:rsidRDefault="000F0168" w:rsidP="000F0168">
      <w:pPr>
        <w:pStyle w:val="NoSpacing"/>
        <w:ind w:left="720"/>
        <w:rPr>
          <w:rFonts w:ascii="Times New Roman" w:hAnsi="Times New Roman" w:cs="Times New Roman"/>
          <w:sz w:val="20"/>
          <w:szCs w:val="20"/>
        </w:rPr>
      </w:pPr>
      <w:r>
        <w:rPr>
          <w:rFonts w:ascii="Times New Roman" w:hAnsi="Times New Roman" w:cs="Times New Roman"/>
          <w:sz w:val="24"/>
          <w:szCs w:val="24"/>
        </w:rPr>
        <w:t>A</w:t>
      </w:r>
      <w:r w:rsidRPr="00BB5EA5">
        <w:rPr>
          <w:rFonts w:ascii="Times New Roman" w:hAnsi="Times New Roman" w:cs="Times New Roman"/>
          <w:sz w:val="24"/>
          <w:szCs w:val="24"/>
        </w:rPr>
        <w:t xml:space="preserve">n employer that is operating a QSLOB may apply </w:t>
      </w:r>
      <w:r w:rsidRPr="00CD047A">
        <w:rPr>
          <w:rFonts w:ascii="Times New Roman" w:hAnsi="Times New Roman" w:cs="Times New Roman"/>
          <w:sz w:val="24"/>
          <w:szCs w:val="24"/>
        </w:rPr>
        <w:t xml:space="preserve">the coverage requirements of </w:t>
      </w:r>
      <w:r w:rsidR="00446A14">
        <w:rPr>
          <w:rFonts w:ascii="Times New Roman" w:hAnsi="Times New Roman" w:cs="Times New Roman"/>
          <w:sz w:val="24"/>
          <w:szCs w:val="24"/>
        </w:rPr>
        <w:t>Code</w:t>
      </w:r>
      <w:r w:rsidR="00446A14" w:rsidRPr="00CD047A">
        <w:rPr>
          <w:rFonts w:ascii="Times New Roman" w:hAnsi="Times New Roman" w:cs="Times New Roman"/>
          <w:sz w:val="24"/>
          <w:szCs w:val="24"/>
        </w:rPr>
        <w:t xml:space="preserve"> </w:t>
      </w:r>
      <w:r w:rsidRPr="00CD047A">
        <w:rPr>
          <w:rFonts w:ascii="Times New Roman" w:hAnsi="Times New Roman" w:cs="Times New Roman"/>
          <w:sz w:val="24"/>
          <w:szCs w:val="24"/>
        </w:rPr>
        <w:t xml:space="preserve">Section 410(b) </w:t>
      </w:r>
      <w:r w:rsidRPr="00BB5EA5">
        <w:rPr>
          <w:rFonts w:ascii="Times New Roman" w:hAnsi="Times New Roman" w:cs="Times New Roman"/>
          <w:sz w:val="24"/>
          <w:szCs w:val="24"/>
        </w:rPr>
        <w:t>separately to each line of business.</w:t>
      </w:r>
      <w:r w:rsidR="00446A14">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6C7178">
        <w:rPr>
          <w:rFonts w:ascii="Times New Roman" w:hAnsi="Times New Roman" w:cs="Times New Roman"/>
          <w:sz w:val="20"/>
          <w:szCs w:val="20"/>
        </w:rPr>
        <w:t xml:space="preserve"> </w:t>
      </w:r>
    </w:p>
    <w:p w:rsidR="000F0168" w:rsidRDefault="000F0168" w:rsidP="000F0168">
      <w:pPr>
        <w:pStyle w:val="NoSpacing"/>
        <w:ind w:left="720"/>
        <w:rPr>
          <w:rFonts w:ascii="Times New Roman" w:hAnsi="Times New Roman" w:cs="Times New Roman"/>
          <w:sz w:val="24"/>
          <w:szCs w:val="24"/>
        </w:rPr>
      </w:pPr>
    </w:p>
    <w:p w:rsidR="00205143" w:rsidRDefault="007502D4" w:rsidP="007502D4">
      <w:pPr>
        <w:pStyle w:val="NoSpacing"/>
        <w:ind w:left="720"/>
        <w:rPr>
          <w:rFonts w:ascii="Times New Roman" w:hAnsi="Times New Roman" w:cs="Times New Roman"/>
          <w:sz w:val="24"/>
          <w:szCs w:val="24"/>
        </w:rPr>
      </w:pPr>
      <w:r w:rsidRPr="00CD047A">
        <w:rPr>
          <w:rFonts w:ascii="Times New Roman" w:hAnsi="Times New Roman" w:cs="Times New Roman"/>
          <w:sz w:val="24"/>
          <w:szCs w:val="24"/>
        </w:rPr>
        <w:t xml:space="preserve">By its nature the nondiscrimination rules </w:t>
      </w:r>
      <w:r>
        <w:rPr>
          <w:rFonts w:ascii="Times New Roman" w:hAnsi="Times New Roman" w:cs="Times New Roman"/>
          <w:sz w:val="24"/>
          <w:szCs w:val="24"/>
        </w:rPr>
        <w:t>regarding QSLOB</w:t>
      </w:r>
      <w:r w:rsidR="00446A14">
        <w:rPr>
          <w:rFonts w:ascii="Times New Roman" w:hAnsi="Times New Roman" w:cs="Times New Roman"/>
          <w:sz w:val="24"/>
          <w:szCs w:val="24"/>
        </w:rPr>
        <w:t>s</w:t>
      </w:r>
      <w:r>
        <w:rPr>
          <w:rFonts w:ascii="Times New Roman" w:hAnsi="Times New Roman" w:cs="Times New Roman"/>
          <w:sz w:val="24"/>
          <w:szCs w:val="24"/>
        </w:rPr>
        <w:t xml:space="preserve"> </w:t>
      </w:r>
      <w:r w:rsidRPr="00CD047A">
        <w:rPr>
          <w:rFonts w:ascii="Times New Roman" w:hAnsi="Times New Roman" w:cs="Times New Roman"/>
          <w:sz w:val="24"/>
          <w:szCs w:val="24"/>
        </w:rPr>
        <w:t>appl</w:t>
      </w:r>
      <w:r>
        <w:rPr>
          <w:rFonts w:ascii="Times New Roman" w:hAnsi="Times New Roman" w:cs="Times New Roman"/>
          <w:sz w:val="24"/>
          <w:szCs w:val="24"/>
        </w:rPr>
        <w:t>y</w:t>
      </w:r>
      <w:r w:rsidRPr="00CD047A">
        <w:rPr>
          <w:rFonts w:ascii="Times New Roman" w:hAnsi="Times New Roman" w:cs="Times New Roman"/>
          <w:sz w:val="24"/>
          <w:szCs w:val="24"/>
        </w:rPr>
        <w:t xml:space="preserve"> to very large employers. Although all plans must satisfy the coverage requirements of </w:t>
      </w:r>
      <w:r w:rsidR="00446A14">
        <w:rPr>
          <w:rFonts w:ascii="Times New Roman" w:hAnsi="Times New Roman" w:cs="Times New Roman"/>
          <w:sz w:val="24"/>
          <w:szCs w:val="24"/>
        </w:rPr>
        <w:t>Code</w:t>
      </w:r>
      <w:r w:rsidR="00446A14" w:rsidRPr="00CD047A">
        <w:rPr>
          <w:rFonts w:ascii="Times New Roman" w:hAnsi="Times New Roman" w:cs="Times New Roman"/>
          <w:sz w:val="24"/>
          <w:szCs w:val="24"/>
        </w:rPr>
        <w:t xml:space="preserve"> </w:t>
      </w:r>
      <w:r w:rsidRPr="00CD047A">
        <w:rPr>
          <w:rFonts w:ascii="Times New Roman" w:hAnsi="Times New Roman" w:cs="Times New Roman"/>
          <w:sz w:val="24"/>
          <w:szCs w:val="24"/>
        </w:rPr>
        <w:t>Section 410(b) based on all employees, an employer that is operating a QSLOB may apply those tests separately to each line of business</w:t>
      </w:r>
      <w:r>
        <w:rPr>
          <w:rFonts w:ascii="Times New Roman" w:hAnsi="Times New Roman" w:cs="Times New Roman"/>
          <w:sz w:val="24"/>
          <w:szCs w:val="24"/>
        </w:rPr>
        <w:t>, provided the</w:t>
      </w:r>
      <w:r w:rsidRPr="00631C7B">
        <w:rPr>
          <w:rFonts w:ascii="Times New Roman" w:hAnsi="Times New Roman" w:cs="Times New Roman"/>
          <w:sz w:val="24"/>
          <w:szCs w:val="24"/>
        </w:rPr>
        <w:t xml:space="preserve"> separate line of business </w:t>
      </w:r>
      <w:r>
        <w:rPr>
          <w:rFonts w:ascii="Times New Roman" w:hAnsi="Times New Roman" w:cs="Times New Roman"/>
          <w:sz w:val="24"/>
          <w:szCs w:val="24"/>
        </w:rPr>
        <w:t>is</w:t>
      </w:r>
      <w:r w:rsidRPr="00631C7B">
        <w:rPr>
          <w:rFonts w:ascii="Times New Roman" w:hAnsi="Times New Roman" w:cs="Times New Roman"/>
          <w:sz w:val="24"/>
          <w:szCs w:val="24"/>
        </w:rPr>
        <w:t xml:space="preserve"> organized and operated separately from the remainder of the employer.</w:t>
      </w:r>
      <w:r w:rsidR="00446A14">
        <w:rPr>
          <w:rStyle w:val="FootnoteReference"/>
          <w:rFonts w:ascii="Times New Roman" w:hAnsi="Times New Roman" w:cs="Times New Roman"/>
          <w:sz w:val="24"/>
          <w:szCs w:val="24"/>
        </w:rPr>
        <w:footnoteReference w:id="10"/>
      </w:r>
      <w:r w:rsidR="00205143">
        <w:rPr>
          <w:rFonts w:ascii="Times New Roman" w:hAnsi="Times New Roman" w:cs="Times New Roman"/>
          <w:sz w:val="24"/>
          <w:szCs w:val="24"/>
        </w:rPr>
        <w:t xml:space="preserve"> </w:t>
      </w:r>
    </w:p>
    <w:p w:rsidR="007502D4" w:rsidRDefault="007502D4" w:rsidP="007502D4">
      <w:pPr>
        <w:pStyle w:val="NoSpacing"/>
        <w:ind w:left="720"/>
        <w:rPr>
          <w:rFonts w:ascii="Times New Roman" w:hAnsi="Times New Roman" w:cs="Times New Roman"/>
          <w:sz w:val="20"/>
          <w:szCs w:val="20"/>
        </w:rPr>
      </w:pP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08</w:t>
      </w:r>
      <w:r>
        <w:rPr>
          <w:rFonts w:ascii="Times New Roman" w:hAnsi="Times New Roman" w:cs="Times New Roman"/>
          <w:b/>
          <w:sz w:val="24"/>
          <w:szCs w:val="24"/>
        </w:rPr>
        <w:t xml:space="preserve">:  </w:t>
      </w:r>
      <w:r w:rsidRPr="00E1416D">
        <w:rPr>
          <w:rFonts w:ascii="Times New Roman" w:hAnsi="Times New Roman" w:cs="Times New Roman"/>
          <w:b/>
          <w:sz w:val="24"/>
          <w:szCs w:val="24"/>
        </w:rPr>
        <w:t xml:space="preserve">What are the requirements of the minimum participation rules under </w:t>
      </w:r>
      <w:r w:rsidR="00446A14">
        <w:rPr>
          <w:rFonts w:ascii="Times New Roman" w:hAnsi="Times New Roman" w:cs="Times New Roman"/>
          <w:b/>
          <w:sz w:val="24"/>
          <w:szCs w:val="24"/>
        </w:rPr>
        <w:t>Code</w:t>
      </w:r>
      <w:r w:rsidR="00446A14" w:rsidRPr="00E1416D">
        <w:rPr>
          <w:rFonts w:ascii="Times New Roman" w:hAnsi="Times New Roman" w:cs="Times New Roman"/>
          <w:b/>
          <w:sz w:val="24"/>
          <w:szCs w:val="24"/>
        </w:rPr>
        <w:t xml:space="preserve"> </w:t>
      </w:r>
      <w:r w:rsidRPr="00E1416D">
        <w:rPr>
          <w:rFonts w:ascii="Times New Roman" w:hAnsi="Times New Roman" w:cs="Times New Roman"/>
          <w:b/>
          <w:sz w:val="24"/>
          <w:szCs w:val="24"/>
        </w:rPr>
        <w:t>Section 401(a)(26)?</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4"/>
          <w:szCs w:val="24"/>
        </w:rPr>
      </w:pPr>
      <w:r w:rsidRPr="00E1416D">
        <w:rPr>
          <w:rFonts w:ascii="Times New Roman" w:hAnsi="Times New Roman" w:cs="Times New Roman"/>
          <w:sz w:val="24"/>
          <w:szCs w:val="24"/>
        </w:rPr>
        <w:t xml:space="preserve">The general rule states that a plan must “benefit” the lesser of </w:t>
      </w:r>
      <w:r w:rsidR="00446A14">
        <w:rPr>
          <w:rFonts w:ascii="Times New Roman" w:hAnsi="Times New Roman" w:cs="Times New Roman"/>
          <w:sz w:val="24"/>
          <w:szCs w:val="24"/>
        </w:rPr>
        <w:t>fifty</w:t>
      </w:r>
      <w:r w:rsidR="00446A14" w:rsidRPr="00E1416D">
        <w:rPr>
          <w:rFonts w:ascii="Times New Roman" w:hAnsi="Times New Roman" w:cs="Times New Roman"/>
          <w:sz w:val="24"/>
          <w:szCs w:val="24"/>
        </w:rPr>
        <w:t xml:space="preserve"> </w:t>
      </w:r>
      <w:r w:rsidRPr="00E1416D">
        <w:rPr>
          <w:rFonts w:ascii="Times New Roman" w:hAnsi="Times New Roman" w:cs="Times New Roman"/>
          <w:sz w:val="24"/>
          <w:szCs w:val="24"/>
        </w:rPr>
        <w:t>employees or 40 percent of all employees.</w:t>
      </w:r>
      <w:r w:rsidR="005A0A49">
        <w:rPr>
          <w:rFonts w:ascii="Times New Roman" w:hAnsi="Times New Roman" w:cs="Times New Roman"/>
          <w:sz w:val="24"/>
          <w:szCs w:val="24"/>
        </w:rPr>
        <w:t xml:space="preserve">  </w:t>
      </w:r>
      <w:r w:rsidR="005A0A49" w:rsidRPr="005A0A49">
        <w:rPr>
          <w:rFonts w:ascii="Times New Roman" w:hAnsi="Times New Roman" w:cs="Times New Roman"/>
          <w:sz w:val="24"/>
          <w:szCs w:val="24"/>
        </w:rPr>
        <w:t>The 40</w:t>
      </w:r>
      <w:r w:rsidR="00446A14">
        <w:rPr>
          <w:rFonts w:ascii="Times New Roman" w:hAnsi="Times New Roman" w:cs="Times New Roman"/>
          <w:sz w:val="24"/>
          <w:szCs w:val="24"/>
        </w:rPr>
        <w:t xml:space="preserve"> </w:t>
      </w:r>
      <w:r w:rsidR="005A0A49" w:rsidRPr="005A0A49">
        <w:rPr>
          <w:rFonts w:ascii="Times New Roman" w:hAnsi="Times New Roman" w:cs="Times New Roman"/>
          <w:sz w:val="24"/>
          <w:szCs w:val="24"/>
        </w:rPr>
        <w:t xml:space="preserve">percent rule also requires that no fewer than two </w:t>
      </w:r>
      <w:r w:rsidR="005A0A49" w:rsidRPr="005A0A49">
        <w:rPr>
          <w:rFonts w:ascii="Times New Roman" w:hAnsi="Times New Roman" w:cs="Times New Roman"/>
          <w:sz w:val="24"/>
          <w:szCs w:val="24"/>
        </w:rPr>
        <w:lastRenderedPageBreak/>
        <w:t>employees benefit if the employer employs only two employees, even though 50 percent would be benefiting if only one of the two benefited.</w:t>
      </w:r>
      <w:r w:rsidR="00446A14">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B67AAE" w:rsidRDefault="00B67AAE" w:rsidP="00E3560C">
      <w:pPr>
        <w:pStyle w:val="NoSpacing"/>
        <w:ind w:left="720"/>
        <w:rPr>
          <w:rFonts w:ascii="Times New Roman" w:hAnsi="Times New Roman" w:cs="Times New Roman"/>
          <w:sz w:val="24"/>
          <w:szCs w:val="24"/>
        </w:rPr>
      </w:pPr>
    </w:p>
    <w:p w:rsidR="00F54022" w:rsidRDefault="00F54022" w:rsidP="00445E56">
      <w:pPr>
        <w:pStyle w:val="NoSpacing"/>
        <w:ind w:left="720"/>
        <w:rPr>
          <w:rFonts w:ascii="Times New Roman" w:hAnsi="Times New Roman" w:cs="Times New Roman"/>
          <w:b/>
          <w:sz w:val="24"/>
          <w:szCs w:val="24"/>
        </w:rPr>
      </w:pPr>
    </w:p>
    <w:p w:rsidR="00445E56" w:rsidRPr="001D2EA5" w:rsidRDefault="00E3560C" w:rsidP="00446E92">
      <w:pPr>
        <w:pStyle w:val="NoSpacing"/>
        <w:ind w:left="720"/>
        <w:rPr>
          <w:rFonts w:ascii="Times New Roman" w:hAnsi="Times New Roman" w:cs="Times New Roman"/>
          <w:b/>
          <w:sz w:val="24"/>
          <w:szCs w:val="24"/>
        </w:rPr>
      </w:pPr>
      <w:r w:rsidRPr="00E3560C">
        <w:rPr>
          <w:rFonts w:ascii="Times New Roman" w:hAnsi="Times New Roman" w:cs="Times New Roman"/>
          <w:b/>
          <w:sz w:val="24"/>
          <w:szCs w:val="24"/>
        </w:rPr>
        <w:t>Example 5.</w:t>
      </w:r>
      <w:r w:rsidRPr="00E3560C">
        <w:rPr>
          <w:rFonts w:ascii="Times New Roman" w:hAnsi="Times New Roman" w:cs="Times New Roman"/>
          <w:sz w:val="24"/>
          <w:szCs w:val="24"/>
        </w:rPr>
        <w:t xml:space="preserve">  Consider Example </w:t>
      </w:r>
      <w:r>
        <w:rPr>
          <w:rFonts w:ascii="Times New Roman" w:hAnsi="Times New Roman" w:cs="Times New Roman"/>
          <w:sz w:val="24"/>
          <w:szCs w:val="24"/>
        </w:rPr>
        <w:t>4</w:t>
      </w:r>
      <w:r w:rsidRPr="00E3560C">
        <w:rPr>
          <w:rFonts w:ascii="Times New Roman" w:hAnsi="Times New Roman" w:cs="Times New Roman"/>
          <w:sz w:val="24"/>
          <w:szCs w:val="24"/>
        </w:rPr>
        <w:t xml:space="preserve">, </w:t>
      </w:r>
      <w:r w:rsidR="00446A14">
        <w:rPr>
          <w:rFonts w:ascii="Times New Roman" w:hAnsi="Times New Roman" w:cs="Times New Roman"/>
          <w:sz w:val="24"/>
          <w:szCs w:val="24"/>
        </w:rPr>
        <w:t>in which</w:t>
      </w:r>
      <w:r w:rsidR="00446A14" w:rsidRPr="00E3560C">
        <w:rPr>
          <w:rFonts w:ascii="Times New Roman" w:hAnsi="Times New Roman" w:cs="Times New Roman"/>
          <w:sz w:val="24"/>
          <w:szCs w:val="24"/>
        </w:rPr>
        <w:t xml:space="preserve"> </w:t>
      </w:r>
      <w:r w:rsidRPr="00E3560C">
        <w:rPr>
          <w:rFonts w:ascii="Times New Roman" w:hAnsi="Times New Roman" w:cs="Times New Roman"/>
          <w:sz w:val="24"/>
          <w:szCs w:val="24"/>
        </w:rPr>
        <w:t>a defined benefit plan for one owner and five employees is designed to maximize the benefit for that owner at a minimal cost for the employees:</w:t>
      </w:r>
      <w:r w:rsidR="00445E56" w:rsidRPr="00445E56">
        <w:t xml:space="preserve"> </w:t>
      </w:r>
    </w:p>
    <w:tbl>
      <w:tblPr>
        <w:tblW w:w="0" w:type="auto"/>
        <w:jc w:val="center"/>
        <w:tblLayout w:type="fixed"/>
        <w:tblCellMar>
          <w:left w:w="0" w:type="dxa"/>
          <w:right w:w="0" w:type="dxa"/>
        </w:tblCellMar>
        <w:tblLook w:val="0000" w:firstRow="0" w:lastRow="0" w:firstColumn="0" w:lastColumn="0" w:noHBand="0" w:noVBand="0"/>
      </w:tblPr>
      <w:tblGrid>
        <w:gridCol w:w="2472"/>
        <w:gridCol w:w="2630"/>
      </w:tblGrid>
      <w:tr w:rsidR="00445E56" w:rsidRPr="00445E56" w:rsidTr="00E826AF">
        <w:trPr>
          <w:trHeight w:val="336"/>
          <w:jc w:val="center"/>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BB5629" w:rsidRDefault="00445E56" w:rsidP="00445E56">
            <w:pPr>
              <w:pStyle w:val="NoSpacing"/>
              <w:ind w:left="720"/>
              <w:rPr>
                <w:rFonts w:ascii="Times New Roman" w:hAnsi="Times New Roman" w:cs="Times New Roman"/>
                <w:b/>
                <w:sz w:val="24"/>
                <w:szCs w:val="24"/>
              </w:rPr>
            </w:pPr>
            <w:r w:rsidRPr="00BB5629">
              <w:rPr>
                <w:rFonts w:ascii="Times New Roman" w:hAnsi="Times New Roman" w:cs="Times New Roman"/>
                <w:b/>
                <w:sz w:val="24"/>
                <w:szCs w:val="24"/>
              </w:rPr>
              <w:t>Owner A</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p>
        </w:tc>
      </w:tr>
      <w:tr w:rsidR="00445E56" w:rsidRPr="00445E56" w:rsidTr="00E826AF">
        <w:trPr>
          <w:trHeight w:val="316"/>
          <w:jc w:val="center"/>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Employee 3</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Clerk</w:t>
            </w:r>
          </w:p>
        </w:tc>
      </w:tr>
      <w:tr w:rsidR="00445E56" w:rsidRPr="00445E56" w:rsidTr="00E826AF">
        <w:trPr>
          <w:trHeight w:val="316"/>
          <w:jc w:val="center"/>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Employee 5</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Shipping</w:t>
            </w:r>
          </w:p>
        </w:tc>
      </w:tr>
      <w:tr w:rsidR="00445E56" w:rsidRPr="00445E56" w:rsidTr="00E826AF">
        <w:trPr>
          <w:trHeight w:val="316"/>
          <w:jc w:val="center"/>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Employee 7</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Shipping</w:t>
            </w:r>
          </w:p>
        </w:tc>
      </w:tr>
      <w:tr w:rsidR="00445E56" w:rsidRPr="00445E56" w:rsidTr="00E826AF">
        <w:trPr>
          <w:trHeight w:val="316"/>
          <w:jc w:val="center"/>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Employee 9</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Shipping</w:t>
            </w:r>
          </w:p>
        </w:tc>
      </w:tr>
      <w:tr w:rsidR="00445E56" w:rsidRPr="00445E56" w:rsidTr="00E826AF">
        <w:trPr>
          <w:trHeight w:val="282"/>
          <w:jc w:val="center"/>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Employee 10</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E56" w:rsidRPr="00445E56" w:rsidRDefault="00445E56" w:rsidP="00445E56">
            <w:pPr>
              <w:pStyle w:val="NoSpacing"/>
              <w:ind w:left="720"/>
              <w:rPr>
                <w:rFonts w:ascii="Times New Roman" w:hAnsi="Times New Roman" w:cs="Times New Roman"/>
                <w:sz w:val="24"/>
                <w:szCs w:val="24"/>
              </w:rPr>
            </w:pPr>
            <w:r w:rsidRPr="00445E56">
              <w:rPr>
                <w:rFonts w:ascii="Times New Roman" w:hAnsi="Times New Roman" w:cs="Times New Roman"/>
                <w:sz w:val="24"/>
                <w:szCs w:val="24"/>
              </w:rPr>
              <w:t>Clerk</w:t>
            </w:r>
          </w:p>
        </w:tc>
      </w:tr>
    </w:tbl>
    <w:p w:rsidR="00445E56" w:rsidRPr="00445E56" w:rsidRDefault="00445E56" w:rsidP="00445E56">
      <w:pPr>
        <w:pStyle w:val="NoSpacing"/>
        <w:ind w:left="720"/>
        <w:rPr>
          <w:rFonts w:ascii="Times New Roman" w:hAnsi="Times New Roman" w:cs="Times New Roman"/>
          <w:sz w:val="24"/>
          <w:szCs w:val="24"/>
        </w:rPr>
      </w:pPr>
    </w:p>
    <w:p w:rsidR="00445E56" w:rsidRPr="00445E56" w:rsidRDefault="00446A14" w:rsidP="00AE260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Because </w:t>
      </w:r>
      <w:r w:rsidR="00AA3D82">
        <w:rPr>
          <w:rFonts w:ascii="Times New Roman" w:hAnsi="Times New Roman" w:cs="Times New Roman"/>
          <w:sz w:val="24"/>
          <w:szCs w:val="24"/>
        </w:rPr>
        <w:t>t</w:t>
      </w:r>
      <w:r w:rsidR="00AA3D82" w:rsidRPr="00445E56">
        <w:rPr>
          <w:rFonts w:ascii="Times New Roman" w:hAnsi="Times New Roman" w:cs="Times New Roman"/>
          <w:sz w:val="24"/>
          <w:szCs w:val="24"/>
        </w:rPr>
        <w:t>he plan cover</w:t>
      </w:r>
      <w:r w:rsidR="00AA3D82">
        <w:rPr>
          <w:rFonts w:ascii="Times New Roman" w:hAnsi="Times New Roman" w:cs="Times New Roman"/>
          <w:sz w:val="24"/>
          <w:szCs w:val="24"/>
        </w:rPr>
        <w:t>s</w:t>
      </w:r>
      <w:r w:rsidR="00AA3D82" w:rsidRPr="00445E56">
        <w:rPr>
          <w:rFonts w:ascii="Times New Roman" w:hAnsi="Times New Roman" w:cs="Times New Roman"/>
          <w:sz w:val="24"/>
          <w:szCs w:val="24"/>
        </w:rPr>
        <w:t xml:space="preserve"> </w:t>
      </w:r>
      <w:r w:rsidR="00AA3D82">
        <w:rPr>
          <w:rFonts w:ascii="Times New Roman" w:hAnsi="Times New Roman" w:cs="Times New Roman"/>
          <w:sz w:val="24"/>
          <w:szCs w:val="24"/>
        </w:rPr>
        <w:t>six</w:t>
      </w:r>
      <w:r w:rsidR="00AA3D82" w:rsidRPr="00445E56">
        <w:rPr>
          <w:rFonts w:ascii="Times New Roman" w:hAnsi="Times New Roman" w:cs="Times New Roman"/>
          <w:sz w:val="24"/>
          <w:szCs w:val="24"/>
        </w:rPr>
        <w:t xml:space="preserve"> out of </w:t>
      </w:r>
      <w:r w:rsidR="00AA3D82">
        <w:rPr>
          <w:rFonts w:ascii="Times New Roman" w:hAnsi="Times New Roman" w:cs="Times New Roman"/>
          <w:sz w:val="24"/>
          <w:szCs w:val="24"/>
        </w:rPr>
        <w:t>thirteen employees,</w:t>
      </w:r>
      <w:r w:rsidR="00AA3D82" w:rsidRPr="00445E56">
        <w:rPr>
          <w:rFonts w:ascii="Times New Roman" w:hAnsi="Times New Roman" w:cs="Times New Roman"/>
          <w:sz w:val="24"/>
          <w:szCs w:val="24"/>
        </w:rPr>
        <w:t xml:space="preserve"> or </w:t>
      </w:r>
      <w:r w:rsidR="00AA3D82">
        <w:rPr>
          <w:rFonts w:ascii="Times New Roman" w:hAnsi="Times New Roman" w:cs="Times New Roman"/>
          <w:sz w:val="24"/>
          <w:szCs w:val="24"/>
        </w:rPr>
        <w:t>46</w:t>
      </w:r>
      <w:r w:rsidR="00AA3D82" w:rsidRPr="00445E56">
        <w:rPr>
          <w:rFonts w:ascii="Times New Roman" w:hAnsi="Times New Roman" w:cs="Times New Roman"/>
          <w:sz w:val="24"/>
          <w:szCs w:val="24"/>
        </w:rPr>
        <w:t>.</w:t>
      </w:r>
      <w:r w:rsidR="00AA3D82">
        <w:rPr>
          <w:rFonts w:ascii="Times New Roman" w:hAnsi="Times New Roman" w:cs="Times New Roman"/>
          <w:sz w:val="24"/>
          <w:szCs w:val="24"/>
        </w:rPr>
        <w:t>2</w:t>
      </w:r>
      <w:r w:rsidR="00AA3D82" w:rsidRPr="00445E56">
        <w:rPr>
          <w:rFonts w:ascii="Times New Roman" w:hAnsi="Times New Roman" w:cs="Times New Roman"/>
          <w:sz w:val="24"/>
          <w:szCs w:val="24"/>
        </w:rPr>
        <w:t xml:space="preserve"> percent</w:t>
      </w:r>
      <w:r w:rsidR="00AA3D82">
        <w:rPr>
          <w:rFonts w:ascii="Times New Roman" w:hAnsi="Times New Roman" w:cs="Times New Roman"/>
          <w:sz w:val="24"/>
          <w:szCs w:val="24"/>
        </w:rPr>
        <w:t xml:space="preserve">, it barely </w:t>
      </w:r>
      <w:r w:rsidR="00AA3D82" w:rsidRPr="00445E56">
        <w:rPr>
          <w:rFonts w:ascii="Times New Roman" w:hAnsi="Times New Roman" w:cs="Times New Roman"/>
          <w:sz w:val="24"/>
          <w:szCs w:val="24"/>
        </w:rPr>
        <w:t>satisfies the minimum participation test.</w:t>
      </w:r>
      <w:r w:rsidR="00AA3D82">
        <w:rPr>
          <w:rFonts w:ascii="Times New Roman" w:hAnsi="Times New Roman" w:cs="Times New Roman"/>
          <w:sz w:val="24"/>
          <w:szCs w:val="24"/>
        </w:rPr>
        <w:t xml:space="preserve">  However, </w:t>
      </w:r>
      <w:r>
        <w:rPr>
          <w:rFonts w:ascii="Times New Roman" w:hAnsi="Times New Roman" w:cs="Times New Roman"/>
          <w:sz w:val="24"/>
          <w:szCs w:val="24"/>
        </w:rPr>
        <w:t xml:space="preserve">because </w:t>
      </w:r>
      <w:r w:rsidR="00AA3D82">
        <w:rPr>
          <w:rFonts w:ascii="Times New Roman" w:hAnsi="Times New Roman" w:cs="Times New Roman"/>
          <w:sz w:val="24"/>
          <w:szCs w:val="24"/>
        </w:rPr>
        <w:t>t</w:t>
      </w:r>
      <w:r w:rsidR="00AA3D82" w:rsidRPr="00445E56">
        <w:rPr>
          <w:rFonts w:ascii="Times New Roman" w:hAnsi="Times New Roman" w:cs="Times New Roman"/>
          <w:sz w:val="24"/>
          <w:szCs w:val="24"/>
        </w:rPr>
        <w:t>he plan cover</w:t>
      </w:r>
      <w:r w:rsidR="00AA3D82">
        <w:rPr>
          <w:rFonts w:ascii="Times New Roman" w:hAnsi="Times New Roman" w:cs="Times New Roman"/>
          <w:sz w:val="24"/>
          <w:szCs w:val="24"/>
        </w:rPr>
        <w:t>s</w:t>
      </w:r>
      <w:r w:rsidR="00AA3D82" w:rsidRPr="00445E56">
        <w:rPr>
          <w:rFonts w:ascii="Times New Roman" w:hAnsi="Times New Roman" w:cs="Times New Roman"/>
          <w:sz w:val="24"/>
          <w:szCs w:val="24"/>
        </w:rPr>
        <w:t xml:space="preserve"> </w:t>
      </w:r>
      <w:r w:rsidR="00AA3D82">
        <w:rPr>
          <w:rFonts w:ascii="Times New Roman" w:hAnsi="Times New Roman" w:cs="Times New Roman"/>
          <w:sz w:val="24"/>
          <w:szCs w:val="24"/>
        </w:rPr>
        <w:t xml:space="preserve">62.5 percent </w:t>
      </w:r>
      <w:r w:rsidR="00AF68EE">
        <w:rPr>
          <w:rFonts w:ascii="Times New Roman" w:hAnsi="Times New Roman" w:cs="Times New Roman"/>
          <w:sz w:val="24"/>
          <w:szCs w:val="24"/>
        </w:rPr>
        <w:t xml:space="preserve">of the </w:t>
      </w:r>
      <w:r w:rsidR="00AA3D82" w:rsidRPr="00445E56">
        <w:rPr>
          <w:rFonts w:ascii="Times New Roman" w:hAnsi="Times New Roman" w:cs="Times New Roman"/>
          <w:sz w:val="24"/>
          <w:szCs w:val="24"/>
        </w:rPr>
        <w:t>NHCEs</w:t>
      </w:r>
      <w:r w:rsidR="00AA3D82">
        <w:rPr>
          <w:rFonts w:ascii="Times New Roman" w:hAnsi="Times New Roman" w:cs="Times New Roman"/>
          <w:sz w:val="24"/>
          <w:szCs w:val="24"/>
        </w:rPr>
        <w:t xml:space="preserve"> (</w:t>
      </w:r>
      <w:r w:rsidR="00AA3D82" w:rsidRPr="00445E56">
        <w:rPr>
          <w:rFonts w:ascii="Times New Roman" w:hAnsi="Times New Roman" w:cs="Times New Roman"/>
          <w:sz w:val="24"/>
          <w:szCs w:val="24"/>
        </w:rPr>
        <w:t>five out of eight</w:t>
      </w:r>
      <w:r w:rsidR="00AA3D82">
        <w:rPr>
          <w:rFonts w:ascii="Times New Roman" w:hAnsi="Times New Roman" w:cs="Times New Roman"/>
          <w:sz w:val="24"/>
          <w:szCs w:val="24"/>
        </w:rPr>
        <w:t>)</w:t>
      </w:r>
      <w:r w:rsidR="00AA3D82" w:rsidRPr="00445E56">
        <w:rPr>
          <w:rFonts w:ascii="Times New Roman" w:hAnsi="Times New Roman" w:cs="Times New Roman"/>
          <w:sz w:val="24"/>
          <w:szCs w:val="24"/>
        </w:rPr>
        <w:t xml:space="preserve"> </w:t>
      </w:r>
      <w:r w:rsidR="00AA3D82">
        <w:rPr>
          <w:rFonts w:ascii="Times New Roman" w:hAnsi="Times New Roman" w:cs="Times New Roman"/>
          <w:sz w:val="24"/>
          <w:szCs w:val="24"/>
        </w:rPr>
        <w:t>and 20 percent of the HCEs (one out of five), the plan satisfies the ratio percentage test by a large margin (ratio percentage test = 312.5% versus 70% needed).</w:t>
      </w:r>
    </w:p>
    <w:p w:rsidR="007502D4" w:rsidRDefault="007502D4" w:rsidP="007502D4">
      <w:pPr>
        <w:pStyle w:val="NoSpacing"/>
        <w:ind w:left="720"/>
        <w:rPr>
          <w:rFonts w:ascii="Times New Roman" w:hAnsi="Times New Roman" w:cs="Times New Roman"/>
          <w:sz w:val="24"/>
          <w:szCs w:val="24"/>
        </w:rPr>
      </w:pPr>
    </w:p>
    <w:p w:rsidR="00B67AAE" w:rsidRDefault="00B67AAE" w:rsidP="00B67AAE">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Q. 4.09:  How </w:t>
      </w:r>
      <w:r w:rsidR="00AF68EE">
        <w:rPr>
          <w:rFonts w:ascii="Times New Roman" w:hAnsi="Times New Roman" w:cs="Times New Roman"/>
          <w:b/>
          <w:sz w:val="24"/>
          <w:szCs w:val="24"/>
        </w:rPr>
        <w:t>can an employer determine</w:t>
      </w:r>
      <w:r>
        <w:rPr>
          <w:rFonts w:ascii="Times New Roman" w:hAnsi="Times New Roman" w:cs="Times New Roman"/>
          <w:b/>
          <w:sz w:val="24"/>
          <w:szCs w:val="24"/>
        </w:rPr>
        <w:t xml:space="preserve"> whether employees are “benefiting” from a plan</w:t>
      </w:r>
      <w:r w:rsidRPr="00E1416D">
        <w:rPr>
          <w:rFonts w:ascii="Times New Roman" w:hAnsi="Times New Roman" w:cs="Times New Roman"/>
          <w:b/>
          <w:sz w:val="24"/>
          <w:szCs w:val="24"/>
        </w:rPr>
        <w:t>?</w:t>
      </w:r>
    </w:p>
    <w:p w:rsidR="00B67AAE" w:rsidRDefault="00B67AAE" w:rsidP="00B67AAE">
      <w:pPr>
        <w:pStyle w:val="NoSpacing"/>
        <w:ind w:left="720"/>
        <w:rPr>
          <w:rFonts w:ascii="Times New Roman" w:hAnsi="Times New Roman" w:cs="Times New Roman"/>
          <w:b/>
          <w:sz w:val="24"/>
          <w:szCs w:val="24"/>
        </w:rPr>
      </w:pPr>
    </w:p>
    <w:p w:rsidR="00B67AAE" w:rsidRDefault="00B67AAE" w:rsidP="00B67AA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the case of </w:t>
      </w:r>
      <w:r w:rsidRPr="00E1416D">
        <w:rPr>
          <w:rFonts w:ascii="Times New Roman" w:hAnsi="Times New Roman" w:cs="Times New Roman"/>
          <w:sz w:val="24"/>
          <w:szCs w:val="24"/>
        </w:rPr>
        <w:t>a defined benefit plan</w:t>
      </w:r>
      <w:r>
        <w:rPr>
          <w:rFonts w:ascii="Times New Roman" w:hAnsi="Times New Roman" w:cs="Times New Roman"/>
          <w:sz w:val="24"/>
          <w:szCs w:val="24"/>
        </w:rPr>
        <w:t>, a</w:t>
      </w:r>
      <w:r w:rsidRPr="00E1416D">
        <w:rPr>
          <w:rFonts w:ascii="Times New Roman" w:hAnsi="Times New Roman" w:cs="Times New Roman"/>
          <w:sz w:val="24"/>
          <w:szCs w:val="24"/>
        </w:rPr>
        <w:t xml:space="preserve">n employee is treated as </w:t>
      </w:r>
      <w:r>
        <w:rPr>
          <w:rFonts w:ascii="Times New Roman" w:hAnsi="Times New Roman" w:cs="Times New Roman"/>
          <w:sz w:val="24"/>
          <w:szCs w:val="24"/>
        </w:rPr>
        <w:t>“</w:t>
      </w:r>
      <w:r w:rsidRPr="00E1416D">
        <w:rPr>
          <w:rFonts w:ascii="Times New Roman" w:hAnsi="Times New Roman" w:cs="Times New Roman"/>
          <w:sz w:val="24"/>
          <w:szCs w:val="24"/>
        </w:rPr>
        <w:t>benefiting</w:t>
      </w:r>
      <w:r>
        <w:rPr>
          <w:rFonts w:ascii="Times New Roman" w:hAnsi="Times New Roman" w:cs="Times New Roman"/>
          <w:sz w:val="24"/>
          <w:szCs w:val="24"/>
        </w:rPr>
        <w:t>”</w:t>
      </w:r>
      <w:r w:rsidRPr="00E1416D">
        <w:rPr>
          <w:rFonts w:ascii="Times New Roman" w:hAnsi="Times New Roman" w:cs="Times New Roman"/>
          <w:sz w:val="24"/>
          <w:szCs w:val="24"/>
        </w:rPr>
        <w:t xml:space="preserve"> under a plan for a plan year if, for that plan year</w:t>
      </w:r>
      <w:r>
        <w:rPr>
          <w:rFonts w:ascii="Times New Roman" w:hAnsi="Times New Roman" w:cs="Times New Roman"/>
          <w:sz w:val="24"/>
          <w:szCs w:val="24"/>
        </w:rPr>
        <w:t>,</w:t>
      </w:r>
      <w:r w:rsidRPr="00E1416D">
        <w:rPr>
          <w:rFonts w:ascii="Times New Roman" w:hAnsi="Times New Roman" w:cs="Times New Roman"/>
          <w:sz w:val="24"/>
          <w:szCs w:val="24"/>
        </w:rPr>
        <w:t xml:space="preserve"> the employee has an increase in benefits accrued.</w:t>
      </w:r>
    </w:p>
    <w:p w:rsidR="00B67AAE" w:rsidRDefault="00B67AAE" w:rsidP="00B67AAE">
      <w:pPr>
        <w:pStyle w:val="NoSpacing"/>
        <w:ind w:left="720"/>
        <w:rPr>
          <w:rFonts w:ascii="Times New Roman" w:hAnsi="Times New Roman" w:cs="Times New Roman"/>
          <w:sz w:val="24"/>
          <w:szCs w:val="24"/>
        </w:rPr>
      </w:pPr>
    </w:p>
    <w:p w:rsidR="00B67AAE" w:rsidRPr="00E3560C" w:rsidRDefault="00B67AAE" w:rsidP="00B67AAE">
      <w:pPr>
        <w:pStyle w:val="NoSpacing"/>
        <w:ind w:left="720"/>
        <w:rPr>
          <w:rFonts w:ascii="Times New Roman" w:hAnsi="Times New Roman" w:cs="Times New Roman"/>
          <w:sz w:val="24"/>
          <w:szCs w:val="24"/>
        </w:rPr>
      </w:pPr>
      <w:r>
        <w:rPr>
          <w:rFonts w:ascii="Times New Roman" w:hAnsi="Times New Roman" w:cs="Times New Roman"/>
          <w:sz w:val="24"/>
          <w:szCs w:val="24"/>
        </w:rPr>
        <w:t>In order t</w:t>
      </w:r>
      <w:r w:rsidRPr="00E3560C">
        <w:rPr>
          <w:rFonts w:ascii="Times New Roman" w:hAnsi="Times New Roman" w:cs="Times New Roman"/>
          <w:sz w:val="24"/>
          <w:szCs w:val="24"/>
        </w:rPr>
        <w:t>o determine the number of employees benefiting, the following excludable employees are not counted:</w:t>
      </w:r>
    </w:p>
    <w:p w:rsidR="00B67AAE" w:rsidRPr="00E3560C" w:rsidRDefault="00B67AAE" w:rsidP="00B67AAE">
      <w:pPr>
        <w:pStyle w:val="NoSpacing"/>
        <w:numPr>
          <w:ilvl w:val="0"/>
          <w:numId w:val="31"/>
        </w:numPr>
        <w:rPr>
          <w:rFonts w:ascii="Times New Roman" w:hAnsi="Times New Roman" w:cs="Times New Roman"/>
          <w:sz w:val="24"/>
          <w:szCs w:val="24"/>
        </w:rPr>
      </w:pPr>
      <w:r w:rsidRPr="00E3560C">
        <w:rPr>
          <w:rFonts w:ascii="Times New Roman" w:hAnsi="Times New Roman" w:cs="Times New Roman"/>
          <w:sz w:val="24"/>
          <w:szCs w:val="24"/>
        </w:rPr>
        <w:t>Employees who do not meet the plan’s minimum age and service requirement;</w:t>
      </w:r>
    </w:p>
    <w:p w:rsidR="00B67AAE" w:rsidRPr="00E3560C" w:rsidRDefault="00B67AAE" w:rsidP="00B67AAE">
      <w:pPr>
        <w:pStyle w:val="NoSpacing"/>
        <w:numPr>
          <w:ilvl w:val="0"/>
          <w:numId w:val="31"/>
        </w:numPr>
        <w:rPr>
          <w:rFonts w:ascii="Times New Roman" w:hAnsi="Times New Roman" w:cs="Times New Roman"/>
          <w:sz w:val="24"/>
          <w:szCs w:val="24"/>
        </w:rPr>
      </w:pPr>
      <w:r w:rsidRPr="00E3560C">
        <w:rPr>
          <w:rFonts w:ascii="Times New Roman" w:hAnsi="Times New Roman" w:cs="Times New Roman"/>
          <w:sz w:val="24"/>
          <w:szCs w:val="24"/>
        </w:rPr>
        <w:t>Employees who are nonresident aliens and do not receive earned income from US sources;</w:t>
      </w:r>
    </w:p>
    <w:p w:rsidR="00B67AAE" w:rsidRPr="00E3560C" w:rsidRDefault="008371BB" w:rsidP="00B67AA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Employees </w:t>
      </w:r>
      <w:r w:rsidR="00B67AAE" w:rsidRPr="00E3560C">
        <w:rPr>
          <w:rFonts w:ascii="Times New Roman" w:hAnsi="Times New Roman" w:cs="Times New Roman"/>
          <w:sz w:val="24"/>
          <w:szCs w:val="24"/>
        </w:rPr>
        <w:t>who are members of a union in which retirement benefits have been the subject of good faith bargaining;</w:t>
      </w:r>
      <w:r>
        <w:rPr>
          <w:rStyle w:val="FootnoteReference"/>
          <w:rFonts w:ascii="Times New Roman" w:hAnsi="Times New Roman" w:cs="Times New Roman"/>
          <w:sz w:val="24"/>
          <w:szCs w:val="24"/>
        </w:rPr>
        <w:footnoteReference w:id="12"/>
      </w:r>
      <w:r w:rsidR="00F930A3">
        <w:rPr>
          <w:rFonts w:ascii="Times New Roman" w:hAnsi="Times New Roman" w:cs="Times New Roman"/>
          <w:sz w:val="24"/>
          <w:szCs w:val="24"/>
        </w:rPr>
        <w:t xml:space="preserve"> </w:t>
      </w:r>
      <w:r>
        <w:rPr>
          <w:rFonts w:ascii="Times New Roman" w:hAnsi="Times New Roman" w:cs="Times New Roman"/>
          <w:sz w:val="20"/>
          <w:szCs w:val="20"/>
        </w:rPr>
        <w:t xml:space="preserve"> </w:t>
      </w:r>
      <w:r w:rsidRPr="008371BB">
        <w:rPr>
          <w:rFonts w:ascii="Times New Roman" w:hAnsi="Times New Roman" w:cs="Times New Roman"/>
          <w:sz w:val="24"/>
          <w:szCs w:val="24"/>
        </w:rPr>
        <w:t>and</w:t>
      </w:r>
    </w:p>
    <w:p w:rsidR="00B67AAE" w:rsidRPr="00E3560C" w:rsidRDefault="00B67AAE" w:rsidP="00B67AAE">
      <w:pPr>
        <w:pStyle w:val="NoSpacing"/>
        <w:numPr>
          <w:ilvl w:val="0"/>
          <w:numId w:val="31"/>
        </w:numPr>
        <w:rPr>
          <w:rFonts w:ascii="Times New Roman" w:hAnsi="Times New Roman" w:cs="Times New Roman"/>
          <w:sz w:val="24"/>
          <w:szCs w:val="24"/>
        </w:rPr>
      </w:pPr>
      <w:r w:rsidRPr="00E3560C">
        <w:rPr>
          <w:rFonts w:ascii="Times New Roman" w:hAnsi="Times New Roman" w:cs="Times New Roman"/>
          <w:sz w:val="24"/>
          <w:szCs w:val="24"/>
        </w:rPr>
        <w:t>An employee who terminates employment during the plan year, if all the following conditions are satisfied:</w:t>
      </w:r>
    </w:p>
    <w:p w:rsidR="00B67AAE" w:rsidRPr="00E3560C" w:rsidRDefault="00B67AAE" w:rsidP="00B67AAE">
      <w:pPr>
        <w:pStyle w:val="NoSpacing"/>
        <w:numPr>
          <w:ilvl w:val="0"/>
          <w:numId w:val="32"/>
        </w:numPr>
        <w:rPr>
          <w:rFonts w:ascii="Times New Roman" w:hAnsi="Times New Roman" w:cs="Times New Roman"/>
          <w:sz w:val="24"/>
          <w:szCs w:val="24"/>
        </w:rPr>
      </w:pPr>
      <w:r w:rsidRPr="00E3560C">
        <w:rPr>
          <w:rFonts w:ascii="Times New Roman" w:hAnsi="Times New Roman" w:cs="Times New Roman"/>
          <w:sz w:val="24"/>
          <w:szCs w:val="24"/>
        </w:rPr>
        <w:t>The employee does not benefit under the plan for the plan year;</w:t>
      </w:r>
    </w:p>
    <w:p w:rsidR="00B67AAE" w:rsidRPr="00E3560C" w:rsidRDefault="00B67AAE" w:rsidP="00B67AAE">
      <w:pPr>
        <w:pStyle w:val="NoSpacing"/>
        <w:numPr>
          <w:ilvl w:val="0"/>
          <w:numId w:val="32"/>
        </w:numPr>
        <w:rPr>
          <w:rFonts w:ascii="Times New Roman" w:hAnsi="Times New Roman" w:cs="Times New Roman"/>
          <w:sz w:val="24"/>
          <w:szCs w:val="24"/>
        </w:rPr>
      </w:pPr>
      <w:r w:rsidRPr="00E3560C">
        <w:rPr>
          <w:rFonts w:ascii="Times New Roman" w:hAnsi="Times New Roman" w:cs="Times New Roman"/>
          <w:sz w:val="24"/>
          <w:szCs w:val="24"/>
        </w:rPr>
        <w:t>The employee is eligible to participate in the plan;</w:t>
      </w:r>
    </w:p>
    <w:p w:rsidR="00B67AAE" w:rsidRPr="00E3560C" w:rsidRDefault="00B67AAE" w:rsidP="00B67AAE">
      <w:pPr>
        <w:pStyle w:val="NoSpacing"/>
        <w:numPr>
          <w:ilvl w:val="0"/>
          <w:numId w:val="32"/>
        </w:numPr>
        <w:rPr>
          <w:rFonts w:ascii="Times New Roman" w:hAnsi="Times New Roman" w:cs="Times New Roman"/>
          <w:sz w:val="24"/>
          <w:szCs w:val="24"/>
        </w:rPr>
      </w:pPr>
      <w:r w:rsidRPr="00E3560C">
        <w:rPr>
          <w:rFonts w:ascii="Times New Roman" w:hAnsi="Times New Roman" w:cs="Times New Roman"/>
          <w:sz w:val="24"/>
          <w:szCs w:val="24"/>
        </w:rPr>
        <w:t>The plan has a minimum</w:t>
      </w:r>
      <w:r w:rsidR="00446E92">
        <w:rPr>
          <w:rFonts w:ascii="Times New Roman" w:hAnsi="Times New Roman" w:cs="Times New Roman"/>
          <w:sz w:val="24"/>
          <w:szCs w:val="24"/>
        </w:rPr>
        <w:t xml:space="preserve"> </w:t>
      </w:r>
      <w:r w:rsidRPr="00E3560C">
        <w:rPr>
          <w:rFonts w:ascii="Times New Roman" w:hAnsi="Times New Roman" w:cs="Times New Roman"/>
          <w:sz w:val="24"/>
          <w:szCs w:val="24"/>
        </w:rPr>
        <w:t>period-of-service requirement (for example, 1,000 hours of service) or a requirement that the employee be employed on the last day of the plan year (“last-day requirement”) for an employee to accrue a benefit or receive an allocation for the plan year;</w:t>
      </w:r>
    </w:p>
    <w:p w:rsidR="00B67AAE" w:rsidRPr="00E3560C" w:rsidRDefault="00B67AAE" w:rsidP="00B67AAE">
      <w:pPr>
        <w:pStyle w:val="NoSpacing"/>
        <w:numPr>
          <w:ilvl w:val="0"/>
          <w:numId w:val="32"/>
        </w:numPr>
        <w:rPr>
          <w:rFonts w:ascii="Times New Roman" w:hAnsi="Times New Roman" w:cs="Times New Roman"/>
          <w:sz w:val="24"/>
          <w:szCs w:val="24"/>
        </w:rPr>
      </w:pPr>
      <w:r w:rsidRPr="00E3560C">
        <w:rPr>
          <w:rFonts w:ascii="Times New Roman" w:hAnsi="Times New Roman" w:cs="Times New Roman"/>
          <w:sz w:val="24"/>
          <w:szCs w:val="24"/>
        </w:rPr>
        <w:t>The employee fails to accrue a benefit solely because of the failure to satisfy the minimum</w:t>
      </w:r>
      <w:r w:rsidR="00446E92">
        <w:rPr>
          <w:rFonts w:ascii="Times New Roman" w:hAnsi="Times New Roman" w:cs="Times New Roman"/>
          <w:sz w:val="24"/>
          <w:szCs w:val="24"/>
        </w:rPr>
        <w:t xml:space="preserve"> </w:t>
      </w:r>
      <w:r w:rsidRPr="00E3560C">
        <w:rPr>
          <w:rFonts w:ascii="Times New Roman" w:hAnsi="Times New Roman" w:cs="Times New Roman"/>
          <w:sz w:val="24"/>
          <w:szCs w:val="24"/>
        </w:rPr>
        <w:t>period-of-service requirement or last-day requirement;</w:t>
      </w:r>
    </w:p>
    <w:p w:rsidR="00B67AAE" w:rsidRPr="00E3560C" w:rsidRDefault="00B67AAE" w:rsidP="00B67AAE">
      <w:pPr>
        <w:pStyle w:val="NoSpacing"/>
        <w:numPr>
          <w:ilvl w:val="0"/>
          <w:numId w:val="32"/>
        </w:numPr>
        <w:rPr>
          <w:rFonts w:ascii="Times New Roman" w:hAnsi="Times New Roman" w:cs="Times New Roman"/>
          <w:sz w:val="24"/>
          <w:szCs w:val="24"/>
        </w:rPr>
      </w:pPr>
      <w:r w:rsidRPr="00E3560C">
        <w:rPr>
          <w:rFonts w:ascii="Times New Roman" w:hAnsi="Times New Roman" w:cs="Times New Roman"/>
          <w:sz w:val="24"/>
          <w:szCs w:val="24"/>
        </w:rPr>
        <w:lastRenderedPageBreak/>
        <w:t>The employee terminates employment during the plan year with not more than 500 hours of service and is not an employee on the last day of the plan year; and</w:t>
      </w:r>
    </w:p>
    <w:p w:rsidR="00B67AAE" w:rsidRPr="00E3560C" w:rsidRDefault="00B67AAE" w:rsidP="00B67AAE">
      <w:pPr>
        <w:pStyle w:val="NoSpacing"/>
        <w:numPr>
          <w:ilvl w:val="0"/>
          <w:numId w:val="32"/>
        </w:numPr>
        <w:rPr>
          <w:rFonts w:ascii="Times New Roman" w:hAnsi="Times New Roman" w:cs="Times New Roman"/>
          <w:sz w:val="24"/>
          <w:szCs w:val="24"/>
        </w:rPr>
      </w:pPr>
      <w:r w:rsidRPr="00E3560C">
        <w:rPr>
          <w:rFonts w:ascii="Times New Roman" w:hAnsi="Times New Roman" w:cs="Times New Roman"/>
          <w:sz w:val="24"/>
          <w:szCs w:val="24"/>
        </w:rPr>
        <w:t>If the exclusion of terminating employees under the minimum participation test is used with respect to any employees, it must be applied to all employees for the plan year</w:t>
      </w:r>
      <w:r w:rsidR="008371BB">
        <w:rPr>
          <w:rFonts w:ascii="Times New Roman" w:hAnsi="Times New Roman" w:cs="Times New Roman"/>
          <w:sz w:val="24"/>
          <w:szCs w:val="24"/>
        </w:rPr>
        <w:t>.</w:t>
      </w:r>
    </w:p>
    <w:p w:rsidR="008371BB" w:rsidRDefault="008371BB" w:rsidP="0033241C">
      <w:pPr>
        <w:pStyle w:val="NoSpacing"/>
        <w:ind w:left="1440"/>
        <w:rPr>
          <w:rFonts w:ascii="Times New Roman" w:hAnsi="Times New Roman" w:cs="Times New Roman"/>
          <w:sz w:val="24"/>
          <w:szCs w:val="24"/>
        </w:rPr>
      </w:pPr>
    </w:p>
    <w:p w:rsidR="00B67AAE" w:rsidRPr="00E3560C" w:rsidRDefault="00B67AAE" w:rsidP="0033241C">
      <w:pPr>
        <w:pStyle w:val="NoSpacing"/>
        <w:ind w:left="1080"/>
        <w:rPr>
          <w:rFonts w:ascii="Times New Roman" w:hAnsi="Times New Roman" w:cs="Times New Roman"/>
          <w:sz w:val="24"/>
          <w:szCs w:val="24"/>
        </w:rPr>
      </w:pPr>
      <w:r w:rsidRPr="00E3560C">
        <w:rPr>
          <w:rFonts w:ascii="Times New Roman" w:hAnsi="Times New Roman" w:cs="Times New Roman"/>
          <w:sz w:val="24"/>
          <w:szCs w:val="24"/>
        </w:rPr>
        <w:t>If an employer is treated as operating qualified separate lines of business for purposes of the minimum participation requirements (see preceding discussion), employees of other qualified separate lines of business are treated as excludable employees in testing a plan that benefits employees of one qualified separate line of business.</w:t>
      </w:r>
    </w:p>
    <w:p w:rsidR="00B67AAE" w:rsidRDefault="00B67AAE" w:rsidP="00B67AAE">
      <w:pPr>
        <w:pStyle w:val="NoSpacing"/>
        <w:ind w:left="720"/>
        <w:rPr>
          <w:rFonts w:ascii="Times New Roman" w:hAnsi="Times New Roman" w:cs="Times New Roman"/>
          <w:sz w:val="24"/>
          <w:szCs w:val="24"/>
        </w:rPr>
      </w:pPr>
    </w:p>
    <w:p w:rsidR="00B67AAE" w:rsidRPr="00B67AAE" w:rsidRDefault="00B67AAE" w:rsidP="00B67AAE">
      <w:pPr>
        <w:pStyle w:val="NoSpacing"/>
        <w:ind w:left="720"/>
        <w:rPr>
          <w:rFonts w:ascii="Times New Roman" w:hAnsi="Times New Roman" w:cs="Times New Roman"/>
          <w:sz w:val="24"/>
          <w:szCs w:val="24"/>
        </w:rPr>
      </w:pPr>
      <w:r w:rsidRPr="00B67AAE">
        <w:rPr>
          <w:rFonts w:ascii="Times New Roman" w:hAnsi="Times New Roman" w:cs="Times New Roman"/>
          <w:sz w:val="24"/>
          <w:szCs w:val="24"/>
        </w:rPr>
        <w:t>For both the minimum coverage and minimum participation rules, an employee may be included in the testing if that employee benefits under the plan(s) being tested or is an active participant who is</w:t>
      </w:r>
      <w:r>
        <w:rPr>
          <w:rFonts w:ascii="Times New Roman" w:hAnsi="Times New Roman" w:cs="Times New Roman"/>
          <w:sz w:val="24"/>
          <w:szCs w:val="24"/>
        </w:rPr>
        <w:t xml:space="preserve"> not</w:t>
      </w:r>
      <w:r w:rsidRPr="00B67AAE">
        <w:rPr>
          <w:rFonts w:ascii="Times New Roman" w:hAnsi="Times New Roman" w:cs="Times New Roman"/>
          <w:sz w:val="24"/>
          <w:szCs w:val="24"/>
        </w:rPr>
        <w:t xml:space="preserve"> benefiting, e.g.</w:t>
      </w:r>
      <w:r w:rsidR="008371BB">
        <w:rPr>
          <w:rFonts w:ascii="Times New Roman" w:hAnsi="Times New Roman" w:cs="Times New Roman"/>
          <w:sz w:val="24"/>
          <w:szCs w:val="24"/>
        </w:rPr>
        <w:t>,</w:t>
      </w:r>
      <w:r w:rsidRPr="00B67AAE">
        <w:rPr>
          <w:rFonts w:ascii="Times New Roman" w:hAnsi="Times New Roman" w:cs="Times New Roman"/>
          <w:sz w:val="24"/>
          <w:szCs w:val="24"/>
        </w:rPr>
        <w:t xml:space="preserve"> one who does</w:t>
      </w:r>
      <w:r>
        <w:rPr>
          <w:rFonts w:ascii="Times New Roman" w:hAnsi="Times New Roman" w:cs="Times New Roman"/>
          <w:sz w:val="24"/>
          <w:szCs w:val="24"/>
        </w:rPr>
        <w:t xml:space="preserve"> not</w:t>
      </w:r>
      <w:r w:rsidRPr="00B67AAE">
        <w:rPr>
          <w:rFonts w:ascii="Times New Roman" w:hAnsi="Times New Roman" w:cs="Times New Roman"/>
          <w:sz w:val="24"/>
          <w:szCs w:val="24"/>
        </w:rPr>
        <w:t xml:space="preserve"> satisfy employment on the last day of the plan year to share in the contribution if required by the plan. An employee benefits if:</w:t>
      </w:r>
      <w:r w:rsidR="008371BB">
        <w:rPr>
          <w:rStyle w:val="FootnoteReference"/>
          <w:rFonts w:ascii="Times New Roman" w:hAnsi="Times New Roman" w:cs="Times New Roman"/>
          <w:sz w:val="24"/>
          <w:szCs w:val="24"/>
        </w:rPr>
        <w:footnoteReference w:id="13"/>
      </w:r>
    </w:p>
    <w:p w:rsidR="00B67AAE" w:rsidRPr="00B67AAE" w:rsidRDefault="00B67AAE" w:rsidP="00B67AAE">
      <w:pPr>
        <w:pStyle w:val="NoSpacing"/>
        <w:numPr>
          <w:ilvl w:val="0"/>
          <w:numId w:val="35"/>
        </w:numPr>
        <w:rPr>
          <w:rFonts w:ascii="Times New Roman" w:hAnsi="Times New Roman" w:cs="Times New Roman"/>
          <w:sz w:val="24"/>
          <w:szCs w:val="24"/>
        </w:rPr>
      </w:pPr>
      <w:r w:rsidRPr="00B67AAE">
        <w:rPr>
          <w:rFonts w:ascii="Times New Roman" w:hAnsi="Times New Roman" w:cs="Times New Roman"/>
          <w:sz w:val="24"/>
          <w:szCs w:val="24"/>
        </w:rPr>
        <w:t>In a defined contribution plan, an employer contribution or forfeiture is allocated to the employee’s account</w:t>
      </w:r>
      <w:r w:rsidR="003D304D">
        <w:rPr>
          <w:rFonts w:ascii="Times New Roman" w:hAnsi="Times New Roman" w:cs="Times New Roman"/>
          <w:sz w:val="24"/>
          <w:szCs w:val="24"/>
        </w:rPr>
        <w:t>;</w:t>
      </w:r>
    </w:p>
    <w:p w:rsidR="00B67AAE" w:rsidRPr="00B67AAE" w:rsidRDefault="00B67AAE" w:rsidP="00B67AAE">
      <w:pPr>
        <w:pStyle w:val="NoSpacing"/>
        <w:numPr>
          <w:ilvl w:val="0"/>
          <w:numId w:val="35"/>
        </w:numPr>
        <w:rPr>
          <w:rFonts w:ascii="Times New Roman" w:hAnsi="Times New Roman" w:cs="Times New Roman"/>
          <w:sz w:val="24"/>
          <w:szCs w:val="24"/>
        </w:rPr>
      </w:pPr>
      <w:r w:rsidRPr="00B67AAE">
        <w:rPr>
          <w:rFonts w:ascii="Times New Roman" w:hAnsi="Times New Roman" w:cs="Times New Roman"/>
          <w:sz w:val="24"/>
          <w:szCs w:val="24"/>
        </w:rPr>
        <w:t>In the case of a defined benefit plan, the employee has an increase in his or her accrued benefit</w:t>
      </w:r>
      <w:r w:rsidR="003D304D">
        <w:rPr>
          <w:rFonts w:ascii="Times New Roman" w:hAnsi="Times New Roman" w:cs="Times New Roman"/>
          <w:sz w:val="24"/>
          <w:szCs w:val="24"/>
        </w:rPr>
        <w:t>;</w:t>
      </w:r>
    </w:p>
    <w:p w:rsidR="00B67AAE" w:rsidRPr="00B67AAE" w:rsidRDefault="00B67AAE" w:rsidP="00B67AAE">
      <w:pPr>
        <w:pStyle w:val="NoSpacing"/>
        <w:numPr>
          <w:ilvl w:val="0"/>
          <w:numId w:val="35"/>
        </w:numPr>
        <w:rPr>
          <w:rFonts w:ascii="Times New Roman" w:hAnsi="Times New Roman" w:cs="Times New Roman"/>
          <w:sz w:val="24"/>
          <w:szCs w:val="24"/>
        </w:rPr>
      </w:pPr>
      <w:r w:rsidRPr="00B67AAE">
        <w:rPr>
          <w:rFonts w:ascii="Times New Roman" w:hAnsi="Times New Roman" w:cs="Times New Roman"/>
          <w:sz w:val="24"/>
          <w:szCs w:val="24"/>
        </w:rPr>
        <w:t>In the case of a 401(k) plan, the employee is eligible to make salary deferrals.</w:t>
      </w:r>
    </w:p>
    <w:p w:rsidR="00824E48" w:rsidRDefault="00824E48" w:rsidP="00B67AAE">
      <w:pPr>
        <w:pStyle w:val="NoSpacing"/>
        <w:ind w:left="720"/>
        <w:rPr>
          <w:rFonts w:ascii="Times New Roman" w:hAnsi="Times New Roman" w:cs="Times New Roman"/>
          <w:sz w:val="20"/>
          <w:szCs w:val="20"/>
        </w:rPr>
      </w:pPr>
    </w:p>
    <w:p w:rsidR="00824E48" w:rsidRDefault="00824E48" w:rsidP="00B67AAE">
      <w:pPr>
        <w:pStyle w:val="NoSpacing"/>
        <w:ind w:left="720"/>
        <w:rPr>
          <w:rFonts w:ascii="Times New Roman" w:hAnsi="Times New Roman" w:cs="Times New Roman"/>
          <w:sz w:val="24"/>
          <w:szCs w:val="24"/>
        </w:rPr>
      </w:pPr>
    </w:p>
    <w:p w:rsidR="00B67AAE" w:rsidRPr="00B67AAE" w:rsidRDefault="00B67AAE" w:rsidP="00B67AAE">
      <w:pPr>
        <w:pStyle w:val="NoSpacing"/>
        <w:ind w:left="720"/>
        <w:rPr>
          <w:rFonts w:ascii="Times New Roman" w:hAnsi="Times New Roman" w:cs="Times New Roman"/>
          <w:sz w:val="24"/>
          <w:szCs w:val="24"/>
        </w:rPr>
      </w:pPr>
      <w:r w:rsidRPr="00B67AAE">
        <w:rPr>
          <w:rFonts w:ascii="Times New Roman" w:hAnsi="Times New Roman" w:cs="Times New Roman"/>
          <w:sz w:val="24"/>
          <w:szCs w:val="24"/>
        </w:rPr>
        <w:t>An employee is deemed to benefit under the plan if:</w:t>
      </w:r>
    </w:p>
    <w:p w:rsidR="00B67AAE" w:rsidRPr="00B67AAE" w:rsidRDefault="00B67AAE" w:rsidP="00F930A3">
      <w:pPr>
        <w:pStyle w:val="NoSpacing"/>
        <w:numPr>
          <w:ilvl w:val="0"/>
          <w:numId w:val="36"/>
        </w:numPr>
        <w:rPr>
          <w:rFonts w:ascii="Times New Roman" w:hAnsi="Times New Roman" w:cs="Times New Roman"/>
          <w:sz w:val="24"/>
          <w:szCs w:val="24"/>
        </w:rPr>
      </w:pPr>
      <w:r w:rsidRPr="00B67AAE">
        <w:rPr>
          <w:rFonts w:ascii="Times New Roman" w:hAnsi="Times New Roman" w:cs="Times New Roman"/>
          <w:sz w:val="24"/>
          <w:szCs w:val="24"/>
        </w:rPr>
        <w:t xml:space="preserve">The employee does not accrue a benefit due solely to the benefit or contribution limitations as defined in </w:t>
      </w:r>
      <w:r w:rsidR="00692E5A">
        <w:rPr>
          <w:rFonts w:ascii="Times New Roman" w:hAnsi="Times New Roman" w:cs="Times New Roman"/>
          <w:sz w:val="24"/>
          <w:szCs w:val="24"/>
        </w:rPr>
        <w:t>Code</w:t>
      </w:r>
      <w:r w:rsidR="00692E5A" w:rsidRPr="00B67AAE">
        <w:rPr>
          <w:rFonts w:ascii="Times New Roman" w:hAnsi="Times New Roman" w:cs="Times New Roman"/>
          <w:sz w:val="24"/>
          <w:szCs w:val="24"/>
        </w:rPr>
        <w:t xml:space="preserve"> </w:t>
      </w:r>
      <w:r w:rsidRPr="00B67AAE">
        <w:rPr>
          <w:rFonts w:ascii="Times New Roman" w:hAnsi="Times New Roman" w:cs="Times New Roman"/>
          <w:sz w:val="24"/>
          <w:szCs w:val="24"/>
        </w:rPr>
        <w:t>Section 415.</w:t>
      </w:r>
    </w:p>
    <w:p w:rsidR="00B67AAE" w:rsidRPr="00B67AAE" w:rsidRDefault="00B67AAE" w:rsidP="00F930A3">
      <w:pPr>
        <w:pStyle w:val="NoSpacing"/>
        <w:numPr>
          <w:ilvl w:val="0"/>
          <w:numId w:val="36"/>
        </w:numPr>
        <w:rPr>
          <w:rFonts w:ascii="Times New Roman" w:hAnsi="Times New Roman" w:cs="Times New Roman"/>
          <w:sz w:val="24"/>
          <w:szCs w:val="24"/>
        </w:rPr>
      </w:pPr>
      <w:r w:rsidRPr="00B67AAE">
        <w:rPr>
          <w:rFonts w:ascii="Times New Roman" w:hAnsi="Times New Roman" w:cs="Times New Roman"/>
          <w:sz w:val="24"/>
          <w:szCs w:val="24"/>
        </w:rPr>
        <w:t>The employee does not accrue a benefit due solely to a benefit or contribution limit applied to all employees as defined in the plan, e.g., the maximum benefit is $1,000 per month in a defined benefit plan and the employee has already accrued that benefit.</w:t>
      </w:r>
    </w:p>
    <w:p w:rsidR="00B67AAE" w:rsidRPr="00B67AAE" w:rsidRDefault="00B67AAE" w:rsidP="00F930A3">
      <w:pPr>
        <w:pStyle w:val="NoSpacing"/>
        <w:numPr>
          <w:ilvl w:val="0"/>
          <w:numId w:val="36"/>
        </w:numPr>
        <w:rPr>
          <w:rFonts w:ascii="Times New Roman" w:hAnsi="Times New Roman" w:cs="Times New Roman"/>
          <w:sz w:val="24"/>
          <w:szCs w:val="24"/>
        </w:rPr>
      </w:pPr>
      <w:r w:rsidRPr="00B67AAE">
        <w:rPr>
          <w:rFonts w:ascii="Times New Roman" w:hAnsi="Times New Roman" w:cs="Times New Roman"/>
          <w:sz w:val="24"/>
          <w:szCs w:val="24"/>
        </w:rPr>
        <w:t>The benefit accrual is offset by contributions in another plan.</w:t>
      </w:r>
      <w:r w:rsidR="00AF68EE">
        <w:rPr>
          <w:rStyle w:val="FootnoteReference"/>
          <w:rFonts w:ascii="Times New Roman" w:hAnsi="Times New Roman" w:cs="Times New Roman"/>
          <w:sz w:val="24"/>
          <w:szCs w:val="24"/>
        </w:rPr>
        <w:footnoteReference w:id="14"/>
      </w:r>
    </w:p>
    <w:p w:rsidR="00B67AAE" w:rsidRPr="00B67AAE" w:rsidRDefault="00B67AAE" w:rsidP="00F930A3">
      <w:pPr>
        <w:pStyle w:val="NoSpacing"/>
        <w:numPr>
          <w:ilvl w:val="0"/>
          <w:numId w:val="36"/>
        </w:numPr>
        <w:rPr>
          <w:rFonts w:ascii="Times New Roman" w:hAnsi="Times New Roman" w:cs="Times New Roman"/>
          <w:sz w:val="24"/>
          <w:szCs w:val="24"/>
        </w:rPr>
      </w:pPr>
      <w:r w:rsidRPr="00B67AAE">
        <w:rPr>
          <w:rFonts w:ascii="Times New Roman" w:hAnsi="Times New Roman" w:cs="Times New Roman"/>
          <w:sz w:val="24"/>
          <w:szCs w:val="24"/>
        </w:rPr>
        <w:t>In a target benefit plan, the theoretical reserve is equal to or greater than the present value of the theoretical benefits.</w:t>
      </w:r>
      <w:r w:rsidR="00AF68EE">
        <w:rPr>
          <w:rStyle w:val="FootnoteReference"/>
          <w:rFonts w:ascii="Times New Roman" w:hAnsi="Times New Roman" w:cs="Times New Roman"/>
          <w:sz w:val="24"/>
          <w:szCs w:val="24"/>
        </w:rPr>
        <w:footnoteReference w:id="15"/>
      </w:r>
    </w:p>
    <w:p w:rsidR="00B67AAE" w:rsidRDefault="001E64A1" w:rsidP="00F930A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T</w:t>
      </w:r>
      <w:r w:rsidRPr="00B67AAE">
        <w:rPr>
          <w:rFonts w:ascii="Times New Roman" w:hAnsi="Times New Roman" w:cs="Times New Roman"/>
          <w:sz w:val="24"/>
          <w:szCs w:val="24"/>
        </w:rPr>
        <w:t xml:space="preserve">he </w:t>
      </w:r>
      <w:r w:rsidR="00B67AAE" w:rsidRPr="00B67AAE">
        <w:rPr>
          <w:rFonts w:ascii="Times New Roman" w:hAnsi="Times New Roman" w:cs="Times New Roman"/>
          <w:sz w:val="24"/>
          <w:szCs w:val="24"/>
        </w:rPr>
        <w:t>employee has reached normal retirement age as defined in the plan and the plan provides that there are no further contributions or benefit accruals after normal retirement age.</w:t>
      </w:r>
    </w:p>
    <w:p w:rsidR="00F930A3" w:rsidRDefault="00F930A3"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824E48">
        <w:rPr>
          <w:rFonts w:ascii="Times New Roman" w:hAnsi="Times New Roman" w:cs="Times New Roman"/>
          <w:b/>
          <w:sz w:val="24"/>
          <w:szCs w:val="24"/>
        </w:rPr>
        <w:t>1</w:t>
      </w:r>
      <w:r w:rsidR="007C766E">
        <w:rPr>
          <w:rFonts w:ascii="Times New Roman" w:hAnsi="Times New Roman" w:cs="Times New Roman"/>
          <w:b/>
          <w:sz w:val="24"/>
          <w:szCs w:val="24"/>
        </w:rPr>
        <w:t>0</w:t>
      </w:r>
      <w:r>
        <w:rPr>
          <w:rFonts w:ascii="Times New Roman" w:hAnsi="Times New Roman" w:cs="Times New Roman"/>
          <w:b/>
          <w:sz w:val="24"/>
          <w:szCs w:val="24"/>
        </w:rPr>
        <w:t xml:space="preserve">:  </w:t>
      </w:r>
      <w:r w:rsidRPr="00E1416D">
        <w:rPr>
          <w:rFonts w:ascii="Times New Roman" w:hAnsi="Times New Roman" w:cs="Times New Roman"/>
          <w:b/>
          <w:sz w:val="24"/>
          <w:szCs w:val="24"/>
        </w:rPr>
        <w:t>Are defined contribution plan</w:t>
      </w:r>
      <w:r w:rsidR="00135DC1">
        <w:rPr>
          <w:rFonts w:ascii="Times New Roman" w:hAnsi="Times New Roman" w:cs="Times New Roman"/>
          <w:b/>
          <w:sz w:val="24"/>
          <w:szCs w:val="24"/>
        </w:rPr>
        <w:t>s</w:t>
      </w:r>
      <w:r w:rsidRPr="00E1416D">
        <w:rPr>
          <w:rFonts w:ascii="Times New Roman" w:hAnsi="Times New Roman" w:cs="Times New Roman"/>
          <w:b/>
          <w:sz w:val="24"/>
          <w:szCs w:val="24"/>
        </w:rPr>
        <w:t xml:space="preserve"> subject to these minimum participation rules?</w:t>
      </w:r>
    </w:p>
    <w:p w:rsidR="007502D4" w:rsidRDefault="007502D4" w:rsidP="007502D4">
      <w:pPr>
        <w:pStyle w:val="NoSpacing"/>
        <w:ind w:left="720"/>
        <w:rPr>
          <w:rFonts w:ascii="Times New Roman" w:hAnsi="Times New Roman" w:cs="Times New Roman"/>
          <w:b/>
          <w:sz w:val="24"/>
          <w:szCs w:val="24"/>
        </w:rPr>
      </w:pPr>
    </w:p>
    <w:p w:rsidR="007502D4" w:rsidRPr="006C7178" w:rsidRDefault="007502D4" w:rsidP="007502D4">
      <w:pPr>
        <w:pStyle w:val="NoSpacing"/>
        <w:ind w:left="720"/>
        <w:rPr>
          <w:rFonts w:ascii="Times New Roman" w:hAnsi="Times New Roman" w:cs="Times New Roman"/>
          <w:sz w:val="20"/>
          <w:szCs w:val="20"/>
        </w:rPr>
      </w:pPr>
      <w:r w:rsidRPr="00E1416D">
        <w:rPr>
          <w:rFonts w:ascii="Times New Roman" w:hAnsi="Times New Roman" w:cs="Times New Roman"/>
          <w:sz w:val="24"/>
          <w:szCs w:val="24"/>
        </w:rPr>
        <w:t>No.  These rule</w:t>
      </w:r>
      <w:r>
        <w:rPr>
          <w:rFonts w:ascii="Times New Roman" w:hAnsi="Times New Roman" w:cs="Times New Roman"/>
          <w:sz w:val="24"/>
          <w:szCs w:val="24"/>
        </w:rPr>
        <w:t>s</w:t>
      </w:r>
      <w:r w:rsidRPr="00E1416D">
        <w:rPr>
          <w:rFonts w:ascii="Times New Roman" w:hAnsi="Times New Roman" w:cs="Times New Roman"/>
          <w:sz w:val="24"/>
          <w:szCs w:val="24"/>
        </w:rPr>
        <w:t xml:space="preserve"> only apply to defined benefits plans.</w:t>
      </w:r>
      <w:r w:rsidR="001E64A1">
        <w:rPr>
          <w:rStyle w:val="FootnoteReference"/>
          <w:rFonts w:ascii="Times New Roman" w:hAnsi="Times New Roman" w:cs="Times New Roman"/>
          <w:sz w:val="24"/>
          <w:szCs w:val="24"/>
        </w:rPr>
        <w:footnoteReference w:id="16"/>
      </w:r>
      <w:r w:rsidR="00205143">
        <w:rPr>
          <w:rFonts w:ascii="Times New Roman" w:hAnsi="Times New Roman" w:cs="Times New Roman"/>
          <w:sz w:val="24"/>
          <w:szCs w:val="24"/>
        </w:rPr>
        <w:t xml:space="preserve"> </w:t>
      </w: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4.1</w:t>
      </w:r>
      <w:r w:rsidR="00824E48">
        <w:rPr>
          <w:rFonts w:ascii="Times New Roman" w:hAnsi="Times New Roman" w:cs="Times New Roman"/>
          <w:b/>
          <w:sz w:val="24"/>
          <w:szCs w:val="24"/>
        </w:rPr>
        <w:t>1</w:t>
      </w:r>
      <w:r>
        <w:rPr>
          <w:rFonts w:ascii="Times New Roman" w:hAnsi="Times New Roman" w:cs="Times New Roman"/>
          <w:b/>
          <w:sz w:val="24"/>
          <w:szCs w:val="24"/>
        </w:rPr>
        <w:t xml:space="preserve">:  </w:t>
      </w:r>
      <w:r w:rsidRPr="00DD5080">
        <w:rPr>
          <w:rFonts w:ascii="Times New Roman" w:hAnsi="Times New Roman" w:cs="Times New Roman"/>
          <w:b/>
          <w:sz w:val="24"/>
          <w:szCs w:val="24"/>
        </w:rPr>
        <w:t xml:space="preserve">What </w:t>
      </w:r>
      <w:r w:rsidR="00B73722">
        <w:rPr>
          <w:rFonts w:ascii="Times New Roman" w:hAnsi="Times New Roman" w:cs="Times New Roman"/>
          <w:b/>
          <w:sz w:val="24"/>
          <w:szCs w:val="24"/>
        </w:rPr>
        <w:t>is</w:t>
      </w:r>
      <w:r w:rsidRPr="00DD5080">
        <w:rPr>
          <w:rFonts w:ascii="Times New Roman" w:hAnsi="Times New Roman" w:cs="Times New Roman"/>
          <w:b/>
          <w:sz w:val="24"/>
          <w:szCs w:val="24"/>
        </w:rPr>
        <w:t xml:space="preserve"> the nondiscrimination rule regarding the availability of benefits, rights, and features (BRF) in the plan?</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4"/>
          <w:szCs w:val="24"/>
        </w:rPr>
      </w:pPr>
      <w:r w:rsidRPr="00DD5080">
        <w:rPr>
          <w:rFonts w:ascii="Times New Roman" w:hAnsi="Times New Roman" w:cs="Times New Roman"/>
          <w:sz w:val="24"/>
          <w:szCs w:val="24"/>
        </w:rPr>
        <w:t>This rule is satisfied if all optional forms of benefits, ancillary benefits, and other rights and features available under the plan are currently and effectively available in a nondiscriminatory manner.</w:t>
      </w:r>
      <w:r w:rsidR="001E64A1">
        <w:rPr>
          <w:rStyle w:val="FootnoteReference"/>
          <w:rFonts w:ascii="Times New Roman" w:hAnsi="Times New Roman" w:cs="Times New Roman"/>
          <w:sz w:val="24"/>
          <w:szCs w:val="24"/>
        </w:rPr>
        <w:footnoteReference w:id="17"/>
      </w:r>
      <w:r w:rsidR="00205143">
        <w:rPr>
          <w:rFonts w:ascii="Times New Roman" w:hAnsi="Times New Roman" w:cs="Times New Roman"/>
          <w:sz w:val="24"/>
          <w:szCs w:val="24"/>
        </w:rPr>
        <w:t xml:space="preserve"> </w:t>
      </w:r>
      <w:r>
        <w:rPr>
          <w:rFonts w:ascii="Times New Roman" w:hAnsi="Times New Roman" w:cs="Times New Roman"/>
          <w:sz w:val="24"/>
          <w:szCs w:val="24"/>
        </w:rPr>
        <w:br/>
      </w: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4.1</w:t>
      </w:r>
      <w:r w:rsidR="00824E48">
        <w:rPr>
          <w:rFonts w:ascii="Times New Roman" w:hAnsi="Times New Roman" w:cs="Times New Roman"/>
          <w:b/>
          <w:sz w:val="24"/>
          <w:szCs w:val="24"/>
        </w:rPr>
        <w:t>2</w:t>
      </w:r>
      <w:r>
        <w:rPr>
          <w:rFonts w:ascii="Times New Roman" w:hAnsi="Times New Roman" w:cs="Times New Roman"/>
          <w:b/>
          <w:sz w:val="24"/>
          <w:szCs w:val="24"/>
        </w:rPr>
        <w:t xml:space="preserve">:  </w:t>
      </w:r>
      <w:r w:rsidRPr="00DD5080">
        <w:rPr>
          <w:rFonts w:ascii="Times New Roman" w:hAnsi="Times New Roman" w:cs="Times New Roman"/>
          <w:b/>
          <w:sz w:val="24"/>
          <w:szCs w:val="24"/>
        </w:rPr>
        <w:t xml:space="preserve">What is the test </w:t>
      </w:r>
      <w:r>
        <w:rPr>
          <w:rFonts w:ascii="Times New Roman" w:hAnsi="Times New Roman" w:cs="Times New Roman"/>
          <w:b/>
          <w:sz w:val="24"/>
          <w:szCs w:val="24"/>
        </w:rPr>
        <w:t>for being considered “currently</w:t>
      </w:r>
      <w:r w:rsidRPr="00DD5080">
        <w:rPr>
          <w:rFonts w:ascii="Times New Roman" w:hAnsi="Times New Roman" w:cs="Times New Roman"/>
          <w:b/>
          <w:sz w:val="24"/>
          <w:szCs w:val="24"/>
        </w:rPr>
        <w:t xml:space="preserve"> available”?</w:t>
      </w:r>
    </w:p>
    <w:p w:rsidR="007502D4" w:rsidRDefault="007502D4" w:rsidP="007502D4">
      <w:pPr>
        <w:pStyle w:val="NoSpacing"/>
        <w:ind w:left="720"/>
        <w:rPr>
          <w:rFonts w:ascii="Times New Roman" w:hAnsi="Times New Roman" w:cs="Times New Roman"/>
          <w:b/>
          <w:sz w:val="24"/>
          <w:szCs w:val="24"/>
        </w:rPr>
      </w:pPr>
    </w:p>
    <w:p w:rsidR="00205143" w:rsidRDefault="007502D4" w:rsidP="007502D4">
      <w:pPr>
        <w:pStyle w:val="NoSpacing"/>
        <w:ind w:left="720"/>
        <w:rPr>
          <w:rFonts w:ascii="Times New Roman" w:hAnsi="Times New Roman" w:cs="Times New Roman"/>
          <w:sz w:val="24"/>
          <w:szCs w:val="24"/>
        </w:rPr>
      </w:pPr>
      <w:r w:rsidRPr="00DD5080">
        <w:rPr>
          <w:rFonts w:ascii="Times New Roman" w:hAnsi="Times New Roman" w:cs="Times New Roman"/>
          <w:sz w:val="24"/>
          <w:szCs w:val="24"/>
        </w:rPr>
        <w:t xml:space="preserve">In order to be considered “currently available” the group of employees to whom a BRF is available must satisfy </w:t>
      </w:r>
      <w:r w:rsidR="00542684" w:rsidRPr="00DD5080">
        <w:rPr>
          <w:rFonts w:ascii="Times New Roman" w:hAnsi="Times New Roman" w:cs="Times New Roman"/>
          <w:sz w:val="24"/>
          <w:szCs w:val="24"/>
        </w:rPr>
        <w:t xml:space="preserve">the ratio percentage test </w:t>
      </w:r>
      <w:r w:rsidR="00542684">
        <w:rPr>
          <w:rFonts w:ascii="Times New Roman" w:hAnsi="Times New Roman" w:cs="Times New Roman"/>
          <w:sz w:val="24"/>
          <w:szCs w:val="24"/>
        </w:rPr>
        <w:t xml:space="preserve">(see Q. 4.04) </w:t>
      </w:r>
      <w:r w:rsidR="00542684" w:rsidRPr="00DD5080">
        <w:rPr>
          <w:rFonts w:ascii="Times New Roman" w:hAnsi="Times New Roman" w:cs="Times New Roman"/>
          <w:sz w:val="24"/>
          <w:szCs w:val="24"/>
        </w:rPr>
        <w:t>or the nondiscriminatory classification test</w:t>
      </w:r>
      <w:r w:rsidR="00542684">
        <w:rPr>
          <w:rFonts w:ascii="Times New Roman" w:hAnsi="Times New Roman" w:cs="Times New Roman"/>
          <w:sz w:val="24"/>
          <w:szCs w:val="24"/>
        </w:rPr>
        <w:t xml:space="preserve"> ( Q. 4.05) of </w:t>
      </w:r>
      <w:r w:rsidR="001E64A1">
        <w:rPr>
          <w:rFonts w:ascii="Times New Roman" w:hAnsi="Times New Roman" w:cs="Times New Roman"/>
          <w:sz w:val="24"/>
          <w:szCs w:val="24"/>
        </w:rPr>
        <w:t>Code</w:t>
      </w:r>
      <w:r w:rsidR="001E64A1" w:rsidRPr="00DD5080">
        <w:rPr>
          <w:rFonts w:ascii="Times New Roman" w:hAnsi="Times New Roman" w:cs="Times New Roman"/>
          <w:sz w:val="24"/>
          <w:szCs w:val="24"/>
        </w:rPr>
        <w:t xml:space="preserve"> </w:t>
      </w:r>
      <w:r w:rsidRPr="00DD5080">
        <w:rPr>
          <w:rFonts w:ascii="Times New Roman" w:hAnsi="Times New Roman" w:cs="Times New Roman"/>
          <w:sz w:val="24"/>
          <w:szCs w:val="24"/>
        </w:rPr>
        <w:t>Section 410(b).</w:t>
      </w:r>
      <w:r w:rsidR="001E64A1">
        <w:rPr>
          <w:rStyle w:val="FootnoteReference"/>
          <w:rFonts w:ascii="Times New Roman" w:hAnsi="Times New Roman" w:cs="Times New Roman"/>
          <w:sz w:val="24"/>
          <w:szCs w:val="24"/>
        </w:rPr>
        <w:footnoteReference w:id="18"/>
      </w:r>
      <w:r w:rsidRPr="00DD5080">
        <w:rPr>
          <w:rFonts w:ascii="Times New Roman" w:hAnsi="Times New Roman" w:cs="Times New Roman"/>
          <w:sz w:val="24"/>
          <w:szCs w:val="24"/>
        </w:rPr>
        <w:t xml:space="preserve"> </w:t>
      </w: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1</w:t>
      </w:r>
      <w:r w:rsidR="00824E48">
        <w:rPr>
          <w:rFonts w:ascii="Times New Roman" w:hAnsi="Times New Roman" w:cs="Times New Roman"/>
          <w:b/>
          <w:sz w:val="24"/>
          <w:szCs w:val="24"/>
        </w:rPr>
        <w:t>3</w:t>
      </w:r>
      <w:r>
        <w:rPr>
          <w:rFonts w:ascii="Times New Roman" w:hAnsi="Times New Roman" w:cs="Times New Roman"/>
          <w:b/>
          <w:sz w:val="24"/>
          <w:szCs w:val="24"/>
        </w:rPr>
        <w:t xml:space="preserve">:  </w:t>
      </w:r>
      <w:r w:rsidRPr="00DD5080">
        <w:rPr>
          <w:rFonts w:ascii="Times New Roman" w:hAnsi="Times New Roman" w:cs="Times New Roman"/>
          <w:b/>
          <w:sz w:val="24"/>
          <w:szCs w:val="24"/>
        </w:rPr>
        <w:t>What is the test fo</w:t>
      </w:r>
      <w:r>
        <w:rPr>
          <w:rFonts w:ascii="Times New Roman" w:hAnsi="Times New Roman" w:cs="Times New Roman"/>
          <w:b/>
          <w:sz w:val="24"/>
          <w:szCs w:val="24"/>
        </w:rPr>
        <w:t>r being considered “effectively</w:t>
      </w:r>
      <w:r w:rsidRPr="00DD5080">
        <w:rPr>
          <w:rFonts w:ascii="Times New Roman" w:hAnsi="Times New Roman" w:cs="Times New Roman"/>
          <w:b/>
          <w:sz w:val="24"/>
          <w:szCs w:val="24"/>
        </w:rPr>
        <w:t xml:space="preserve"> available”?</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0"/>
          <w:szCs w:val="20"/>
        </w:rPr>
      </w:pPr>
      <w:r w:rsidRPr="00DD5080">
        <w:rPr>
          <w:rFonts w:ascii="Times New Roman" w:hAnsi="Times New Roman" w:cs="Times New Roman"/>
          <w:sz w:val="24"/>
          <w:szCs w:val="24"/>
        </w:rPr>
        <w:t xml:space="preserve">Whether the BRF is </w:t>
      </w:r>
      <w:r>
        <w:rPr>
          <w:rFonts w:ascii="Times New Roman" w:hAnsi="Times New Roman" w:cs="Times New Roman"/>
          <w:sz w:val="24"/>
          <w:szCs w:val="24"/>
        </w:rPr>
        <w:t>“</w:t>
      </w:r>
      <w:r w:rsidRPr="00DD5080">
        <w:rPr>
          <w:rFonts w:ascii="Times New Roman" w:hAnsi="Times New Roman" w:cs="Times New Roman"/>
          <w:sz w:val="24"/>
          <w:szCs w:val="24"/>
        </w:rPr>
        <w:t>effectively available</w:t>
      </w:r>
      <w:r>
        <w:rPr>
          <w:rFonts w:ascii="Times New Roman" w:hAnsi="Times New Roman" w:cs="Times New Roman"/>
          <w:sz w:val="24"/>
          <w:szCs w:val="24"/>
        </w:rPr>
        <w:t>”</w:t>
      </w:r>
      <w:r w:rsidRPr="00DD5080">
        <w:rPr>
          <w:rFonts w:ascii="Times New Roman" w:hAnsi="Times New Roman" w:cs="Times New Roman"/>
          <w:sz w:val="24"/>
          <w:szCs w:val="24"/>
        </w:rPr>
        <w:t xml:space="preserve"> is a facts-and-circumstances determination based on the employee’s current compensation, accrued benefit, job position, individual net worth, and other factors.</w:t>
      </w:r>
      <w:r>
        <w:rPr>
          <w:rFonts w:ascii="Times New Roman" w:hAnsi="Times New Roman" w:cs="Times New Roman"/>
          <w:sz w:val="24"/>
          <w:szCs w:val="24"/>
        </w:rPr>
        <w:t xml:space="preserve">  T</w:t>
      </w:r>
      <w:r w:rsidRPr="00DD5080">
        <w:rPr>
          <w:rFonts w:ascii="Times New Roman" w:hAnsi="Times New Roman" w:cs="Times New Roman"/>
          <w:sz w:val="24"/>
          <w:szCs w:val="24"/>
        </w:rPr>
        <w:t xml:space="preserve">he group of employees to whom a BRF is </w:t>
      </w:r>
      <w:r>
        <w:rPr>
          <w:rFonts w:ascii="Times New Roman" w:hAnsi="Times New Roman" w:cs="Times New Roman"/>
          <w:sz w:val="24"/>
          <w:szCs w:val="24"/>
        </w:rPr>
        <w:t xml:space="preserve">effectively </w:t>
      </w:r>
      <w:r w:rsidRPr="00DD5080">
        <w:rPr>
          <w:rFonts w:ascii="Times New Roman" w:hAnsi="Times New Roman" w:cs="Times New Roman"/>
          <w:sz w:val="24"/>
          <w:szCs w:val="24"/>
        </w:rPr>
        <w:t>available does not substantially favor HCEs.</w:t>
      </w:r>
      <w:r w:rsidR="00F83122">
        <w:rPr>
          <w:rStyle w:val="FootnoteReference"/>
          <w:rFonts w:ascii="Times New Roman" w:hAnsi="Times New Roman" w:cs="Times New Roman"/>
          <w:sz w:val="24"/>
          <w:szCs w:val="24"/>
        </w:rPr>
        <w:footnoteReference w:id="19"/>
      </w:r>
      <w:r w:rsidR="00205143">
        <w:rPr>
          <w:rFonts w:ascii="Times New Roman" w:hAnsi="Times New Roman" w:cs="Times New Roman"/>
          <w:sz w:val="24"/>
          <w:szCs w:val="24"/>
        </w:rPr>
        <w:t xml:space="preserve"> </w:t>
      </w:r>
    </w:p>
    <w:p w:rsidR="00473805" w:rsidRDefault="00473805" w:rsidP="007502D4">
      <w:pPr>
        <w:pStyle w:val="NoSpacing"/>
        <w:ind w:left="720"/>
        <w:rPr>
          <w:rFonts w:ascii="Times New Roman" w:hAnsi="Times New Roman" w:cs="Times New Roman"/>
          <w:sz w:val="20"/>
          <w:szCs w:val="20"/>
        </w:rPr>
      </w:pPr>
    </w:p>
    <w:p w:rsidR="00473805" w:rsidRPr="00473805" w:rsidRDefault="00473805" w:rsidP="00473805">
      <w:pPr>
        <w:pStyle w:val="NoSpacing"/>
        <w:ind w:left="720"/>
        <w:rPr>
          <w:rFonts w:ascii="Times New Roman" w:hAnsi="Times New Roman" w:cs="Times New Roman"/>
          <w:sz w:val="24"/>
          <w:szCs w:val="24"/>
        </w:rPr>
      </w:pPr>
      <w:r>
        <w:rPr>
          <w:rFonts w:ascii="Times New Roman" w:hAnsi="Times New Roman" w:cs="Times New Roman"/>
          <w:sz w:val="24"/>
          <w:szCs w:val="24"/>
        </w:rPr>
        <w:t>R</w:t>
      </w:r>
      <w:r w:rsidRPr="00473805">
        <w:rPr>
          <w:rFonts w:ascii="Times New Roman" w:hAnsi="Times New Roman" w:cs="Times New Roman"/>
          <w:sz w:val="24"/>
          <w:szCs w:val="24"/>
        </w:rPr>
        <w:t>ights and features subject to current and effective availability include:</w:t>
      </w:r>
      <w:r w:rsidR="00F83122">
        <w:rPr>
          <w:rStyle w:val="FootnoteReference"/>
          <w:rFonts w:ascii="Times New Roman" w:hAnsi="Times New Roman" w:cs="Times New Roman"/>
          <w:sz w:val="24"/>
          <w:szCs w:val="24"/>
        </w:rPr>
        <w:footnoteReference w:id="20"/>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p</w:t>
      </w:r>
      <w:r w:rsidRPr="00473805">
        <w:rPr>
          <w:rFonts w:ascii="Times New Roman" w:hAnsi="Times New Roman" w:cs="Times New Roman"/>
          <w:sz w:val="24"/>
          <w:szCs w:val="24"/>
        </w:rPr>
        <w:t xml:space="preserve">lan </w:t>
      </w:r>
      <w:r w:rsidR="00473805" w:rsidRPr="00473805">
        <w:rPr>
          <w:rFonts w:ascii="Times New Roman" w:hAnsi="Times New Roman" w:cs="Times New Roman"/>
          <w:sz w:val="24"/>
          <w:szCs w:val="24"/>
        </w:rPr>
        <w:t>loans</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direct investments</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a particular form of investment</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a particular class or type of employer security</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determine each type of elective contribution under a cash or deferred arrangement</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make after-tax contributions to a defined benefit plan that are not allocated to separate accounts</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determine each rate of employee contributions to a plan to which matching contributions can be made</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an allocation of matching employer contributions</w:t>
      </w:r>
      <w:r w:rsidR="00555B31">
        <w:rPr>
          <w:rFonts w:ascii="Times New Roman" w:hAnsi="Times New Roman" w:cs="Times New Roman"/>
          <w:sz w:val="24"/>
          <w:szCs w:val="24"/>
        </w:rPr>
        <w:t>,</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purchase additional retirement or ancillary benefits</w:t>
      </w:r>
      <w:r w:rsidR="00555B31">
        <w:rPr>
          <w:rFonts w:ascii="Times New Roman" w:hAnsi="Times New Roman" w:cs="Times New Roman"/>
          <w:sz w:val="24"/>
          <w:szCs w:val="24"/>
        </w:rPr>
        <w:t>,</w:t>
      </w:r>
      <w:r w:rsidR="00473805" w:rsidRPr="00473805">
        <w:rPr>
          <w:rFonts w:ascii="Times New Roman" w:hAnsi="Times New Roman" w:cs="Times New Roman"/>
          <w:sz w:val="24"/>
          <w:szCs w:val="24"/>
        </w:rPr>
        <w:t xml:space="preserve"> and</w:t>
      </w:r>
    </w:p>
    <w:p w:rsidR="00473805" w:rsidRPr="00473805" w:rsidRDefault="00F83122" w:rsidP="00473805">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make and receive rollovers or transfers.</w:t>
      </w:r>
    </w:p>
    <w:p w:rsidR="00473805" w:rsidRDefault="00473805" w:rsidP="00473805">
      <w:pPr>
        <w:pStyle w:val="NoSpacing"/>
        <w:ind w:left="720"/>
        <w:rPr>
          <w:rFonts w:ascii="Times New Roman" w:hAnsi="Times New Roman" w:cs="Times New Roman"/>
          <w:sz w:val="24"/>
          <w:szCs w:val="24"/>
        </w:rPr>
      </w:pPr>
    </w:p>
    <w:p w:rsidR="009C34BD" w:rsidRDefault="009C34BD" w:rsidP="00473805">
      <w:pPr>
        <w:pStyle w:val="NoSpacing"/>
        <w:ind w:left="720"/>
        <w:rPr>
          <w:rFonts w:ascii="Times New Roman" w:hAnsi="Times New Roman" w:cs="Times New Roman"/>
          <w:sz w:val="24"/>
          <w:szCs w:val="24"/>
        </w:rPr>
      </w:pPr>
    </w:p>
    <w:p w:rsidR="009C34BD" w:rsidRDefault="009C34BD" w:rsidP="00473805">
      <w:pPr>
        <w:pStyle w:val="NoSpacing"/>
        <w:ind w:left="720"/>
        <w:rPr>
          <w:rFonts w:ascii="Times New Roman" w:hAnsi="Times New Roman" w:cs="Times New Roman"/>
          <w:sz w:val="24"/>
          <w:szCs w:val="24"/>
        </w:rPr>
      </w:pPr>
    </w:p>
    <w:p w:rsidR="00473805" w:rsidRPr="00473805" w:rsidRDefault="00473805" w:rsidP="00473805">
      <w:pPr>
        <w:pStyle w:val="NoSpacing"/>
        <w:ind w:left="720"/>
        <w:rPr>
          <w:rFonts w:ascii="Times New Roman" w:hAnsi="Times New Roman" w:cs="Times New Roman"/>
          <w:sz w:val="24"/>
          <w:szCs w:val="24"/>
        </w:rPr>
      </w:pPr>
      <w:r w:rsidRPr="00473805">
        <w:rPr>
          <w:rFonts w:ascii="Times New Roman" w:hAnsi="Times New Roman" w:cs="Times New Roman"/>
          <w:sz w:val="24"/>
          <w:szCs w:val="24"/>
        </w:rPr>
        <w:t>Compliance with item 2</w:t>
      </w:r>
      <w:r w:rsidR="003D304D">
        <w:rPr>
          <w:rFonts w:ascii="Times New Roman" w:hAnsi="Times New Roman" w:cs="Times New Roman"/>
          <w:sz w:val="24"/>
          <w:szCs w:val="24"/>
        </w:rPr>
        <w:t xml:space="preserve"> above</w:t>
      </w:r>
      <w:r w:rsidRPr="00473805">
        <w:rPr>
          <w:rFonts w:ascii="Times New Roman" w:hAnsi="Times New Roman" w:cs="Times New Roman"/>
          <w:sz w:val="24"/>
          <w:szCs w:val="24"/>
        </w:rPr>
        <w:t xml:space="preserve"> is a common problem. It is not unusual to find a defined contribution plan in which the owners are investing their account balance in equities, </w:t>
      </w:r>
      <w:r w:rsidRPr="00473805">
        <w:rPr>
          <w:rFonts w:ascii="Times New Roman" w:hAnsi="Times New Roman" w:cs="Times New Roman"/>
          <w:sz w:val="24"/>
          <w:szCs w:val="24"/>
        </w:rPr>
        <w:lastRenderedPageBreak/>
        <w:t>including stocks and mutual funds, while they invest the employees’ accounts in bank certificates of deposit. In many cases this is done to “protect the employees.” Regardless of the motivation, this is discriminatory and does not satisfy the nondiscrimination rules for BRF. If this practice is not corrected, the plan could be disqualified on audit. Furthermore, the plan sponsor may be required to correct this plan defect by making up the investment returns for the employees based on what the accounts of the HCEs earned during the period in question.</w:t>
      </w: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1</w:t>
      </w:r>
      <w:r w:rsidR="00824E48">
        <w:rPr>
          <w:rFonts w:ascii="Times New Roman" w:hAnsi="Times New Roman" w:cs="Times New Roman"/>
          <w:b/>
          <w:sz w:val="24"/>
          <w:szCs w:val="24"/>
        </w:rPr>
        <w:t>4</w:t>
      </w:r>
      <w:r>
        <w:rPr>
          <w:rFonts w:ascii="Times New Roman" w:hAnsi="Times New Roman" w:cs="Times New Roman"/>
          <w:b/>
          <w:sz w:val="24"/>
          <w:szCs w:val="24"/>
        </w:rPr>
        <w:t xml:space="preserve">:  </w:t>
      </w:r>
      <w:r w:rsidRPr="00DD5080">
        <w:rPr>
          <w:rFonts w:ascii="Times New Roman" w:hAnsi="Times New Roman" w:cs="Times New Roman"/>
          <w:b/>
          <w:sz w:val="24"/>
          <w:szCs w:val="24"/>
        </w:rPr>
        <w:t xml:space="preserve">What </w:t>
      </w:r>
      <w:r>
        <w:rPr>
          <w:rFonts w:ascii="Times New Roman" w:hAnsi="Times New Roman" w:cs="Times New Roman"/>
          <w:b/>
          <w:sz w:val="24"/>
          <w:szCs w:val="24"/>
        </w:rPr>
        <w:t>is the consequence if a plan’s “optional forms of benefits” do not satisfy the currently and effectively available requirement</w:t>
      </w:r>
      <w:r w:rsidRPr="00DD5080">
        <w:rPr>
          <w:rFonts w:ascii="Times New Roman" w:hAnsi="Times New Roman" w:cs="Times New Roman"/>
          <w:b/>
          <w:sz w:val="24"/>
          <w:szCs w:val="24"/>
        </w:rPr>
        <w:t>?</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4"/>
          <w:szCs w:val="24"/>
        </w:rPr>
      </w:pPr>
      <w:r w:rsidRPr="00474DE8">
        <w:rPr>
          <w:rFonts w:ascii="Times New Roman" w:hAnsi="Times New Roman" w:cs="Times New Roman"/>
          <w:sz w:val="24"/>
          <w:szCs w:val="24"/>
        </w:rPr>
        <w:t>If the plan</w:t>
      </w:r>
      <w:r w:rsidR="00135DC1">
        <w:rPr>
          <w:rFonts w:ascii="Times New Roman" w:hAnsi="Times New Roman" w:cs="Times New Roman"/>
          <w:sz w:val="24"/>
          <w:szCs w:val="24"/>
        </w:rPr>
        <w:t xml:space="preserve">’s </w:t>
      </w:r>
      <w:r w:rsidR="00135DC1" w:rsidRPr="00474DE8">
        <w:rPr>
          <w:rFonts w:ascii="Times New Roman" w:hAnsi="Times New Roman" w:cs="Times New Roman"/>
          <w:sz w:val="24"/>
          <w:szCs w:val="24"/>
        </w:rPr>
        <w:t>optional forms of benefits</w:t>
      </w:r>
      <w:r w:rsidR="00135DC1">
        <w:rPr>
          <w:rFonts w:ascii="Times New Roman" w:hAnsi="Times New Roman" w:cs="Times New Roman"/>
          <w:sz w:val="24"/>
          <w:szCs w:val="24"/>
        </w:rPr>
        <w:t xml:space="preserve"> </w:t>
      </w:r>
      <w:r w:rsidRPr="00474DE8">
        <w:rPr>
          <w:rFonts w:ascii="Times New Roman" w:hAnsi="Times New Roman" w:cs="Times New Roman"/>
          <w:sz w:val="24"/>
          <w:szCs w:val="24"/>
        </w:rPr>
        <w:t xml:space="preserve"> do not satisfy the requirement t</w:t>
      </w:r>
      <w:r w:rsidR="00135DC1">
        <w:rPr>
          <w:rFonts w:ascii="Times New Roman" w:hAnsi="Times New Roman" w:cs="Times New Roman"/>
          <w:sz w:val="24"/>
          <w:szCs w:val="24"/>
        </w:rPr>
        <w:t>o</w:t>
      </w:r>
      <w:r w:rsidRPr="00474DE8">
        <w:rPr>
          <w:rFonts w:ascii="Times New Roman" w:hAnsi="Times New Roman" w:cs="Times New Roman"/>
          <w:sz w:val="24"/>
          <w:szCs w:val="24"/>
        </w:rPr>
        <w:t xml:space="preserve"> be currently and effectively available, the plan must be amended to either expand the group that is eligible for the optional form or eliminate the optional form in accordance with </w:t>
      </w:r>
      <w:r w:rsidRPr="008008BF">
        <w:rPr>
          <w:rFonts w:ascii="Times New Roman" w:hAnsi="Times New Roman" w:cs="Times New Roman"/>
          <w:i/>
          <w:sz w:val="24"/>
          <w:szCs w:val="24"/>
        </w:rPr>
        <w:t>protected benefits</w:t>
      </w:r>
      <w:r w:rsidRPr="00474DE8">
        <w:rPr>
          <w:rFonts w:ascii="Times New Roman" w:hAnsi="Times New Roman" w:cs="Times New Roman"/>
          <w:sz w:val="24"/>
          <w:szCs w:val="24"/>
        </w:rPr>
        <w:t xml:space="preserve"> under </w:t>
      </w:r>
      <w:r w:rsidR="00D871E3">
        <w:rPr>
          <w:rFonts w:ascii="Times New Roman" w:hAnsi="Times New Roman" w:cs="Times New Roman"/>
          <w:sz w:val="24"/>
          <w:szCs w:val="24"/>
        </w:rPr>
        <w:t>Code</w:t>
      </w:r>
      <w:r w:rsidR="00D871E3" w:rsidRPr="00474DE8">
        <w:rPr>
          <w:rFonts w:ascii="Times New Roman" w:hAnsi="Times New Roman" w:cs="Times New Roman"/>
          <w:sz w:val="24"/>
          <w:szCs w:val="24"/>
        </w:rPr>
        <w:t xml:space="preserve"> </w:t>
      </w:r>
      <w:r w:rsidRPr="00474DE8">
        <w:rPr>
          <w:rFonts w:ascii="Times New Roman" w:hAnsi="Times New Roman" w:cs="Times New Roman"/>
          <w:sz w:val="24"/>
          <w:szCs w:val="24"/>
        </w:rPr>
        <w:t>Section 411(d)(6).</w:t>
      </w:r>
      <w:r w:rsidR="00D871E3">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323571" w:rsidRDefault="00323571" w:rsidP="0033241C">
      <w:pPr>
        <w:pStyle w:val="NoSpacing"/>
        <w:ind w:left="720"/>
        <w:rPr>
          <w:rFonts w:ascii="Times New Roman" w:hAnsi="Times New Roman" w:cs="Times New Roman"/>
          <w:sz w:val="24"/>
          <w:szCs w:val="24"/>
        </w:rPr>
      </w:pPr>
    </w:p>
    <w:p w:rsidR="007502D4" w:rsidRDefault="007502D4" w:rsidP="0033241C">
      <w:pPr>
        <w:pStyle w:val="NoSpacing"/>
        <w:ind w:left="720"/>
        <w:rPr>
          <w:rFonts w:ascii="Times New Roman" w:hAnsi="Times New Roman" w:cs="Times New Roman"/>
          <w:sz w:val="24"/>
          <w:szCs w:val="24"/>
        </w:rPr>
      </w:pPr>
      <w:r w:rsidRPr="00474DE8">
        <w:rPr>
          <w:rFonts w:ascii="Times New Roman" w:hAnsi="Times New Roman" w:cs="Times New Roman"/>
          <w:sz w:val="24"/>
          <w:szCs w:val="24"/>
        </w:rPr>
        <w:t>The term “optional forms of benefits” refers to a distribution alternative, e.g., cash or in-kind distribution, distributions available at termination of employment or only at retirement age, eligibility for the distribution alternative (e.g., lump sum), and basis for converting a lump sum to an annuity.</w:t>
      </w:r>
      <w:r w:rsidR="00D871E3">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7502D4" w:rsidRDefault="007502D4" w:rsidP="007502D4">
      <w:pPr>
        <w:pStyle w:val="NoSpacing"/>
        <w:ind w:left="720"/>
        <w:rPr>
          <w:rFonts w:ascii="Times New Roman" w:hAnsi="Times New Roman" w:cs="Times New Roman"/>
          <w:sz w:val="24"/>
          <w:szCs w:val="24"/>
        </w:rPr>
      </w:pPr>
    </w:p>
    <w:p w:rsidR="007502D4" w:rsidRDefault="007502D4" w:rsidP="007502D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C766E">
        <w:rPr>
          <w:rFonts w:ascii="Times New Roman" w:hAnsi="Times New Roman" w:cs="Times New Roman"/>
          <w:b/>
          <w:sz w:val="24"/>
          <w:szCs w:val="24"/>
        </w:rPr>
        <w:t>1</w:t>
      </w:r>
      <w:r w:rsidR="00824E48">
        <w:rPr>
          <w:rFonts w:ascii="Times New Roman" w:hAnsi="Times New Roman" w:cs="Times New Roman"/>
          <w:b/>
          <w:sz w:val="24"/>
          <w:szCs w:val="24"/>
        </w:rPr>
        <w:t>5</w:t>
      </w:r>
      <w:r>
        <w:rPr>
          <w:rFonts w:ascii="Times New Roman" w:hAnsi="Times New Roman" w:cs="Times New Roman"/>
          <w:b/>
          <w:sz w:val="24"/>
          <w:szCs w:val="24"/>
        </w:rPr>
        <w:t xml:space="preserve">:  </w:t>
      </w:r>
      <w:r w:rsidRPr="00DD5080">
        <w:rPr>
          <w:rFonts w:ascii="Times New Roman" w:hAnsi="Times New Roman" w:cs="Times New Roman"/>
          <w:b/>
          <w:sz w:val="24"/>
          <w:szCs w:val="24"/>
        </w:rPr>
        <w:t xml:space="preserve">What </w:t>
      </w:r>
      <w:r>
        <w:rPr>
          <w:rFonts w:ascii="Times New Roman" w:hAnsi="Times New Roman" w:cs="Times New Roman"/>
          <w:b/>
          <w:sz w:val="24"/>
          <w:szCs w:val="24"/>
        </w:rPr>
        <w:t>are protected benefits?</w:t>
      </w:r>
    </w:p>
    <w:p w:rsidR="007502D4" w:rsidRDefault="007502D4" w:rsidP="007502D4">
      <w:pPr>
        <w:pStyle w:val="NoSpacing"/>
        <w:ind w:left="720"/>
        <w:rPr>
          <w:rFonts w:ascii="Times New Roman" w:hAnsi="Times New Roman" w:cs="Times New Roman"/>
          <w:b/>
          <w:sz w:val="24"/>
          <w:szCs w:val="24"/>
        </w:rPr>
      </w:pPr>
    </w:p>
    <w:p w:rsidR="007502D4" w:rsidRDefault="007502D4" w:rsidP="007502D4">
      <w:pPr>
        <w:pStyle w:val="NoSpacing"/>
        <w:ind w:left="720"/>
        <w:rPr>
          <w:rFonts w:ascii="Times New Roman" w:hAnsi="Times New Roman" w:cs="Times New Roman"/>
          <w:sz w:val="24"/>
          <w:szCs w:val="24"/>
        </w:rPr>
      </w:pPr>
      <w:r w:rsidRPr="00474DE8">
        <w:rPr>
          <w:rFonts w:ascii="Times New Roman" w:hAnsi="Times New Roman" w:cs="Times New Roman"/>
          <w:sz w:val="24"/>
          <w:szCs w:val="24"/>
        </w:rPr>
        <w:t>Protected benefits are those that cannot be eliminated, reduced, or made subject to employer discretion except as permitted by regulations and include accrued benefits, early retirement benefits, retirement subsidies, and optional forms of benefits.</w:t>
      </w:r>
    </w:p>
    <w:p w:rsidR="00473805" w:rsidRDefault="00473805" w:rsidP="007502D4">
      <w:pPr>
        <w:pStyle w:val="NoSpacing"/>
        <w:ind w:left="720"/>
        <w:rPr>
          <w:rFonts w:ascii="Times New Roman" w:hAnsi="Times New Roman" w:cs="Times New Roman"/>
          <w:sz w:val="24"/>
          <w:szCs w:val="24"/>
        </w:rPr>
      </w:pPr>
    </w:p>
    <w:p w:rsidR="00473805" w:rsidRPr="00473805" w:rsidRDefault="00473805" w:rsidP="00473805">
      <w:pPr>
        <w:pStyle w:val="NoSpacing"/>
        <w:ind w:left="720"/>
        <w:rPr>
          <w:rFonts w:ascii="Times New Roman" w:hAnsi="Times New Roman" w:cs="Times New Roman"/>
          <w:sz w:val="24"/>
          <w:szCs w:val="24"/>
        </w:rPr>
      </w:pPr>
      <w:r w:rsidRPr="00473805">
        <w:rPr>
          <w:rFonts w:ascii="Times New Roman" w:hAnsi="Times New Roman" w:cs="Times New Roman"/>
          <w:sz w:val="24"/>
          <w:szCs w:val="24"/>
        </w:rPr>
        <w:t>The following benefits are not protected benefits:</w:t>
      </w:r>
      <w:r w:rsidR="00A6711B">
        <w:rPr>
          <w:rStyle w:val="FootnoteReference"/>
          <w:rFonts w:ascii="Times New Roman" w:hAnsi="Times New Roman" w:cs="Times New Roman"/>
          <w:sz w:val="24"/>
          <w:szCs w:val="24"/>
        </w:rPr>
        <w:footnoteReference w:id="23"/>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a</w:t>
      </w:r>
      <w:r w:rsidRPr="00473805">
        <w:rPr>
          <w:rFonts w:ascii="Times New Roman" w:hAnsi="Times New Roman" w:cs="Times New Roman"/>
          <w:sz w:val="24"/>
          <w:szCs w:val="24"/>
        </w:rPr>
        <w:t xml:space="preserve">ncillary </w:t>
      </w:r>
      <w:r w:rsidR="00473805" w:rsidRPr="00473805">
        <w:rPr>
          <w:rFonts w:ascii="Times New Roman" w:hAnsi="Times New Roman" w:cs="Times New Roman"/>
          <w:sz w:val="24"/>
          <w:szCs w:val="24"/>
        </w:rPr>
        <w:t>life insurance protection;</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a</w:t>
      </w:r>
      <w:r w:rsidRPr="00473805">
        <w:rPr>
          <w:rFonts w:ascii="Times New Roman" w:hAnsi="Times New Roman" w:cs="Times New Roman"/>
          <w:sz w:val="24"/>
          <w:szCs w:val="24"/>
        </w:rPr>
        <w:t xml:space="preserve">ccident </w:t>
      </w:r>
      <w:r w:rsidR="00473805" w:rsidRPr="00473805">
        <w:rPr>
          <w:rFonts w:ascii="Times New Roman" w:hAnsi="Times New Roman" w:cs="Times New Roman"/>
          <w:sz w:val="24"/>
          <w:szCs w:val="24"/>
        </w:rPr>
        <w:t>or health insurance;</w:t>
      </w:r>
    </w:p>
    <w:p w:rsidR="00473805" w:rsidRPr="00473805" w:rsidRDefault="00473805" w:rsidP="00473805">
      <w:pPr>
        <w:pStyle w:val="NoSpacing"/>
        <w:numPr>
          <w:ilvl w:val="0"/>
          <w:numId w:val="38"/>
        </w:numPr>
        <w:rPr>
          <w:rFonts w:ascii="Times New Roman" w:hAnsi="Times New Roman" w:cs="Times New Roman"/>
          <w:sz w:val="24"/>
          <w:szCs w:val="24"/>
        </w:rPr>
      </w:pPr>
      <w:r w:rsidRPr="00473805">
        <w:rPr>
          <w:rFonts w:ascii="Times New Roman" w:hAnsi="Times New Roman" w:cs="Times New Roman"/>
          <w:sz w:val="24"/>
          <w:szCs w:val="24"/>
        </w:rPr>
        <w:t xml:space="preserve">Social Security supplements as described in </w:t>
      </w:r>
      <w:r w:rsidR="00D871E3">
        <w:rPr>
          <w:rFonts w:ascii="Times New Roman" w:hAnsi="Times New Roman" w:cs="Times New Roman"/>
          <w:sz w:val="24"/>
          <w:szCs w:val="24"/>
        </w:rPr>
        <w:t>Code</w:t>
      </w:r>
      <w:r w:rsidR="00D871E3" w:rsidRPr="00473805">
        <w:rPr>
          <w:rFonts w:ascii="Times New Roman" w:hAnsi="Times New Roman" w:cs="Times New Roman"/>
          <w:sz w:val="24"/>
          <w:szCs w:val="24"/>
        </w:rPr>
        <w:t xml:space="preserve"> </w:t>
      </w:r>
      <w:r w:rsidRPr="00473805">
        <w:rPr>
          <w:rFonts w:ascii="Times New Roman" w:hAnsi="Times New Roman" w:cs="Times New Roman"/>
          <w:sz w:val="24"/>
          <w:szCs w:val="24"/>
        </w:rPr>
        <w:t>Section 411(a)(9);</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the a</w:t>
      </w:r>
      <w:r w:rsidRPr="00473805">
        <w:rPr>
          <w:rFonts w:ascii="Times New Roman" w:hAnsi="Times New Roman" w:cs="Times New Roman"/>
          <w:sz w:val="24"/>
          <w:szCs w:val="24"/>
        </w:rPr>
        <w:t xml:space="preserve">vailability </w:t>
      </w:r>
      <w:r w:rsidR="00473805" w:rsidRPr="00473805">
        <w:rPr>
          <w:rFonts w:ascii="Times New Roman" w:hAnsi="Times New Roman" w:cs="Times New Roman"/>
          <w:sz w:val="24"/>
          <w:szCs w:val="24"/>
        </w:rPr>
        <w:t>of loans;</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make before- or after-tax employee deferrals or contributions;</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direct investments;</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right to a particular form of investment, e.g., employer stock;</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w:t>
      </w:r>
      <w:r w:rsidRPr="00473805">
        <w:rPr>
          <w:rFonts w:ascii="Times New Roman" w:hAnsi="Times New Roman" w:cs="Times New Roman"/>
          <w:sz w:val="24"/>
          <w:szCs w:val="24"/>
        </w:rPr>
        <w:t xml:space="preserve">he </w:t>
      </w:r>
      <w:r w:rsidR="00473805" w:rsidRPr="00473805">
        <w:rPr>
          <w:rFonts w:ascii="Times New Roman" w:hAnsi="Times New Roman" w:cs="Times New Roman"/>
          <w:sz w:val="24"/>
          <w:szCs w:val="24"/>
        </w:rPr>
        <w:t>allocation dates for contributions, forfeitures, and investment earnings;</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a</w:t>
      </w:r>
      <w:r w:rsidRPr="00473805">
        <w:rPr>
          <w:rFonts w:ascii="Times New Roman" w:hAnsi="Times New Roman" w:cs="Times New Roman"/>
          <w:sz w:val="24"/>
          <w:szCs w:val="24"/>
        </w:rPr>
        <w:t xml:space="preserve">dministrative </w:t>
      </w:r>
      <w:r w:rsidR="00473805" w:rsidRPr="00473805">
        <w:rPr>
          <w:rFonts w:ascii="Times New Roman" w:hAnsi="Times New Roman" w:cs="Times New Roman"/>
          <w:sz w:val="24"/>
          <w:szCs w:val="24"/>
        </w:rPr>
        <w:t xml:space="preserve">procedures for distributing benefits, e.g., </w:t>
      </w:r>
      <w:r>
        <w:rPr>
          <w:rFonts w:ascii="Times New Roman" w:hAnsi="Times New Roman" w:cs="Times New Roman"/>
          <w:sz w:val="24"/>
          <w:szCs w:val="24"/>
        </w:rPr>
        <w:t xml:space="preserve">the </w:t>
      </w:r>
      <w:r w:rsidR="00473805" w:rsidRPr="00473805">
        <w:rPr>
          <w:rFonts w:ascii="Times New Roman" w:hAnsi="Times New Roman" w:cs="Times New Roman"/>
          <w:sz w:val="24"/>
          <w:szCs w:val="24"/>
        </w:rPr>
        <w:t>date by which elections must be made; and</w:t>
      </w:r>
    </w:p>
    <w:p w:rsidR="00473805" w:rsidRPr="00473805" w:rsidRDefault="00D871E3" w:rsidP="00473805">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r</w:t>
      </w:r>
      <w:r w:rsidRPr="00473805">
        <w:rPr>
          <w:rFonts w:ascii="Times New Roman" w:hAnsi="Times New Roman" w:cs="Times New Roman"/>
          <w:sz w:val="24"/>
          <w:szCs w:val="24"/>
        </w:rPr>
        <w:t xml:space="preserve">ights </w:t>
      </w:r>
      <w:r w:rsidR="00473805" w:rsidRPr="00473805">
        <w:rPr>
          <w:rFonts w:ascii="Times New Roman" w:hAnsi="Times New Roman" w:cs="Times New Roman"/>
          <w:sz w:val="24"/>
          <w:szCs w:val="24"/>
        </w:rPr>
        <w:t xml:space="preserve">that derive from administrative and operational procedures, e.g., </w:t>
      </w:r>
      <w:r w:rsidR="00323571">
        <w:rPr>
          <w:rFonts w:ascii="Times New Roman" w:hAnsi="Times New Roman" w:cs="Times New Roman"/>
          <w:sz w:val="24"/>
          <w:szCs w:val="24"/>
        </w:rPr>
        <w:t xml:space="preserve">the </w:t>
      </w:r>
      <w:r w:rsidR="00473805" w:rsidRPr="00473805">
        <w:rPr>
          <w:rFonts w:ascii="Times New Roman" w:hAnsi="Times New Roman" w:cs="Times New Roman"/>
          <w:sz w:val="24"/>
          <w:szCs w:val="24"/>
        </w:rPr>
        <w:t>mechanics of allocating investment experience among accounts in a defined contribution plan.</w:t>
      </w:r>
    </w:p>
    <w:p w:rsidR="00473805" w:rsidRDefault="00473805" w:rsidP="00473805">
      <w:pPr>
        <w:pStyle w:val="NoSpacing"/>
        <w:ind w:left="720"/>
        <w:rPr>
          <w:rFonts w:ascii="Times New Roman" w:hAnsi="Times New Roman" w:cs="Times New Roman"/>
          <w:sz w:val="24"/>
          <w:szCs w:val="24"/>
        </w:rPr>
      </w:pPr>
    </w:p>
    <w:p w:rsidR="00473805" w:rsidRDefault="00473805" w:rsidP="00473805">
      <w:pPr>
        <w:pStyle w:val="NoSpacing"/>
        <w:ind w:left="720"/>
        <w:rPr>
          <w:rFonts w:ascii="Times New Roman" w:hAnsi="Times New Roman" w:cs="Times New Roman"/>
          <w:sz w:val="24"/>
          <w:szCs w:val="24"/>
        </w:rPr>
      </w:pPr>
      <w:r w:rsidRPr="00473805">
        <w:rPr>
          <w:rFonts w:ascii="Times New Roman" w:hAnsi="Times New Roman" w:cs="Times New Roman"/>
          <w:sz w:val="24"/>
          <w:szCs w:val="24"/>
        </w:rPr>
        <w:t xml:space="preserve">The term “ancillary benefits,” as part of BRFs, refers to Social Security supplements and disability benefits, ancillary life and health insurance benefits, death benefits in a defined </w:t>
      </w:r>
      <w:r w:rsidRPr="00473805">
        <w:rPr>
          <w:rFonts w:ascii="Times New Roman" w:hAnsi="Times New Roman" w:cs="Times New Roman"/>
          <w:sz w:val="24"/>
          <w:szCs w:val="24"/>
        </w:rPr>
        <w:lastRenderedPageBreak/>
        <w:t>contribution plan, preretirement death benefits in a defined benefit plan, plant shut-down benefits, and other similar benefits.</w:t>
      </w:r>
      <w:r>
        <w:rPr>
          <w:rFonts w:ascii="Times New Roman" w:hAnsi="Times New Roman" w:cs="Times New Roman"/>
          <w:sz w:val="24"/>
          <w:szCs w:val="24"/>
        </w:rPr>
        <w:t xml:space="preserve"> </w:t>
      </w:r>
      <w:r w:rsidRPr="00473805">
        <w:rPr>
          <w:rFonts w:ascii="Times New Roman" w:hAnsi="Times New Roman" w:cs="Times New Roman"/>
          <w:sz w:val="24"/>
          <w:szCs w:val="24"/>
        </w:rPr>
        <w:t xml:space="preserve"> Social Security supplements provide additional retirement benefits to employees who retire and begin receiving benefits before their Social Security benefits begin and usually continue until the employee is eligible for Social Security benefits.</w:t>
      </w:r>
      <w:r>
        <w:rPr>
          <w:rFonts w:ascii="Times New Roman" w:hAnsi="Times New Roman" w:cs="Times New Roman"/>
          <w:sz w:val="24"/>
          <w:szCs w:val="24"/>
        </w:rPr>
        <w:t xml:space="preserve"> </w:t>
      </w:r>
      <w:r w:rsidRPr="00473805">
        <w:rPr>
          <w:rFonts w:ascii="Times New Roman" w:hAnsi="Times New Roman" w:cs="Times New Roman"/>
          <w:sz w:val="24"/>
          <w:szCs w:val="24"/>
        </w:rPr>
        <w:t xml:space="preserve"> Disability benefits would be those payable in the event of disability to the extent they are in excess of the benefit the employee would otherwise receive on termination of employment for reasons other than disability. Similarly, death benefits in a defined contribution plan and preretirement death benefits in a defined benefit plan</w:t>
      </w:r>
      <w:r w:rsidR="009B51AE">
        <w:rPr>
          <w:rFonts w:ascii="Times New Roman" w:hAnsi="Times New Roman" w:cs="Times New Roman"/>
          <w:sz w:val="24"/>
          <w:szCs w:val="24"/>
        </w:rPr>
        <w:t xml:space="preserve"> </w:t>
      </w:r>
      <w:r w:rsidRPr="00473805">
        <w:rPr>
          <w:rFonts w:ascii="Times New Roman" w:hAnsi="Times New Roman" w:cs="Times New Roman"/>
          <w:sz w:val="24"/>
          <w:szCs w:val="24"/>
        </w:rPr>
        <w:t xml:space="preserve"> would be ancillary benefits to the extent they are in excess of the benefits that the employee would otherwise receive in the event of termination for reasons other than death.</w:t>
      </w:r>
    </w:p>
    <w:p w:rsidR="00205143" w:rsidRPr="00473805" w:rsidRDefault="00205143" w:rsidP="007502D4">
      <w:pPr>
        <w:pStyle w:val="NoSpacing"/>
        <w:ind w:left="720"/>
        <w:rPr>
          <w:rFonts w:ascii="Times New Roman" w:hAnsi="Times New Roman" w:cs="Times New Roman"/>
          <w:sz w:val="24"/>
          <w:szCs w:val="24"/>
        </w:rPr>
      </w:pPr>
    </w:p>
    <w:p w:rsidR="007502D4" w:rsidRDefault="007502D4" w:rsidP="00A81E29">
      <w:pPr>
        <w:pStyle w:val="NoSpacing"/>
        <w:ind w:left="720"/>
        <w:rPr>
          <w:rFonts w:ascii="Times New Roman" w:eastAsia="Times New Roman" w:hAnsi="Times New Roman" w:cs="Times New Roman"/>
          <w:sz w:val="24"/>
          <w:szCs w:val="24"/>
        </w:rPr>
      </w:pPr>
    </w:p>
    <w:p w:rsidR="005A5957" w:rsidRDefault="005A5957" w:rsidP="0033241C">
      <w:pPr>
        <w:pStyle w:val="NoSpacing"/>
        <w:rPr>
          <w:rFonts w:ascii="Times New Roman" w:hAnsi="Times New Roman" w:cs="Times New Roman"/>
          <w:b/>
          <w:sz w:val="24"/>
          <w:szCs w:val="24"/>
        </w:rPr>
      </w:pPr>
      <w:r>
        <w:rPr>
          <w:rFonts w:ascii="Times New Roman" w:hAnsi="Times New Roman" w:cs="Times New Roman"/>
          <w:b/>
          <w:sz w:val="24"/>
          <w:szCs w:val="24"/>
        </w:rPr>
        <w:br/>
      </w:r>
    </w:p>
    <w:p w:rsidR="007A2439" w:rsidRPr="00AE6419" w:rsidRDefault="00083D57" w:rsidP="007A2439">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E7323E">
        <w:rPr>
          <w:rFonts w:ascii="Times New Roman" w:hAnsi="Times New Roman" w:cs="Times New Roman"/>
          <w:b/>
          <w:sz w:val="24"/>
          <w:szCs w:val="24"/>
        </w:rPr>
        <w:t>.</w:t>
      </w:r>
      <w:r w:rsidR="007C766E">
        <w:rPr>
          <w:rFonts w:ascii="Times New Roman" w:hAnsi="Times New Roman" w:cs="Times New Roman"/>
          <w:b/>
          <w:sz w:val="24"/>
          <w:szCs w:val="24"/>
        </w:rPr>
        <w:t>1</w:t>
      </w:r>
      <w:r w:rsidR="00824E48">
        <w:rPr>
          <w:rFonts w:ascii="Times New Roman" w:hAnsi="Times New Roman" w:cs="Times New Roman"/>
          <w:b/>
          <w:sz w:val="24"/>
          <w:szCs w:val="24"/>
        </w:rPr>
        <w:t>6</w:t>
      </w:r>
      <w:r w:rsidR="00E7323E">
        <w:rPr>
          <w:rFonts w:ascii="Times New Roman" w:hAnsi="Times New Roman" w:cs="Times New Roman"/>
          <w:b/>
          <w:sz w:val="24"/>
          <w:szCs w:val="24"/>
        </w:rPr>
        <w:t xml:space="preserve">:  </w:t>
      </w:r>
      <w:r w:rsidR="00B16F4D">
        <w:rPr>
          <w:rFonts w:ascii="Times New Roman" w:hAnsi="Times New Roman" w:cs="Times New Roman"/>
          <w:b/>
          <w:sz w:val="24"/>
          <w:szCs w:val="24"/>
        </w:rPr>
        <w:t xml:space="preserve">What is </w:t>
      </w:r>
      <w:r w:rsidR="00AC2BF5" w:rsidRPr="00AC2BF5">
        <w:rPr>
          <w:rFonts w:ascii="Times New Roman" w:hAnsi="Times New Roman" w:cs="Times New Roman"/>
          <w:b/>
          <w:sz w:val="24"/>
          <w:szCs w:val="24"/>
        </w:rPr>
        <w:t xml:space="preserve">the </w:t>
      </w:r>
      <w:r w:rsidR="00B16F4D">
        <w:rPr>
          <w:rFonts w:ascii="Times New Roman" w:hAnsi="Times New Roman" w:cs="Times New Roman"/>
          <w:b/>
          <w:sz w:val="24"/>
          <w:szCs w:val="24"/>
        </w:rPr>
        <w:t>test</w:t>
      </w:r>
      <w:r w:rsidR="00AC2BF5">
        <w:rPr>
          <w:rFonts w:ascii="Times New Roman" w:hAnsi="Times New Roman" w:cs="Times New Roman"/>
          <w:b/>
          <w:sz w:val="24"/>
          <w:szCs w:val="24"/>
        </w:rPr>
        <w:t xml:space="preserve"> </w:t>
      </w:r>
      <w:r w:rsidR="00AC2BF5" w:rsidRPr="00AC2BF5">
        <w:rPr>
          <w:rFonts w:ascii="Times New Roman" w:hAnsi="Times New Roman" w:cs="Times New Roman"/>
          <w:b/>
          <w:sz w:val="24"/>
          <w:szCs w:val="24"/>
        </w:rPr>
        <w:t>for nondiscrimination</w:t>
      </w:r>
      <w:r w:rsidR="00AC2BF5">
        <w:rPr>
          <w:rFonts w:ascii="Times New Roman" w:hAnsi="Times New Roman" w:cs="Times New Roman"/>
          <w:b/>
          <w:sz w:val="24"/>
          <w:szCs w:val="24"/>
        </w:rPr>
        <w:t xml:space="preserve"> </w:t>
      </w:r>
      <w:r w:rsidR="00AC2BF5" w:rsidRPr="00AC2BF5">
        <w:rPr>
          <w:rFonts w:ascii="Times New Roman" w:hAnsi="Times New Roman" w:cs="Times New Roman"/>
          <w:b/>
          <w:sz w:val="24"/>
          <w:szCs w:val="24"/>
        </w:rPr>
        <w:t>in</w:t>
      </w:r>
      <w:r w:rsidR="000F0CFF">
        <w:rPr>
          <w:rFonts w:ascii="Times New Roman" w:hAnsi="Times New Roman" w:cs="Times New Roman"/>
          <w:b/>
          <w:sz w:val="24"/>
          <w:szCs w:val="24"/>
        </w:rPr>
        <w:t xml:space="preserve"> </w:t>
      </w:r>
      <w:r w:rsidR="00A0158C">
        <w:rPr>
          <w:rFonts w:ascii="Times New Roman" w:hAnsi="Times New Roman" w:cs="Times New Roman"/>
          <w:b/>
          <w:sz w:val="24"/>
          <w:szCs w:val="24"/>
        </w:rPr>
        <w:t xml:space="preserve">the </w:t>
      </w:r>
      <w:r w:rsidR="00AC2BF5" w:rsidRPr="00AC2BF5">
        <w:rPr>
          <w:rFonts w:ascii="Times New Roman" w:hAnsi="Times New Roman" w:cs="Times New Roman"/>
          <w:b/>
          <w:sz w:val="24"/>
          <w:szCs w:val="24"/>
        </w:rPr>
        <w:t>amount of benefits and contributions</w:t>
      </w:r>
      <w:r w:rsidR="00B16F4D">
        <w:rPr>
          <w:rFonts w:ascii="Times New Roman" w:hAnsi="Times New Roman" w:cs="Times New Roman"/>
          <w:b/>
          <w:sz w:val="24"/>
          <w:szCs w:val="24"/>
        </w:rPr>
        <w:t>?</w:t>
      </w:r>
    </w:p>
    <w:p w:rsidR="00AC2BF5" w:rsidRDefault="00AC2BF5" w:rsidP="00AC2BF5">
      <w:pPr>
        <w:pStyle w:val="ListParagraph"/>
        <w:widowControl w:val="0"/>
        <w:tabs>
          <w:tab w:val="decimal" w:pos="680"/>
          <w:tab w:val="left" w:pos="840"/>
        </w:tabs>
        <w:autoSpaceDE w:val="0"/>
        <w:autoSpaceDN w:val="0"/>
        <w:adjustRightInd w:val="0"/>
        <w:spacing w:line="240" w:lineRule="exact"/>
        <w:ind w:left="915"/>
        <w:jc w:val="both"/>
      </w:pPr>
    </w:p>
    <w:p w:rsidR="00AC2BF5" w:rsidRDefault="00182097" w:rsidP="00B73D51">
      <w:pPr>
        <w:pStyle w:val="ListParagraph"/>
        <w:widowControl w:val="0"/>
        <w:tabs>
          <w:tab w:val="decimal" w:pos="680"/>
          <w:tab w:val="left" w:pos="840"/>
        </w:tabs>
        <w:autoSpaceDE w:val="0"/>
        <w:autoSpaceDN w:val="0"/>
        <w:adjustRightInd w:val="0"/>
        <w:spacing w:line="240" w:lineRule="exact"/>
        <w:jc w:val="both"/>
      </w:pPr>
      <w:r>
        <w:t>T</w:t>
      </w:r>
      <w:r w:rsidR="00AC2BF5">
        <w:t xml:space="preserve">he nondiscriminatory </w:t>
      </w:r>
      <w:r>
        <w:t>in</w:t>
      </w:r>
      <w:r w:rsidR="000F0CFF">
        <w:t xml:space="preserve"> </w:t>
      </w:r>
      <w:r w:rsidR="00AC2BF5">
        <w:t xml:space="preserve">amount </w:t>
      </w:r>
      <w:r w:rsidR="00B16F4D">
        <w:t>test</w:t>
      </w:r>
      <w:r w:rsidR="00AC2BF5">
        <w:t xml:space="preserve"> may be satisfied in any one of the following three ways:</w:t>
      </w:r>
      <w:r w:rsidR="000F0CFF">
        <w:rPr>
          <w:rStyle w:val="FootnoteReference"/>
        </w:rPr>
        <w:footnoteReference w:id="24"/>
      </w:r>
    </w:p>
    <w:p w:rsidR="00AC2BF5" w:rsidRDefault="000F0CFF" w:rsidP="00B73D51">
      <w:pPr>
        <w:pStyle w:val="ListParagraph"/>
        <w:widowControl w:val="0"/>
        <w:numPr>
          <w:ilvl w:val="0"/>
          <w:numId w:val="21"/>
        </w:numPr>
        <w:tabs>
          <w:tab w:val="decimal" w:pos="680"/>
          <w:tab w:val="left" w:pos="840"/>
        </w:tabs>
        <w:autoSpaceDE w:val="0"/>
        <w:autoSpaceDN w:val="0"/>
        <w:adjustRightInd w:val="0"/>
        <w:spacing w:line="240" w:lineRule="exact"/>
        <w:jc w:val="both"/>
      </w:pPr>
      <w:r>
        <w:t xml:space="preserve">safe </w:t>
      </w:r>
      <w:r w:rsidR="00AC2BF5">
        <w:t>harbor testing,</w:t>
      </w:r>
    </w:p>
    <w:p w:rsidR="00B73D51" w:rsidRDefault="000F0CFF" w:rsidP="00B73D51">
      <w:pPr>
        <w:pStyle w:val="ListParagraph"/>
        <w:widowControl w:val="0"/>
        <w:numPr>
          <w:ilvl w:val="0"/>
          <w:numId w:val="21"/>
        </w:numPr>
        <w:tabs>
          <w:tab w:val="decimal" w:pos="680"/>
          <w:tab w:val="left" w:pos="840"/>
        </w:tabs>
        <w:autoSpaceDE w:val="0"/>
        <w:autoSpaceDN w:val="0"/>
        <w:adjustRightInd w:val="0"/>
        <w:spacing w:line="240" w:lineRule="exact"/>
        <w:jc w:val="both"/>
      </w:pPr>
      <w:r>
        <w:t xml:space="preserve">the </w:t>
      </w:r>
      <w:r w:rsidR="00B73D51">
        <w:t>general nondiscrimination test, or</w:t>
      </w:r>
    </w:p>
    <w:p w:rsidR="00B73D51" w:rsidRDefault="000F0CFF" w:rsidP="00B73D51">
      <w:pPr>
        <w:pStyle w:val="ListParagraph"/>
        <w:widowControl w:val="0"/>
        <w:numPr>
          <w:ilvl w:val="0"/>
          <w:numId w:val="21"/>
        </w:numPr>
        <w:tabs>
          <w:tab w:val="decimal" w:pos="680"/>
          <w:tab w:val="left" w:pos="840"/>
        </w:tabs>
        <w:autoSpaceDE w:val="0"/>
        <w:autoSpaceDN w:val="0"/>
        <w:adjustRightInd w:val="0"/>
        <w:spacing w:line="240" w:lineRule="exact"/>
        <w:jc w:val="both"/>
      </w:pPr>
      <w:r>
        <w:t>a n</w:t>
      </w:r>
      <w:r w:rsidRPr="00AC2BF5">
        <w:t xml:space="preserve">ew </w:t>
      </w:r>
      <w:r w:rsidR="00B73D51" w:rsidRPr="00AC2BF5">
        <w:t xml:space="preserve">comparability plan, </w:t>
      </w:r>
      <w:r>
        <w:t>in which</w:t>
      </w:r>
      <w:r w:rsidRPr="00AC2BF5">
        <w:t xml:space="preserve"> </w:t>
      </w:r>
      <w:r w:rsidR="00B73D51" w:rsidRPr="00AC2BF5">
        <w:t>contributions are converted to equivalent benefits as in a defined benefit plan.</w:t>
      </w:r>
    </w:p>
    <w:p w:rsidR="00205143" w:rsidRDefault="00205143" w:rsidP="00DF6AF3">
      <w:pPr>
        <w:widowControl w:val="0"/>
        <w:tabs>
          <w:tab w:val="decimal" w:pos="680"/>
          <w:tab w:val="left" w:pos="840"/>
        </w:tabs>
        <w:autoSpaceDE w:val="0"/>
        <w:autoSpaceDN w:val="0"/>
        <w:adjustRightInd w:val="0"/>
        <w:spacing w:line="240" w:lineRule="exact"/>
        <w:ind w:left="680"/>
        <w:jc w:val="both"/>
        <w:rPr>
          <w:sz w:val="20"/>
          <w:szCs w:val="20"/>
        </w:rPr>
      </w:pPr>
    </w:p>
    <w:p w:rsidR="00DF6AF3" w:rsidRDefault="00DF6AF3" w:rsidP="00AC2BF5">
      <w:pPr>
        <w:widowControl w:val="0"/>
        <w:tabs>
          <w:tab w:val="decimal" w:pos="680"/>
          <w:tab w:val="left" w:pos="840"/>
        </w:tabs>
        <w:autoSpaceDE w:val="0"/>
        <w:autoSpaceDN w:val="0"/>
        <w:adjustRightInd w:val="0"/>
        <w:spacing w:line="240" w:lineRule="exact"/>
        <w:jc w:val="both"/>
      </w:pPr>
    </w:p>
    <w:p w:rsidR="00DF6AF3" w:rsidRPr="00A314C4" w:rsidRDefault="0074138B" w:rsidP="00A314C4">
      <w:pPr>
        <w:pStyle w:val="NoSpacing"/>
        <w:ind w:left="720"/>
        <w:rPr>
          <w:rFonts w:ascii="Times New Roman" w:eastAsia="Times New Roman" w:hAnsi="Times New Roman" w:cs="Times New Roman"/>
          <w:sz w:val="20"/>
          <w:szCs w:val="20"/>
        </w:rPr>
      </w:pPr>
      <w:r w:rsidRPr="00A314C4">
        <w:rPr>
          <w:rFonts w:ascii="Times New Roman" w:hAnsi="Times New Roman" w:cs="Times New Roman"/>
          <w:b/>
          <w:sz w:val="24"/>
          <w:szCs w:val="24"/>
        </w:rPr>
        <w:t>Practi</w:t>
      </w:r>
      <w:r w:rsidR="0041467F">
        <w:rPr>
          <w:rFonts w:ascii="Times New Roman" w:hAnsi="Times New Roman" w:cs="Times New Roman"/>
          <w:b/>
          <w:sz w:val="24"/>
          <w:szCs w:val="24"/>
        </w:rPr>
        <w:t>ce Point:</w:t>
      </w:r>
      <w:r w:rsidR="00AC2BF5" w:rsidRPr="00A314C4">
        <w:rPr>
          <w:rFonts w:ascii="Times New Roman" w:hAnsi="Times New Roman" w:cs="Times New Roman"/>
          <w:sz w:val="24"/>
          <w:szCs w:val="24"/>
        </w:rPr>
        <w:t xml:space="preserve"> The above alternatives for satisfying nondiscrimination in benefits and contributions may not be used for 401(k) contributions (employee deferrals) or 401(m) contributions (employer matching or employee </w:t>
      </w:r>
      <w:r w:rsidR="00A0158C" w:rsidRPr="00A314C4">
        <w:rPr>
          <w:rFonts w:ascii="Times New Roman" w:hAnsi="Times New Roman" w:cs="Times New Roman"/>
          <w:sz w:val="24"/>
          <w:szCs w:val="24"/>
        </w:rPr>
        <w:t>after</w:t>
      </w:r>
      <w:r w:rsidR="00A0158C">
        <w:rPr>
          <w:rFonts w:ascii="Times New Roman" w:hAnsi="Times New Roman" w:cs="Times New Roman"/>
          <w:sz w:val="24"/>
          <w:szCs w:val="24"/>
        </w:rPr>
        <w:t>-</w:t>
      </w:r>
      <w:r w:rsidR="00AC2BF5" w:rsidRPr="00A314C4">
        <w:rPr>
          <w:rFonts w:ascii="Times New Roman" w:hAnsi="Times New Roman" w:cs="Times New Roman"/>
          <w:sz w:val="24"/>
          <w:szCs w:val="24"/>
        </w:rPr>
        <w:t xml:space="preserve">tax contributions).  Both 401(k) and 401(m) contributions must satisfy nondiscrimination based solely on the ADP test for deferrals and the ACP test for matching and </w:t>
      </w:r>
      <w:r w:rsidR="00A0158C" w:rsidRPr="00A314C4">
        <w:rPr>
          <w:rFonts w:ascii="Times New Roman" w:hAnsi="Times New Roman" w:cs="Times New Roman"/>
          <w:sz w:val="24"/>
          <w:szCs w:val="24"/>
        </w:rPr>
        <w:t>after</w:t>
      </w:r>
      <w:r w:rsidR="00A0158C">
        <w:rPr>
          <w:rFonts w:ascii="Times New Roman" w:hAnsi="Times New Roman" w:cs="Times New Roman"/>
          <w:sz w:val="24"/>
          <w:szCs w:val="24"/>
        </w:rPr>
        <w:t>-</w:t>
      </w:r>
      <w:r w:rsidR="00AC2BF5" w:rsidRPr="00A314C4">
        <w:rPr>
          <w:rFonts w:ascii="Times New Roman" w:hAnsi="Times New Roman" w:cs="Times New Roman"/>
          <w:sz w:val="24"/>
          <w:szCs w:val="24"/>
        </w:rPr>
        <w:t>tax employee contributions (see Chapter 6).</w:t>
      </w:r>
      <w:r w:rsidR="007425AE">
        <w:rPr>
          <w:rStyle w:val="FootnoteReference"/>
          <w:rFonts w:ascii="Times New Roman" w:hAnsi="Times New Roman" w:cs="Times New Roman"/>
          <w:sz w:val="24"/>
          <w:szCs w:val="24"/>
        </w:rPr>
        <w:footnoteReference w:id="25"/>
      </w:r>
      <w:r w:rsidR="00A314C4">
        <w:rPr>
          <w:rFonts w:ascii="Times New Roman" w:hAnsi="Times New Roman" w:cs="Times New Roman"/>
          <w:sz w:val="24"/>
          <w:szCs w:val="24"/>
        </w:rPr>
        <w:t xml:space="preserve"> </w:t>
      </w:r>
    </w:p>
    <w:p w:rsidR="00DF6AF3" w:rsidRDefault="00DF6AF3" w:rsidP="007C427C">
      <w:pPr>
        <w:widowControl w:val="0"/>
        <w:tabs>
          <w:tab w:val="decimal" w:pos="680"/>
          <w:tab w:val="left" w:pos="840"/>
        </w:tabs>
        <w:autoSpaceDE w:val="0"/>
        <w:autoSpaceDN w:val="0"/>
        <w:adjustRightInd w:val="0"/>
        <w:spacing w:line="240" w:lineRule="exact"/>
        <w:jc w:val="both"/>
        <w:rPr>
          <w:kern w:val="1"/>
        </w:rPr>
      </w:pPr>
    </w:p>
    <w:p w:rsidR="007A2439" w:rsidRPr="00AE6419" w:rsidRDefault="007A2439" w:rsidP="0033241C">
      <w:pPr>
        <w:pStyle w:val="NoSpacing"/>
        <w:rPr>
          <w:rFonts w:ascii="Times New Roman" w:hAnsi="Times New Roman" w:cs="Times New Roman"/>
          <w:b/>
          <w:sz w:val="24"/>
          <w:szCs w:val="24"/>
        </w:rPr>
      </w:pPr>
    </w:p>
    <w:p w:rsidR="00351C40" w:rsidRDefault="00351C40" w:rsidP="00351C40">
      <w:pPr>
        <w:pStyle w:val="NoSpacing"/>
        <w:ind w:left="720"/>
        <w:rPr>
          <w:rFonts w:ascii="Times New Roman" w:hAnsi="Times New Roman" w:cs="Times New Roman"/>
          <w:sz w:val="24"/>
          <w:szCs w:val="24"/>
        </w:rPr>
      </w:pPr>
    </w:p>
    <w:p w:rsidR="00351C40" w:rsidRPr="00E7323E" w:rsidRDefault="00083D57" w:rsidP="00E7323E">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00E7323E" w:rsidRPr="00E7323E">
        <w:rPr>
          <w:rFonts w:ascii="Times New Roman" w:hAnsi="Times New Roman" w:cs="Times New Roman"/>
          <w:b/>
          <w:sz w:val="24"/>
          <w:szCs w:val="24"/>
        </w:rPr>
        <w:t>.</w:t>
      </w:r>
      <w:r w:rsidR="007C766E">
        <w:rPr>
          <w:rFonts w:ascii="Times New Roman" w:hAnsi="Times New Roman" w:cs="Times New Roman"/>
          <w:b/>
          <w:sz w:val="24"/>
          <w:szCs w:val="24"/>
        </w:rPr>
        <w:t>1</w:t>
      </w:r>
      <w:r w:rsidR="00824E48">
        <w:rPr>
          <w:rFonts w:ascii="Times New Roman" w:hAnsi="Times New Roman" w:cs="Times New Roman"/>
          <w:b/>
          <w:sz w:val="24"/>
          <w:szCs w:val="24"/>
        </w:rPr>
        <w:t>7</w:t>
      </w:r>
      <w:r w:rsidR="00E7323E" w:rsidRPr="00E7323E">
        <w:rPr>
          <w:rFonts w:ascii="Times New Roman" w:hAnsi="Times New Roman" w:cs="Times New Roman"/>
          <w:b/>
          <w:sz w:val="24"/>
          <w:szCs w:val="24"/>
        </w:rPr>
        <w:t>:  What are the safe harbor tests</w:t>
      </w:r>
      <w:r w:rsidR="00182097">
        <w:rPr>
          <w:rFonts w:ascii="Times New Roman" w:hAnsi="Times New Roman" w:cs="Times New Roman"/>
          <w:b/>
          <w:sz w:val="24"/>
          <w:szCs w:val="24"/>
        </w:rPr>
        <w:t xml:space="preserve"> for a defined contribution plan</w:t>
      </w:r>
      <w:r w:rsidR="00E7323E" w:rsidRPr="00E7323E">
        <w:rPr>
          <w:rFonts w:ascii="Times New Roman" w:hAnsi="Times New Roman" w:cs="Times New Roman"/>
          <w:b/>
          <w:sz w:val="24"/>
          <w:szCs w:val="24"/>
        </w:rPr>
        <w:t>?</w:t>
      </w:r>
    </w:p>
    <w:p w:rsidR="00351C40" w:rsidRDefault="00351C40" w:rsidP="00351C40">
      <w:pPr>
        <w:pStyle w:val="NoSpacing"/>
        <w:ind w:left="720"/>
        <w:rPr>
          <w:rFonts w:ascii="Times New Roman" w:hAnsi="Times New Roman" w:cs="Times New Roman"/>
          <w:sz w:val="24"/>
          <w:szCs w:val="24"/>
        </w:rPr>
      </w:pPr>
    </w:p>
    <w:p w:rsidR="00E7323E" w:rsidRDefault="00E7323E" w:rsidP="0033241C">
      <w:pPr>
        <w:pStyle w:val="NoSpacing"/>
        <w:ind w:left="720"/>
        <w:rPr>
          <w:rFonts w:ascii="Times New Roman" w:hAnsi="Times New Roman" w:cs="Times New Roman"/>
          <w:sz w:val="24"/>
          <w:szCs w:val="24"/>
        </w:rPr>
      </w:pPr>
      <w:r w:rsidRPr="00E7323E">
        <w:rPr>
          <w:rFonts w:ascii="Times New Roman" w:hAnsi="Times New Roman" w:cs="Times New Roman"/>
          <w:sz w:val="24"/>
          <w:szCs w:val="24"/>
        </w:rPr>
        <w:t>The two alternative safe harbor tests to satisfy the nondiscrimination</w:t>
      </w:r>
      <w:r w:rsidR="00182097">
        <w:rPr>
          <w:rFonts w:ascii="Times New Roman" w:hAnsi="Times New Roman" w:cs="Times New Roman"/>
          <w:sz w:val="24"/>
          <w:szCs w:val="24"/>
        </w:rPr>
        <w:t xml:space="preserve"> </w:t>
      </w:r>
      <w:r w:rsidRPr="00E7323E">
        <w:rPr>
          <w:rFonts w:ascii="Times New Roman" w:hAnsi="Times New Roman" w:cs="Times New Roman"/>
          <w:sz w:val="24"/>
          <w:szCs w:val="24"/>
        </w:rPr>
        <w:t>in</w:t>
      </w:r>
      <w:r w:rsidR="007425AE">
        <w:rPr>
          <w:rFonts w:ascii="Times New Roman" w:hAnsi="Times New Roman" w:cs="Times New Roman"/>
          <w:sz w:val="24"/>
          <w:szCs w:val="24"/>
        </w:rPr>
        <w:t xml:space="preserve"> </w:t>
      </w:r>
      <w:r w:rsidRPr="00E7323E">
        <w:rPr>
          <w:rFonts w:ascii="Times New Roman" w:hAnsi="Times New Roman" w:cs="Times New Roman"/>
          <w:sz w:val="24"/>
          <w:szCs w:val="24"/>
        </w:rPr>
        <w:t xml:space="preserve">amount test </w:t>
      </w:r>
      <w:r w:rsidR="00BD500D">
        <w:rPr>
          <w:rFonts w:ascii="Times New Roman" w:hAnsi="Times New Roman" w:cs="Times New Roman"/>
          <w:sz w:val="24"/>
          <w:szCs w:val="24"/>
        </w:rPr>
        <w:t xml:space="preserve">for a defined contribution plan </w:t>
      </w:r>
      <w:r w:rsidRPr="00E7323E">
        <w:rPr>
          <w:rFonts w:ascii="Times New Roman" w:hAnsi="Times New Roman" w:cs="Times New Roman"/>
          <w:sz w:val="24"/>
          <w:szCs w:val="24"/>
        </w:rPr>
        <w:t>are</w:t>
      </w:r>
      <w:r w:rsidR="007425AE">
        <w:rPr>
          <w:rFonts w:ascii="Times New Roman" w:hAnsi="Times New Roman" w:cs="Times New Roman"/>
          <w:sz w:val="24"/>
          <w:szCs w:val="24"/>
        </w:rPr>
        <w:t xml:space="preserve"> as follows</w:t>
      </w:r>
      <w:r w:rsidRPr="00E7323E">
        <w:rPr>
          <w:rFonts w:ascii="Times New Roman" w:hAnsi="Times New Roman" w:cs="Times New Roman"/>
          <w:sz w:val="24"/>
          <w:szCs w:val="24"/>
        </w:rPr>
        <w:t>:</w:t>
      </w:r>
      <w:r w:rsidR="007425AE">
        <w:rPr>
          <w:rStyle w:val="FootnoteReference"/>
          <w:rFonts w:ascii="Times New Roman" w:hAnsi="Times New Roman" w:cs="Times New Roman"/>
          <w:sz w:val="24"/>
          <w:szCs w:val="24"/>
        </w:rPr>
        <w:footnoteReference w:id="26"/>
      </w:r>
    </w:p>
    <w:p w:rsidR="00E7323E" w:rsidRDefault="00E7323E" w:rsidP="00E7323E">
      <w:pPr>
        <w:pStyle w:val="NoSpacing"/>
        <w:numPr>
          <w:ilvl w:val="0"/>
          <w:numId w:val="8"/>
        </w:numPr>
        <w:rPr>
          <w:rFonts w:ascii="Times New Roman" w:hAnsi="Times New Roman" w:cs="Times New Roman"/>
          <w:sz w:val="24"/>
          <w:szCs w:val="24"/>
        </w:rPr>
      </w:pPr>
      <w:r w:rsidRPr="00E7323E">
        <w:rPr>
          <w:rFonts w:ascii="Times New Roman" w:hAnsi="Times New Roman" w:cs="Times New Roman"/>
          <w:sz w:val="24"/>
          <w:szCs w:val="24"/>
        </w:rPr>
        <w:t>The uniform allocation formula method is applied by using the same percentage of compensation or the same dollar amount for each participant for the purposes of plan contributions and forfeitures.</w:t>
      </w:r>
    </w:p>
    <w:p w:rsidR="00E7323E" w:rsidRDefault="00090E8C" w:rsidP="00090E8C">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This is a c</w:t>
      </w:r>
      <w:r w:rsidRPr="00090E8C">
        <w:rPr>
          <w:rFonts w:ascii="Times New Roman" w:hAnsi="Times New Roman" w:cs="Times New Roman"/>
          <w:sz w:val="24"/>
          <w:szCs w:val="24"/>
        </w:rPr>
        <w:t>ommon approach used for profit</w:t>
      </w:r>
      <w:r w:rsidR="007425AE">
        <w:rPr>
          <w:rFonts w:ascii="Times New Roman" w:hAnsi="Times New Roman" w:cs="Times New Roman"/>
          <w:sz w:val="24"/>
          <w:szCs w:val="24"/>
        </w:rPr>
        <w:t xml:space="preserve"> </w:t>
      </w:r>
      <w:r w:rsidRPr="00090E8C">
        <w:rPr>
          <w:rFonts w:ascii="Times New Roman" w:hAnsi="Times New Roman" w:cs="Times New Roman"/>
          <w:sz w:val="24"/>
          <w:szCs w:val="24"/>
        </w:rPr>
        <w:t>sharing or money purchase plans</w:t>
      </w:r>
      <w:r w:rsidR="007425AE">
        <w:rPr>
          <w:rFonts w:ascii="Times New Roman" w:hAnsi="Times New Roman" w:cs="Times New Roman"/>
          <w:sz w:val="24"/>
          <w:szCs w:val="24"/>
        </w:rPr>
        <w:t>.</w:t>
      </w:r>
      <w:r w:rsidRPr="00090E8C">
        <w:rPr>
          <w:rFonts w:ascii="Times New Roman" w:hAnsi="Times New Roman" w:cs="Times New Roman"/>
          <w:sz w:val="24"/>
          <w:szCs w:val="24"/>
        </w:rPr>
        <w:t xml:space="preserve"> (</w:t>
      </w:r>
      <w:r w:rsidR="007425AE">
        <w:rPr>
          <w:rFonts w:ascii="Times New Roman" w:hAnsi="Times New Roman" w:cs="Times New Roman"/>
          <w:sz w:val="24"/>
          <w:szCs w:val="24"/>
        </w:rPr>
        <w:t>S</w:t>
      </w:r>
      <w:r w:rsidR="007425AE" w:rsidRPr="00090E8C">
        <w:rPr>
          <w:rFonts w:ascii="Times New Roman" w:hAnsi="Times New Roman" w:cs="Times New Roman"/>
          <w:sz w:val="24"/>
          <w:szCs w:val="24"/>
        </w:rPr>
        <w:t xml:space="preserve">ocial </w:t>
      </w:r>
      <w:r w:rsidR="007425AE">
        <w:rPr>
          <w:rFonts w:ascii="Times New Roman" w:hAnsi="Times New Roman" w:cs="Times New Roman"/>
          <w:sz w:val="24"/>
          <w:szCs w:val="24"/>
        </w:rPr>
        <w:t>S</w:t>
      </w:r>
      <w:r w:rsidR="007425AE" w:rsidRPr="00090E8C">
        <w:rPr>
          <w:rFonts w:ascii="Times New Roman" w:hAnsi="Times New Roman" w:cs="Times New Roman"/>
          <w:sz w:val="24"/>
          <w:szCs w:val="24"/>
        </w:rPr>
        <w:t xml:space="preserve">ecurity </w:t>
      </w:r>
      <w:r w:rsidRPr="00090E8C">
        <w:rPr>
          <w:rFonts w:ascii="Times New Roman" w:hAnsi="Times New Roman" w:cs="Times New Roman"/>
          <w:sz w:val="24"/>
          <w:szCs w:val="24"/>
        </w:rPr>
        <w:t>integration is possible within limits</w:t>
      </w:r>
      <w:r w:rsidR="007425AE">
        <w:rPr>
          <w:rFonts w:ascii="Times New Roman" w:hAnsi="Times New Roman" w:cs="Times New Roman"/>
          <w:sz w:val="24"/>
          <w:szCs w:val="24"/>
        </w:rPr>
        <w:t>.</w:t>
      </w:r>
      <w:r w:rsidRPr="00090E8C">
        <w:rPr>
          <w:rFonts w:ascii="Times New Roman" w:hAnsi="Times New Roman" w:cs="Times New Roman"/>
          <w:sz w:val="24"/>
          <w:szCs w:val="24"/>
        </w:rPr>
        <w:t>)</w:t>
      </w:r>
    </w:p>
    <w:p w:rsidR="00090E8C" w:rsidRDefault="00E7323E" w:rsidP="00E7323E">
      <w:pPr>
        <w:pStyle w:val="NoSpacing"/>
        <w:numPr>
          <w:ilvl w:val="0"/>
          <w:numId w:val="8"/>
        </w:numPr>
        <w:rPr>
          <w:rFonts w:ascii="Times New Roman" w:hAnsi="Times New Roman" w:cs="Times New Roman"/>
          <w:sz w:val="24"/>
          <w:szCs w:val="24"/>
        </w:rPr>
      </w:pPr>
      <w:r w:rsidRPr="00E7323E">
        <w:rPr>
          <w:rFonts w:ascii="Times New Roman" w:hAnsi="Times New Roman" w:cs="Times New Roman"/>
          <w:sz w:val="24"/>
          <w:szCs w:val="24"/>
        </w:rPr>
        <w:lastRenderedPageBreak/>
        <w:t xml:space="preserve">The uniform allocation formula weighted for age or service method is available to plans that involve a </w:t>
      </w:r>
      <w:r w:rsidRPr="00090E8C">
        <w:rPr>
          <w:rFonts w:ascii="Times New Roman" w:hAnsi="Times New Roman" w:cs="Times New Roman"/>
          <w:i/>
          <w:sz w:val="24"/>
          <w:szCs w:val="24"/>
        </w:rPr>
        <w:t>point</w:t>
      </w:r>
      <w:r w:rsidRPr="00E7323E">
        <w:rPr>
          <w:rFonts w:ascii="Times New Roman" w:hAnsi="Times New Roman" w:cs="Times New Roman"/>
          <w:sz w:val="24"/>
          <w:szCs w:val="24"/>
        </w:rPr>
        <w:t xml:space="preserve"> allocation process.</w:t>
      </w:r>
    </w:p>
    <w:p w:rsidR="00E7323E" w:rsidRDefault="00090E8C" w:rsidP="00090E8C">
      <w:pPr>
        <w:pStyle w:val="NoSpacing"/>
        <w:numPr>
          <w:ilvl w:val="1"/>
          <w:numId w:val="8"/>
        </w:numPr>
        <w:rPr>
          <w:rFonts w:ascii="Times New Roman" w:hAnsi="Times New Roman" w:cs="Times New Roman"/>
          <w:sz w:val="24"/>
          <w:szCs w:val="24"/>
        </w:rPr>
      </w:pPr>
      <w:r w:rsidRPr="00090E8C">
        <w:rPr>
          <w:rFonts w:ascii="Times New Roman" w:hAnsi="Times New Roman" w:cs="Times New Roman"/>
          <w:sz w:val="24"/>
          <w:szCs w:val="24"/>
        </w:rPr>
        <w:t xml:space="preserve">Points </w:t>
      </w:r>
      <w:r>
        <w:rPr>
          <w:rFonts w:ascii="Times New Roman" w:hAnsi="Times New Roman" w:cs="Times New Roman"/>
          <w:sz w:val="24"/>
          <w:szCs w:val="24"/>
        </w:rPr>
        <w:t xml:space="preserve">are </w:t>
      </w:r>
      <w:r w:rsidRPr="00090E8C">
        <w:rPr>
          <w:rFonts w:ascii="Times New Roman" w:hAnsi="Times New Roman" w:cs="Times New Roman"/>
          <w:sz w:val="24"/>
          <w:szCs w:val="24"/>
        </w:rPr>
        <w:t>provided on uniform basis considering age</w:t>
      </w:r>
      <w:r w:rsidR="00A0158C">
        <w:rPr>
          <w:rFonts w:ascii="Times New Roman" w:hAnsi="Times New Roman" w:cs="Times New Roman"/>
          <w:sz w:val="24"/>
          <w:szCs w:val="24"/>
        </w:rPr>
        <w:t>,</w:t>
      </w:r>
      <w:r w:rsidRPr="00090E8C">
        <w:rPr>
          <w:rFonts w:ascii="Times New Roman" w:hAnsi="Times New Roman" w:cs="Times New Roman"/>
          <w:sz w:val="24"/>
          <w:szCs w:val="24"/>
        </w:rPr>
        <w:t xml:space="preserve"> service or compensation</w:t>
      </w:r>
      <w:r>
        <w:rPr>
          <w:rFonts w:ascii="Times New Roman" w:hAnsi="Times New Roman" w:cs="Times New Roman"/>
          <w:sz w:val="24"/>
          <w:szCs w:val="24"/>
        </w:rPr>
        <w:t>.</w:t>
      </w:r>
    </w:p>
    <w:p w:rsidR="005240E2" w:rsidRDefault="005240E2" w:rsidP="0033241C">
      <w:pPr>
        <w:pStyle w:val="NoSpacing"/>
        <w:ind w:left="1965"/>
        <w:rPr>
          <w:rFonts w:ascii="Times New Roman" w:hAnsi="Times New Roman" w:cs="Times New Roman"/>
          <w:sz w:val="24"/>
          <w:szCs w:val="24"/>
        </w:rPr>
      </w:pPr>
    </w:p>
    <w:p w:rsidR="007D63CD" w:rsidRDefault="001A2457" w:rsidP="00E7323E">
      <w:pPr>
        <w:pStyle w:val="NoSpacing"/>
        <w:ind w:left="1080"/>
        <w:rPr>
          <w:rFonts w:ascii="Times New Roman" w:hAnsi="Times New Roman" w:cs="Times New Roman"/>
          <w:sz w:val="24"/>
          <w:szCs w:val="24"/>
        </w:rPr>
      </w:pPr>
      <w:r>
        <w:rPr>
          <w:rFonts w:ascii="Times New Roman" w:hAnsi="Times New Roman" w:cs="Times New Roman"/>
          <w:sz w:val="24"/>
          <w:szCs w:val="24"/>
        </w:rPr>
        <w:t>After</w:t>
      </w:r>
      <w:r w:rsidRPr="00E7323E">
        <w:rPr>
          <w:rFonts w:ascii="Times New Roman" w:hAnsi="Times New Roman" w:cs="Times New Roman"/>
          <w:sz w:val="24"/>
          <w:szCs w:val="24"/>
        </w:rPr>
        <w:t xml:space="preserve"> </w:t>
      </w:r>
      <w:r w:rsidR="00E7323E" w:rsidRPr="00E7323E">
        <w:rPr>
          <w:rFonts w:ascii="Times New Roman" w:hAnsi="Times New Roman" w:cs="Times New Roman"/>
          <w:sz w:val="24"/>
          <w:szCs w:val="24"/>
        </w:rPr>
        <w:t>the contribution is allocated, the average of the allocation rates for the HCEs may not be more than the allocation rate for the NHCEs.</w:t>
      </w:r>
    </w:p>
    <w:p w:rsidR="007C7BF2" w:rsidRDefault="007C7BF2" w:rsidP="00E7323E">
      <w:pPr>
        <w:pStyle w:val="NoSpacing"/>
        <w:ind w:left="1080"/>
        <w:rPr>
          <w:rFonts w:ascii="Times New Roman" w:hAnsi="Times New Roman" w:cs="Times New Roman"/>
          <w:sz w:val="24"/>
          <w:szCs w:val="24"/>
        </w:rPr>
      </w:pPr>
    </w:p>
    <w:p w:rsidR="006F189D" w:rsidRDefault="006F189D" w:rsidP="006F189D">
      <w:pPr>
        <w:pStyle w:val="NoSpacing"/>
        <w:ind w:left="1080"/>
        <w:rPr>
          <w:rFonts w:ascii="Times New Roman" w:hAnsi="Times New Roman" w:cs="Times New Roman"/>
          <w:sz w:val="20"/>
          <w:szCs w:val="20"/>
        </w:rPr>
      </w:pPr>
    </w:p>
    <w:p w:rsidR="006F189D" w:rsidRDefault="006F189D" w:rsidP="006F189D">
      <w:pPr>
        <w:pStyle w:val="NoSpacing"/>
        <w:ind w:left="1080"/>
        <w:rPr>
          <w:rFonts w:ascii="Times New Roman" w:hAnsi="Times New Roman" w:cs="Times New Roman"/>
          <w:sz w:val="20"/>
          <w:szCs w:val="20"/>
        </w:rPr>
      </w:pPr>
    </w:p>
    <w:p w:rsidR="006F189D" w:rsidRDefault="0074138B" w:rsidP="006F189D">
      <w:pPr>
        <w:pStyle w:val="NoSpacing"/>
        <w:ind w:left="1080"/>
        <w:rPr>
          <w:rFonts w:ascii="Times New Roman" w:hAnsi="Times New Roman" w:cs="Times New Roman"/>
          <w:b/>
          <w:sz w:val="24"/>
          <w:szCs w:val="24"/>
        </w:rPr>
      </w:pPr>
      <w:r>
        <w:rPr>
          <w:rFonts w:ascii="Times New Roman" w:hAnsi="Times New Roman" w:cs="Times New Roman"/>
          <w:b/>
          <w:sz w:val="24"/>
          <w:szCs w:val="24"/>
        </w:rPr>
        <w:t>Practi</w:t>
      </w:r>
      <w:r w:rsidR="0041467F">
        <w:rPr>
          <w:rFonts w:ascii="Times New Roman" w:hAnsi="Times New Roman" w:cs="Times New Roman"/>
          <w:b/>
          <w:sz w:val="24"/>
          <w:szCs w:val="24"/>
        </w:rPr>
        <w:t>ce Point:</w:t>
      </w:r>
      <w:r w:rsidR="006F189D">
        <w:rPr>
          <w:rFonts w:ascii="Times New Roman" w:hAnsi="Times New Roman" w:cs="Times New Roman"/>
          <w:sz w:val="24"/>
          <w:szCs w:val="24"/>
        </w:rPr>
        <w:t xml:space="preserve"> If a safe harbor test is used to satisfy the nondiscrimination</w:t>
      </w:r>
      <w:r w:rsidR="000330A0">
        <w:rPr>
          <w:rFonts w:ascii="Times New Roman" w:hAnsi="Times New Roman" w:cs="Times New Roman"/>
          <w:sz w:val="24"/>
          <w:szCs w:val="24"/>
        </w:rPr>
        <w:t xml:space="preserve"> </w:t>
      </w:r>
      <w:r w:rsidR="006F189D">
        <w:rPr>
          <w:rFonts w:ascii="Times New Roman" w:hAnsi="Times New Roman" w:cs="Times New Roman"/>
          <w:sz w:val="24"/>
          <w:szCs w:val="24"/>
        </w:rPr>
        <w:t>in</w:t>
      </w:r>
      <w:r w:rsidR="007425AE">
        <w:rPr>
          <w:rFonts w:ascii="Times New Roman" w:hAnsi="Times New Roman" w:cs="Times New Roman"/>
          <w:sz w:val="24"/>
          <w:szCs w:val="24"/>
        </w:rPr>
        <w:t xml:space="preserve"> </w:t>
      </w:r>
      <w:r w:rsidR="006F189D">
        <w:rPr>
          <w:rFonts w:ascii="Times New Roman" w:hAnsi="Times New Roman" w:cs="Times New Roman"/>
          <w:sz w:val="24"/>
          <w:szCs w:val="24"/>
        </w:rPr>
        <w:t>amount test, annual testing can be avoided.</w:t>
      </w:r>
    </w:p>
    <w:p w:rsidR="006F189D" w:rsidRDefault="006F189D" w:rsidP="00E7323E">
      <w:pPr>
        <w:pStyle w:val="NoSpacing"/>
        <w:ind w:left="1080"/>
        <w:rPr>
          <w:rFonts w:ascii="Times New Roman" w:hAnsi="Times New Roman" w:cs="Times New Roman"/>
          <w:sz w:val="24"/>
          <w:szCs w:val="24"/>
        </w:rPr>
      </w:pPr>
    </w:p>
    <w:p w:rsidR="00D11760" w:rsidRPr="00E7323E" w:rsidRDefault="00D11760" w:rsidP="00D11760">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sidR="007C766E">
        <w:rPr>
          <w:rFonts w:ascii="Times New Roman" w:hAnsi="Times New Roman" w:cs="Times New Roman"/>
          <w:b/>
          <w:sz w:val="24"/>
          <w:szCs w:val="24"/>
        </w:rPr>
        <w:t>1</w:t>
      </w:r>
      <w:r w:rsidR="00824E48">
        <w:rPr>
          <w:rFonts w:ascii="Times New Roman" w:hAnsi="Times New Roman" w:cs="Times New Roman"/>
          <w:b/>
          <w:sz w:val="24"/>
          <w:szCs w:val="24"/>
        </w:rPr>
        <w:t>8</w:t>
      </w:r>
      <w:r w:rsidRPr="00E7323E">
        <w:rPr>
          <w:rFonts w:ascii="Times New Roman" w:hAnsi="Times New Roman" w:cs="Times New Roman"/>
          <w:b/>
          <w:sz w:val="24"/>
          <w:szCs w:val="24"/>
        </w:rPr>
        <w:t>:  What are the safe harbor tests</w:t>
      </w:r>
      <w:r>
        <w:rPr>
          <w:rFonts w:ascii="Times New Roman" w:hAnsi="Times New Roman" w:cs="Times New Roman"/>
          <w:b/>
          <w:sz w:val="24"/>
          <w:szCs w:val="24"/>
        </w:rPr>
        <w:t xml:space="preserve"> for a defined benefit plan</w:t>
      </w:r>
      <w:r w:rsidRPr="00E7323E">
        <w:rPr>
          <w:rFonts w:ascii="Times New Roman" w:hAnsi="Times New Roman" w:cs="Times New Roman"/>
          <w:b/>
          <w:sz w:val="24"/>
          <w:szCs w:val="24"/>
        </w:rPr>
        <w:t>?</w:t>
      </w:r>
    </w:p>
    <w:p w:rsidR="00D11760" w:rsidRDefault="00D11760" w:rsidP="00D11760">
      <w:pPr>
        <w:pStyle w:val="NoSpacing"/>
        <w:ind w:left="720"/>
        <w:rPr>
          <w:rFonts w:ascii="Times New Roman" w:hAnsi="Times New Roman" w:cs="Times New Roman"/>
          <w:sz w:val="24"/>
          <w:szCs w:val="24"/>
        </w:rPr>
      </w:pPr>
    </w:p>
    <w:p w:rsidR="00D11760" w:rsidRDefault="00D11760" w:rsidP="00D11760">
      <w:pPr>
        <w:pStyle w:val="NoSpacing"/>
        <w:ind w:left="1080"/>
        <w:rPr>
          <w:rFonts w:ascii="Times New Roman" w:hAnsi="Times New Roman" w:cs="Times New Roman"/>
          <w:sz w:val="24"/>
          <w:szCs w:val="24"/>
        </w:rPr>
      </w:pPr>
      <w:r w:rsidRPr="00E7323E">
        <w:rPr>
          <w:rFonts w:ascii="Times New Roman" w:hAnsi="Times New Roman" w:cs="Times New Roman"/>
          <w:sz w:val="24"/>
          <w:szCs w:val="24"/>
        </w:rPr>
        <w:t>The safe harbor tests to satisfy the nondiscrimination</w:t>
      </w:r>
      <w:r>
        <w:rPr>
          <w:rFonts w:ascii="Times New Roman" w:hAnsi="Times New Roman" w:cs="Times New Roman"/>
          <w:sz w:val="24"/>
          <w:szCs w:val="24"/>
        </w:rPr>
        <w:t xml:space="preserve"> </w:t>
      </w:r>
      <w:r w:rsidRPr="00E7323E">
        <w:rPr>
          <w:rFonts w:ascii="Times New Roman" w:hAnsi="Times New Roman" w:cs="Times New Roman"/>
          <w:sz w:val="24"/>
          <w:szCs w:val="24"/>
        </w:rPr>
        <w:t>in</w:t>
      </w:r>
      <w:r w:rsidR="00294DD4">
        <w:rPr>
          <w:rFonts w:ascii="Times New Roman" w:hAnsi="Times New Roman" w:cs="Times New Roman"/>
          <w:sz w:val="24"/>
          <w:szCs w:val="24"/>
        </w:rPr>
        <w:t xml:space="preserve"> </w:t>
      </w:r>
      <w:r w:rsidRPr="00E7323E">
        <w:rPr>
          <w:rFonts w:ascii="Times New Roman" w:hAnsi="Times New Roman" w:cs="Times New Roman"/>
          <w:sz w:val="24"/>
          <w:szCs w:val="24"/>
        </w:rPr>
        <w:t>amount test</w:t>
      </w:r>
      <w:r w:rsidR="00BD500D">
        <w:rPr>
          <w:rFonts w:ascii="Times New Roman" w:hAnsi="Times New Roman" w:cs="Times New Roman"/>
          <w:sz w:val="24"/>
          <w:szCs w:val="24"/>
        </w:rPr>
        <w:t xml:space="preserve"> for a defined benefit plan include</w:t>
      </w:r>
      <w:r w:rsidR="00294DD4">
        <w:rPr>
          <w:rFonts w:ascii="Times New Roman" w:hAnsi="Times New Roman" w:cs="Times New Roman"/>
          <w:sz w:val="24"/>
          <w:szCs w:val="24"/>
        </w:rPr>
        <w:t xml:space="preserve"> the following</w:t>
      </w:r>
      <w:r w:rsidR="00BD500D">
        <w:rPr>
          <w:rFonts w:ascii="Times New Roman" w:hAnsi="Times New Roman" w:cs="Times New Roman"/>
          <w:sz w:val="24"/>
          <w:szCs w:val="24"/>
        </w:rPr>
        <w:t>:</w:t>
      </w:r>
    </w:p>
    <w:p w:rsid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BD500D">
        <w:rPr>
          <w:rFonts w:ascii="Times New Roman" w:hAnsi="Times New Roman" w:cs="Times New Roman"/>
          <w:sz w:val="24"/>
          <w:szCs w:val="24"/>
        </w:rPr>
        <w:t>unit credit method</w:t>
      </w:r>
    </w:p>
    <w:p w:rsidR="00BD500D" w:rsidRP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BD500D">
        <w:rPr>
          <w:rFonts w:ascii="Times New Roman" w:hAnsi="Times New Roman" w:cs="Times New Roman"/>
          <w:sz w:val="24"/>
          <w:szCs w:val="24"/>
        </w:rPr>
        <w:t>unit credit fractional accrual method</w:t>
      </w:r>
    </w:p>
    <w:p w:rsid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BD500D">
        <w:rPr>
          <w:rFonts w:ascii="Times New Roman" w:hAnsi="Times New Roman" w:cs="Times New Roman"/>
          <w:sz w:val="24"/>
          <w:szCs w:val="24"/>
        </w:rPr>
        <w:t>flat benefit method</w:t>
      </w:r>
    </w:p>
    <w:p w:rsid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BD500D">
        <w:rPr>
          <w:rFonts w:ascii="Times New Roman" w:hAnsi="Times New Roman" w:cs="Times New Roman"/>
          <w:sz w:val="24"/>
          <w:szCs w:val="24"/>
        </w:rPr>
        <w:t>alternative flat benefit method</w:t>
      </w:r>
    </w:p>
    <w:p w:rsid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BD500D">
        <w:rPr>
          <w:rFonts w:ascii="Times New Roman" w:hAnsi="Times New Roman" w:cs="Times New Roman"/>
          <w:sz w:val="24"/>
          <w:szCs w:val="24"/>
        </w:rPr>
        <w:t>insurance contract method</w:t>
      </w:r>
    </w:p>
    <w:p w:rsid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cash </w:t>
      </w:r>
      <w:r w:rsidR="00BD500D">
        <w:rPr>
          <w:rFonts w:ascii="Times New Roman" w:hAnsi="Times New Roman" w:cs="Times New Roman"/>
          <w:sz w:val="24"/>
          <w:szCs w:val="24"/>
        </w:rPr>
        <w:t>balance plan method</w:t>
      </w:r>
    </w:p>
    <w:p w:rsidR="00BD500D" w:rsidRDefault="00294DD4" w:rsidP="00BD50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the floor</w:t>
      </w:r>
      <w:r w:rsidR="00BD500D">
        <w:rPr>
          <w:rFonts w:ascii="Times New Roman" w:hAnsi="Times New Roman" w:cs="Times New Roman"/>
          <w:sz w:val="24"/>
          <w:szCs w:val="24"/>
        </w:rPr>
        <w:t>-offset plan method</w:t>
      </w:r>
    </w:p>
    <w:p w:rsidR="00BD500D" w:rsidRDefault="00BD500D" w:rsidP="00BD500D">
      <w:pPr>
        <w:pStyle w:val="NoSpacing"/>
        <w:rPr>
          <w:rFonts w:ascii="Times New Roman" w:hAnsi="Times New Roman" w:cs="Times New Roman"/>
          <w:sz w:val="24"/>
          <w:szCs w:val="24"/>
        </w:rPr>
      </w:pPr>
    </w:p>
    <w:p w:rsidR="00BD500D" w:rsidRDefault="00BD500D" w:rsidP="00BD500D">
      <w:pPr>
        <w:pStyle w:val="NoSpacing"/>
        <w:ind w:left="1080"/>
        <w:rPr>
          <w:rFonts w:ascii="Times New Roman" w:hAnsi="Times New Roman" w:cs="Times New Roman"/>
          <w:sz w:val="24"/>
          <w:szCs w:val="24"/>
        </w:rPr>
      </w:pPr>
      <w:r>
        <w:rPr>
          <w:rFonts w:ascii="Times New Roman" w:hAnsi="Times New Roman" w:cs="Times New Roman"/>
          <w:sz w:val="24"/>
          <w:szCs w:val="24"/>
        </w:rPr>
        <w:t>These safe harbors are described in detail in the Treasury Regulations.</w:t>
      </w:r>
      <w:r w:rsidR="003719C6">
        <w:rPr>
          <w:rStyle w:val="FootnoteReference"/>
          <w:rFonts w:ascii="Times New Roman" w:hAnsi="Times New Roman" w:cs="Times New Roman"/>
          <w:sz w:val="24"/>
          <w:szCs w:val="24"/>
        </w:rPr>
        <w:footnoteReference w:id="27"/>
      </w:r>
    </w:p>
    <w:p w:rsidR="00BD500D" w:rsidRDefault="00BD500D" w:rsidP="00BD500D">
      <w:pPr>
        <w:pStyle w:val="NoSpacing"/>
        <w:ind w:left="1080"/>
        <w:rPr>
          <w:rFonts w:ascii="Times New Roman" w:hAnsi="Times New Roman" w:cs="Times New Roman"/>
          <w:sz w:val="24"/>
          <w:szCs w:val="24"/>
        </w:rPr>
      </w:pPr>
    </w:p>
    <w:p w:rsidR="007C7BF2" w:rsidRPr="00AE6419" w:rsidRDefault="007C7BF2" w:rsidP="0033241C">
      <w:pPr>
        <w:pStyle w:val="NoSpacing"/>
        <w:ind w:left="1440"/>
        <w:rPr>
          <w:rFonts w:ascii="Times New Roman" w:hAnsi="Times New Roman" w:cs="Times New Roman"/>
          <w:b/>
          <w:sz w:val="24"/>
          <w:szCs w:val="24"/>
        </w:rPr>
      </w:pPr>
    </w:p>
    <w:p w:rsidR="007C7BF2" w:rsidRDefault="007C7BF2" w:rsidP="007C7BF2">
      <w:pPr>
        <w:pStyle w:val="NoSpacing"/>
        <w:ind w:left="720"/>
        <w:rPr>
          <w:rFonts w:ascii="Times New Roman" w:hAnsi="Times New Roman" w:cs="Times New Roman"/>
          <w:sz w:val="24"/>
          <w:szCs w:val="24"/>
        </w:rPr>
      </w:pPr>
    </w:p>
    <w:p w:rsidR="007C7BF2" w:rsidRPr="00E7323E" w:rsidRDefault="00083D57" w:rsidP="007C7BF2">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007C7BF2" w:rsidRPr="00E7323E">
        <w:rPr>
          <w:rFonts w:ascii="Times New Roman" w:hAnsi="Times New Roman" w:cs="Times New Roman"/>
          <w:b/>
          <w:sz w:val="24"/>
          <w:szCs w:val="24"/>
        </w:rPr>
        <w:t>.</w:t>
      </w:r>
      <w:r w:rsidR="007C766E">
        <w:rPr>
          <w:rFonts w:ascii="Times New Roman" w:hAnsi="Times New Roman" w:cs="Times New Roman"/>
          <w:b/>
          <w:sz w:val="24"/>
          <w:szCs w:val="24"/>
        </w:rPr>
        <w:t>1</w:t>
      </w:r>
      <w:r w:rsidR="00824E48">
        <w:rPr>
          <w:rFonts w:ascii="Times New Roman" w:hAnsi="Times New Roman" w:cs="Times New Roman"/>
          <w:b/>
          <w:sz w:val="24"/>
          <w:szCs w:val="24"/>
        </w:rPr>
        <w:t>9</w:t>
      </w:r>
      <w:r w:rsidR="007C7BF2" w:rsidRPr="00E7323E">
        <w:rPr>
          <w:rFonts w:ascii="Times New Roman" w:hAnsi="Times New Roman" w:cs="Times New Roman"/>
          <w:b/>
          <w:sz w:val="24"/>
          <w:szCs w:val="24"/>
        </w:rPr>
        <w:t xml:space="preserve">:  </w:t>
      </w:r>
      <w:r w:rsidR="007C7BF2" w:rsidRPr="007C7BF2">
        <w:rPr>
          <w:rFonts w:ascii="Times New Roman" w:hAnsi="Times New Roman" w:cs="Times New Roman"/>
          <w:b/>
          <w:sz w:val="24"/>
          <w:szCs w:val="24"/>
        </w:rPr>
        <w:t>What is the general nondiscrimination test and when is it applicable?</w:t>
      </w:r>
    </w:p>
    <w:p w:rsidR="007C7BF2" w:rsidRDefault="007C7BF2" w:rsidP="007C7BF2">
      <w:pPr>
        <w:pStyle w:val="NoSpacing"/>
        <w:ind w:left="720"/>
        <w:rPr>
          <w:rFonts w:ascii="Times New Roman" w:hAnsi="Times New Roman" w:cs="Times New Roman"/>
          <w:sz w:val="24"/>
          <w:szCs w:val="24"/>
        </w:rPr>
      </w:pPr>
    </w:p>
    <w:p w:rsidR="007C7BF2" w:rsidRDefault="007C7BF2" w:rsidP="007C7BF2">
      <w:pPr>
        <w:pStyle w:val="NoSpacing"/>
        <w:ind w:left="1080"/>
        <w:rPr>
          <w:rFonts w:ascii="Times New Roman" w:hAnsi="Times New Roman" w:cs="Times New Roman"/>
          <w:sz w:val="24"/>
          <w:szCs w:val="24"/>
        </w:rPr>
      </w:pPr>
      <w:r w:rsidRPr="007C7BF2">
        <w:rPr>
          <w:rFonts w:ascii="Times New Roman" w:hAnsi="Times New Roman" w:cs="Times New Roman"/>
          <w:sz w:val="24"/>
          <w:szCs w:val="24"/>
        </w:rPr>
        <w:t>The general nondiscrimination test can be used to satisfy the nondiscrimination</w:t>
      </w:r>
      <w:r w:rsidR="000330A0">
        <w:rPr>
          <w:rFonts w:ascii="Times New Roman" w:hAnsi="Times New Roman" w:cs="Times New Roman"/>
          <w:sz w:val="24"/>
          <w:szCs w:val="24"/>
        </w:rPr>
        <w:t xml:space="preserve"> </w:t>
      </w:r>
      <w:r w:rsidRPr="007C7BF2">
        <w:rPr>
          <w:rFonts w:ascii="Times New Roman" w:hAnsi="Times New Roman" w:cs="Times New Roman"/>
          <w:sz w:val="24"/>
          <w:szCs w:val="24"/>
        </w:rPr>
        <w:t>in</w:t>
      </w:r>
      <w:r w:rsidR="00CE18EC">
        <w:rPr>
          <w:rFonts w:ascii="Times New Roman" w:hAnsi="Times New Roman" w:cs="Times New Roman"/>
          <w:sz w:val="24"/>
          <w:szCs w:val="24"/>
        </w:rPr>
        <w:t xml:space="preserve"> </w:t>
      </w:r>
      <w:r w:rsidRPr="007C7BF2">
        <w:rPr>
          <w:rFonts w:ascii="Times New Roman" w:hAnsi="Times New Roman" w:cs="Times New Roman"/>
          <w:sz w:val="24"/>
          <w:szCs w:val="24"/>
        </w:rPr>
        <w:t xml:space="preserve">amount requirement if </w:t>
      </w:r>
      <w:r w:rsidR="00BD500D">
        <w:rPr>
          <w:rFonts w:ascii="Times New Roman" w:hAnsi="Times New Roman" w:cs="Times New Roman"/>
          <w:sz w:val="24"/>
          <w:szCs w:val="24"/>
        </w:rPr>
        <w:t>none</w:t>
      </w:r>
      <w:r w:rsidRPr="007C7BF2">
        <w:rPr>
          <w:rFonts w:ascii="Times New Roman" w:hAnsi="Times New Roman" w:cs="Times New Roman"/>
          <w:sz w:val="24"/>
          <w:szCs w:val="24"/>
        </w:rPr>
        <w:t xml:space="preserve"> of the safe harbor approaches is satisfied.  Generally this test establishes </w:t>
      </w:r>
      <w:r w:rsidRPr="009722E4">
        <w:rPr>
          <w:rFonts w:ascii="Times New Roman" w:hAnsi="Times New Roman" w:cs="Times New Roman"/>
          <w:i/>
          <w:sz w:val="24"/>
          <w:szCs w:val="24"/>
        </w:rPr>
        <w:t>rate groups</w:t>
      </w:r>
      <w:r w:rsidRPr="007C7BF2">
        <w:rPr>
          <w:rFonts w:ascii="Times New Roman" w:hAnsi="Times New Roman" w:cs="Times New Roman"/>
          <w:sz w:val="24"/>
          <w:szCs w:val="24"/>
        </w:rPr>
        <w:t xml:space="preserve"> for each HCE and all other employees with equal or higher rates. These rate groups must pass the same </w:t>
      </w:r>
      <w:r w:rsidR="00CE18EC">
        <w:rPr>
          <w:rFonts w:ascii="Times New Roman" w:hAnsi="Times New Roman" w:cs="Times New Roman"/>
          <w:sz w:val="24"/>
          <w:szCs w:val="24"/>
        </w:rPr>
        <w:t>Code</w:t>
      </w:r>
      <w:r w:rsidR="00CE18EC" w:rsidRPr="0043789C">
        <w:rPr>
          <w:rFonts w:ascii="Times New Roman" w:hAnsi="Times New Roman" w:cs="Times New Roman"/>
          <w:sz w:val="24"/>
          <w:szCs w:val="24"/>
        </w:rPr>
        <w:t xml:space="preserve"> </w:t>
      </w:r>
      <w:r w:rsidR="0043789C" w:rsidRPr="0043789C">
        <w:rPr>
          <w:rFonts w:ascii="Times New Roman" w:hAnsi="Times New Roman" w:cs="Times New Roman"/>
          <w:sz w:val="24"/>
          <w:szCs w:val="24"/>
        </w:rPr>
        <w:t>Section 410(b)</w:t>
      </w:r>
      <w:r w:rsidR="0043789C">
        <w:rPr>
          <w:rFonts w:ascii="Times New Roman" w:hAnsi="Times New Roman" w:cs="Times New Roman"/>
          <w:sz w:val="24"/>
          <w:szCs w:val="24"/>
        </w:rPr>
        <w:t xml:space="preserve"> </w:t>
      </w:r>
      <w:r w:rsidRPr="007C7BF2">
        <w:rPr>
          <w:rFonts w:ascii="Times New Roman" w:hAnsi="Times New Roman" w:cs="Times New Roman"/>
          <w:sz w:val="24"/>
          <w:szCs w:val="24"/>
        </w:rPr>
        <w:t>test that is used to test for nondiscriminatory coverage</w:t>
      </w:r>
      <w:r w:rsidR="00FD7240">
        <w:rPr>
          <w:rFonts w:ascii="Times New Roman" w:hAnsi="Times New Roman" w:cs="Times New Roman"/>
          <w:sz w:val="24"/>
          <w:szCs w:val="24"/>
        </w:rPr>
        <w:t xml:space="preserve"> (see Q. 4.</w:t>
      </w:r>
      <w:r w:rsidR="000F6ADD">
        <w:rPr>
          <w:rFonts w:ascii="Times New Roman" w:hAnsi="Times New Roman" w:cs="Times New Roman"/>
          <w:sz w:val="24"/>
          <w:szCs w:val="24"/>
        </w:rPr>
        <w:t>03</w:t>
      </w:r>
      <w:r w:rsidR="00FD7240">
        <w:rPr>
          <w:rFonts w:ascii="Times New Roman" w:hAnsi="Times New Roman" w:cs="Times New Roman"/>
          <w:sz w:val="24"/>
          <w:szCs w:val="24"/>
        </w:rPr>
        <w:t>)</w:t>
      </w:r>
      <w:r w:rsidRPr="007C7BF2">
        <w:rPr>
          <w:rFonts w:ascii="Times New Roman" w:hAnsi="Times New Roman" w:cs="Times New Roman"/>
          <w:sz w:val="24"/>
          <w:szCs w:val="24"/>
        </w:rPr>
        <w:t>:</w:t>
      </w:r>
      <w:r w:rsidR="00CE18EC">
        <w:rPr>
          <w:rStyle w:val="FootnoteReference"/>
          <w:rFonts w:ascii="Times New Roman" w:hAnsi="Times New Roman" w:cs="Times New Roman"/>
          <w:sz w:val="24"/>
          <w:szCs w:val="24"/>
        </w:rPr>
        <w:footnoteReference w:id="28"/>
      </w:r>
    </w:p>
    <w:p w:rsidR="007C7BF2" w:rsidRDefault="00CE18EC" w:rsidP="007C7BF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w:t>
      </w:r>
      <w:r w:rsidR="007C7BF2">
        <w:rPr>
          <w:rFonts w:ascii="Times New Roman" w:hAnsi="Times New Roman" w:cs="Times New Roman"/>
          <w:sz w:val="24"/>
          <w:szCs w:val="24"/>
        </w:rPr>
        <w:t>ratio percentage test or</w:t>
      </w:r>
    </w:p>
    <w:p w:rsidR="007C7BF2" w:rsidRDefault="00CE18EC" w:rsidP="007C7BF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w:t>
      </w:r>
      <w:r w:rsidR="007C7BF2">
        <w:rPr>
          <w:rFonts w:ascii="Times New Roman" w:hAnsi="Times New Roman" w:cs="Times New Roman"/>
          <w:sz w:val="24"/>
          <w:szCs w:val="24"/>
        </w:rPr>
        <w:t>average benefits test</w:t>
      </w:r>
      <w:r>
        <w:rPr>
          <w:rFonts w:ascii="Times New Roman" w:hAnsi="Times New Roman" w:cs="Times New Roman"/>
          <w:sz w:val="24"/>
          <w:szCs w:val="24"/>
        </w:rPr>
        <w:t>.</w:t>
      </w:r>
    </w:p>
    <w:p w:rsidR="00FE7F8A" w:rsidRDefault="00FE7F8A" w:rsidP="007C7BF2">
      <w:pPr>
        <w:pStyle w:val="NoSpacing"/>
        <w:ind w:left="1080"/>
        <w:rPr>
          <w:rFonts w:ascii="Times New Roman" w:hAnsi="Times New Roman" w:cs="Times New Roman"/>
          <w:sz w:val="20"/>
          <w:szCs w:val="20"/>
        </w:rPr>
      </w:pPr>
    </w:p>
    <w:p w:rsidR="00715674" w:rsidRDefault="00715674" w:rsidP="007C7BF2">
      <w:pPr>
        <w:pStyle w:val="NoSpacing"/>
        <w:ind w:left="1080"/>
        <w:rPr>
          <w:rFonts w:ascii="Times New Roman" w:hAnsi="Times New Roman" w:cs="Times New Roman"/>
          <w:sz w:val="24"/>
          <w:szCs w:val="24"/>
        </w:rPr>
      </w:pPr>
    </w:p>
    <w:p w:rsidR="007C7BF2" w:rsidRDefault="0074138B" w:rsidP="007C7BF2">
      <w:pPr>
        <w:pStyle w:val="NoSpacing"/>
        <w:ind w:left="1080"/>
        <w:rPr>
          <w:rFonts w:ascii="Times New Roman" w:hAnsi="Times New Roman" w:cs="Times New Roman"/>
          <w:sz w:val="24"/>
          <w:szCs w:val="24"/>
        </w:rPr>
      </w:pPr>
      <w:r>
        <w:rPr>
          <w:rFonts w:ascii="Times New Roman" w:hAnsi="Times New Roman" w:cs="Times New Roman"/>
          <w:b/>
          <w:sz w:val="24"/>
          <w:szCs w:val="24"/>
        </w:rPr>
        <w:t>Practi</w:t>
      </w:r>
      <w:r w:rsidR="0041467F">
        <w:rPr>
          <w:rFonts w:ascii="Times New Roman" w:hAnsi="Times New Roman" w:cs="Times New Roman"/>
          <w:b/>
          <w:sz w:val="24"/>
          <w:szCs w:val="24"/>
        </w:rPr>
        <w:t>ce Point:</w:t>
      </w:r>
      <w:r w:rsidR="007C7BF2" w:rsidRPr="007C7BF2">
        <w:rPr>
          <w:rFonts w:ascii="Times New Roman" w:hAnsi="Times New Roman" w:cs="Times New Roman"/>
          <w:sz w:val="24"/>
          <w:szCs w:val="24"/>
        </w:rPr>
        <w:t xml:space="preserve"> This test must be passed each year based on the participants in that year. If there is a major change in the profile of the employees because of turnover, </w:t>
      </w:r>
      <w:r w:rsidR="007C7BF2" w:rsidRPr="007C7BF2">
        <w:rPr>
          <w:rFonts w:ascii="Times New Roman" w:hAnsi="Times New Roman" w:cs="Times New Roman"/>
          <w:sz w:val="24"/>
          <w:szCs w:val="24"/>
        </w:rPr>
        <w:lastRenderedPageBreak/>
        <w:t>the makeup of the individual groups change</w:t>
      </w:r>
      <w:r w:rsidR="005240E2">
        <w:rPr>
          <w:rFonts w:ascii="Times New Roman" w:hAnsi="Times New Roman" w:cs="Times New Roman"/>
          <w:sz w:val="24"/>
          <w:szCs w:val="24"/>
        </w:rPr>
        <w:t>s</w:t>
      </w:r>
      <w:r w:rsidR="007C7BF2" w:rsidRPr="007C7BF2">
        <w:rPr>
          <w:rFonts w:ascii="Times New Roman" w:hAnsi="Times New Roman" w:cs="Times New Roman"/>
          <w:sz w:val="24"/>
          <w:szCs w:val="24"/>
        </w:rPr>
        <w:t xml:space="preserve"> and the test may fail. In that case, the plan contribution allocation has to be amended to satisfy the test.</w:t>
      </w:r>
    </w:p>
    <w:p w:rsidR="009722E4" w:rsidRDefault="009722E4" w:rsidP="007C7BF2">
      <w:pPr>
        <w:pStyle w:val="NoSpacing"/>
        <w:ind w:left="1080"/>
        <w:rPr>
          <w:rFonts w:ascii="Times New Roman" w:hAnsi="Times New Roman" w:cs="Times New Roman"/>
          <w:sz w:val="24"/>
          <w:szCs w:val="24"/>
        </w:rPr>
      </w:pPr>
    </w:p>
    <w:p w:rsidR="009722E4" w:rsidRPr="00E7323E" w:rsidRDefault="00083D57" w:rsidP="009722E4">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009722E4" w:rsidRPr="00E7323E">
        <w:rPr>
          <w:rFonts w:ascii="Times New Roman" w:hAnsi="Times New Roman" w:cs="Times New Roman"/>
          <w:b/>
          <w:sz w:val="24"/>
          <w:szCs w:val="24"/>
        </w:rPr>
        <w:t>.</w:t>
      </w:r>
      <w:r w:rsidR="00824E48">
        <w:rPr>
          <w:rFonts w:ascii="Times New Roman" w:hAnsi="Times New Roman" w:cs="Times New Roman"/>
          <w:b/>
          <w:sz w:val="24"/>
          <w:szCs w:val="24"/>
        </w:rPr>
        <w:t>20</w:t>
      </w:r>
      <w:r w:rsidR="009722E4" w:rsidRPr="00E7323E">
        <w:rPr>
          <w:rFonts w:ascii="Times New Roman" w:hAnsi="Times New Roman" w:cs="Times New Roman"/>
          <w:b/>
          <w:sz w:val="24"/>
          <w:szCs w:val="24"/>
        </w:rPr>
        <w:t xml:space="preserve">:  </w:t>
      </w:r>
      <w:r w:rsidR="009722E4" w:rsidRPr="007C7BF2">
        <w:rPr>
          <w:rFonts w:ascii="Times New Roman" w:hAnsi="Times New Roman" w:cs="Times New Roman"/>
          <w:b/>
          <w:sz w:val="24"/>
          <w:szCs w:val="24"/>
        </w:rPr>
        <w:t xml:space="preserve">What </w:t>
      </w:r>
      <w:r w:rsidR="009722E4">
        <w:rPr>
          <w:rFonts w:ascii="Times New Roman" w:hAnsi="Times New Roman" w:cs="Times New Roman"/>
          <w:b/>
          <w:sz w:val="24"/>
          <w:szCs w:val="24"/>
        </w:rPr>
        <w:t>is a rate group?</w:t>
      </w:r>
    </w:p>
    <w:p w:rsidR="009722E4" w:rsidRDefault="009722E4" w:rsidP="009722E4">
      <w:pPr>
        <w:pStyle w:val="NoSpacing"/>
        <w:ind w:left="720"/>
        <w:rPr>
          <w:rFonts w:ascii="Times New Roman" w:hAnsi="Times New Roman" w:cs="Times New Roman"/>
          <w:sz w:val="24"/>
          <w:szCs w:val="24"/>
        </w:rPr>
      </w:pPr>
    </w:p>
    <w:p w:rsidR="009722E4" w:rsidRDefault="009722E4" w:rsidP="009722E4">
      <w:pPr>
        <w:pStyle w:val="NoSpacing"/>
        <w:ind w:left="1080"/>
        <w:rPr>
          <w:rFonts w:ascii="Times New Roman" w:hAnsi="Times New Roman" w:cs="Times New Roman"/>
          <w:sz w:val="24"/>
          <w:szCs w:val="24"/>
        </w:rPr>
      </w:pPr>
      <w:r w:rsidRPr="009722E4">
        <w:rPr>
          <w:rFonts w:ascii="Times New Roman" w:hAnsi="Times New Roman" w:cs="Times New Roman"/>
          <w:sz w:val="24"/>
          <w:szCs w:val="24"/>
        </w:rPr>
        <w:t>A rate group is a subset of the plan participants to be used for nondiscrimination testing and consists of an HCE and all other participants (both HCE and NHCE) that have an allocation rate (for defined contribution plans) or an accrual rate (for defined benefit plans) equal to or greater than the HCE’s rate.  Each HCE is placed in a separate rate group, while all other HCEs and NHCEs are placed in one or more rate groups, depending on their allocation or accrual rate.</w:t>
      </w:r>
      <w:r w:rsidR="004E41EE">
        <w:rPr>
          <w:rStyle w:val="FootnoteReference"/>
          <w:rFonts w:ascii="Times New Roman" w:hAnsi="Times New Roman" w:cs="Times New Roman"/>
          <w:sz w:val="24"/>
          <w:szCs w:val="24"/>
        </w:rPr>
        <w:footnoteReference w:id="29"/>
      </w:r>
    </w:p>
    <w:p w:rsidR="00987A5F" w:rsidRDefault="00987A5F" w:rsidP="009722E4">
      <w:pPr>
        <w:pStyle w:val="NoSpacing"/>
        <w:ind w:left="1080"/>
        <w:rPr>
          <w:rFonts w:ascii="Times New Roman" w:hAnsi="Times New Roman" w:cs="Times New Roman"/>
          <w:sz w:val="24"/>
          <w:szCs w:val="24"/>
        </w:rPr>
      </w:pPr>
    </w:p>
    <w:p w:rsidR="009722E4" w:rsidRDefault="009722E4" w:rsidP="009722E4">
      <w:pPr>
        <w:pStyle w:val="NoSpacing"/>
        <w:ind w:left="1080"/>
        <w:rPr>
          <w:rFonts w:ascii="Times New Roman" w:hAnsi="Times New Roman" w:cs="Times New Roman"/>
          <w:sz w:val="24"/>
          <w:szCs w:val="24"/>
        </w:rPr>
      </w:pPr>
    </w:p>
    <w:p w:rsidR="00492F45" w:rsidRPr="00E7323E" w:rsidRDefault="00492F45" w:rsidP="00492F45">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Pr>
          <w:rFonts w:ascii="Times New Roman" w:hAnsi="Times New Roman" w:cs="Times New Roman"/>
          <w:b/>
          <w:sz w:val="24"/>
          <w:szCs w:val="24"/>
        </w:rPr>
        <w:t>21</w:t>
      </w:r>
      <w:r w:rsidRPr="00E7323E">
        <w:rPr>
          <w:rFonts w:ascii="Times New Roman" w:hAnsi="Times New Roman" w:cs="Times New Roman"/>
          <w:b/>
          <w:sz w:val="24"/>
          <w:szCs w:val="24"/>
        </w:rPr>
        <w:t>:</w:t>
      </w:r>
      <w:r>
        <w:rPr>
          <w:rFonts w:ascii="Times New Roman" w:hAnsi="Times New Roman" w:cs="Times New Roman"/>
          <w:b/>
          <w:sz w:val="24"/>
          <w:szCs w:val="24"/>
        </w:rPr>
        <w:t xml:space="preserve">  How is the ratio percentage test applied to a defined contribution plan for the nondiscrimination in</w:t>
      </w:r>
      <w:r w:rsidR="001C05A6">
        <w:rPr>
          <w:rFonts w:ascii="Times New Roman" w:hAnsi="Times New Roman" w:cs="Times New Roman"/>
          <w:b/>
          <w:sz w:val="24"/>
          <w:szCs w:val="24"/>
        </w:rPr>
        <w:t xml:space="preserve"> </w:t>
      </w:r>
      <w:r>
        <w:rPr>
          <w:rFonts w:ascii="Times New Roman" w:hAnsi="Times New Roman" w:cs="Times New Roman"/>
          <w:b/>
          <w:sz w:val="24"/>
          <w:szCs w:val="24"/>
        </w:rPr>
        <w:t xml:space="preserve">amount </w:t>
      </w:r>
      <w:r w:rsidRPr="00B429B5">
        <w:rPr>
          <w:rFonts w:ascii="Times New Roman" w:hAnsi="Times New Roman" w:cs="Times New Roman"/>
          <w:b/>
          <w:sz w:val="24"/>
          <w:szCs w:val="24"/>
        </w:rPr>
        <w:t>test?</w:t>
      </w:r>
    </w:p>
    <w:p w:rsidR="00492F45" w:rsidRDefault="00492F45" w:rsidP="00492F45">
      <w:pPr>
        <w:pStyle w:val="NoSpacing"/>
        <w:ind w:left="1080"/>
        <w:rPr>
          <w:rFonts w:ascii="Times New Roman" w:hAnsi="Times New Roman" w:cs="Times New Roman"/>
          <w:sz w:val="24"/>
          <w:szCs w:val="24"/>
        </w:rPr>
      </w:pPr>
    </w:p>
    <w:p w:rsidR="00492F45" w:rsidRDefault="006A5D50" w:rsidP="00492F45">
      <w:pPr>
        <w:pStyle w:val="NoSpacing"/>
        <w:ind w:left="1080"/>
        <w:rPr>
          <w:rFonts w:ascii="Times New Roman" w:hAnsi="Times New Roman" w:cs="Times New Roman"/>
          <w:sz w:val="24"/>
          <w:szCs w:val="24"/>
        </w:rPr>
      </w:pPr>
      <w:r>
        <w:rPr>
          <w:rFonts w:ascii="Times New Roman" w:hAnsi="Times New Roman" w:cs="Times New Roman"/>
          <w:sz w:val="24"/>
          <w:szCs w:val="24"/>
        </w:rPr>
        <w:t>The following example demonstrates the formation of rate</w:t>
      </w:r>
      <w:r w:rsidR="00492F45" w:rsidRPr="00B429B5">
        <w:rPr>
          <w:rFonts w:ascii="Times New Roman" w:hAnsi="Times New Roman" w:cs="Times New Roman"/>
          <w:sz w:val="24"/>
          <w:szCs w:val="24"/>
        </w:rPr>
        <w:t xml:space="preserve"> group</w:t>
      </w:r>
      <w:r>
        <w:rPr>
          <w:rFonts w:ascii="Times New Roman" w:hAnsi="Times New Roman" w:cs="Times New Roman"/>
          <w:sz w:val="24"/>
          <w:szCs w:val="24"/>
        </w:rPr>
        <w:t>s and the subsequent nondiscrimination test.</w:t>
      </w:r>
    </w:p>
    <w:p w:rsidR="00824A4C" w:rsidRDefault="00824A4C" w:rsidP="006A5D50">
      <w:pPr>
        <w:pStyle w:val="NoSpacing"/>
        <w:ind w:left="1080"/>
        <w:rPr>
          <w:rFonts w:ascii="Times New Roman" w:hAnsi="Times New Roman" w:cs="Times New Roman"/>
          <w:sz w:val="24"/>
          <w:szCs w:val="24"/>
        </w:rPr>
      </w:pPr>
    </w:p>
    <w:p w:rsidR="00492F45" w:rsidRDefault="00824A4C" w:rsidP="006A5D50">
      <w:pPr>
        <w:pStyle w:val="NoSpacing"/>
        <w:ind w:left="1080"/>
        <w:rPr>
          <w:rFonts w:ascii="Times New Roman" w:hAnsi="Times New Roman" w:cs="Times New Roman"/>
          <w:sz w:val="24"/>
          <w:szCs w:val="24"/>
        </w:rPr>
      </w:pPr>
      <w:r w:rsidRPr="00E3560C">
        <w:rPr>
          <w:rFonts w:ascii="Times New Roman" w:hAnsi="Times New Roman" w:cs="Times New Roman"/>
          <w:b/>
          <w:sz w:val="24"/>
          <w:szCs w:val="24"/>
        </w:rPr>
        <w:t xml:space="preserve">Example </w:t>
      </w:r>
      <w:r>
        <w:rPr>
          <w:rFonts w:ascii="Times New Roman" w:hAnsi="Times New Roman" w:cs="Times New Roman"/>
          <w:b/>
          <w:sz w:val="24"/>
          <w:szCs w:val="24"/>
        </w:rPr>
        <w:t>6</w:t>
      </w:r>
      <w:r w:rsidRPr="00E3560C">
        <w:rPr>
          <w:rFonts w:ascii="Times New Roman" w:hAnsi="Times New Roman" w:cs="Times New Roman"/>
          <w:b/>
          <w:sz w:val="24"/>
          <w:szCs w:val="24"/>
        </w:rPr>
        <w:t>.</w:t>
      </w:r>
      <w:r>
        <w:rPr>
          <w:rFonts w:ascii="Times New Roman" w:hAnsi="Times New Roman" w:cs="Times New Roman"/>
          <w:sz w:val="24"/>
          <w:szCs w:val="24"/>
        </w:rPr>
        <w:t xml:space="preserve">  </w:t>
      </w:r>
      <w:r w:rsidR="00492F45" w:rsidRPr="006A5D50">
        <w:rPr>
          <w:rFonts w:ascii="Times New Roman" w:hAnsi="Times New Roman" w:cs="Times New Roman"/>
          <w:sz w:val="24"/>
          <w:szCs w:val="24"/>
        </w:rPr>
        <w:t xml:space="preserve">In Table </w:t>
      </w:r>
      <w:r w:rsidR="007A6386">
        <w:rPr>
          <w:rFonts w:ascii="Times New Roman" w:hAnsi="Times New Roman" w:cs="Times New Roman"/>
          <w:sz w:val="24"/>
          <w:szCs w:val="24"/>
        </w:rPr>
        <w:t>4</w:t>
      </w:r>
      <w:r w:rsidR="00492F45" w:rsidRPr="006A5D50">
        <w:rPr>
          <w:rFonts w:ascii="Times New Roman" w:hAnsi="Times New Roman" w:cs="Times New Roman"/>
          <w:sz w:val="24"/>
          <w:szCs w:val="24"/>
        </w:rPr>
        <w:t>-</w:t>
      </w:r>
      <w:r w:rsidR="007A6386">
        <w:rPr>
          <w:rFonts w:ascii="Times New Roman" w:hAnsi="Times New Roman" w:cs="Times New Roman"/>
          <w:sz w:val="24"/>
          <w:szCs w:val="24"/>
        </w:rPr>
        <w:t>2</w:t>
      </w:r>
      <w:r w:rsidR="00492F45" w:rsidRPr="006A5D50">
        <w:rPr>
          <w:rFonts w:ascii="Times New Roman" w:hAnsi="Times New Roman" w:cs="Times New Roman"/>
          <w:sz w:val="24"/>
          <w:szCs w:val="24"/>
        </w:rPr>
        <w:t>, HCE 1, NHCE 1, and NHCE 4 receive an allocation of 20 percent of compensation, while all other participants receive an allocation of 10.39 percent of compensation. This variable allocation rate may be based on job description, specific departments within the business, geographical location for businesses with multiple locations, or any other valid business guideline.</w:t>
      </w:r>
      <w:r>
        <w:rPr>
          <w:rFonts w:ascii="Times New Roman" w:hAnsi="Times New Roman" w:cs="Times New Roman"/>
          <w:sz w:val="24"/>
          <w:szCs w:val="24"/>
        </w:rPr>
        <w:t xml:space="preserve">  </w:t>
      </w:r>
      <w:r w:rsidR="00492F45" w:rsidRPr="006A5D50">
        <w:rPr>
          <w:rFonts w:ascii="Times New Roman" w:hAnsi="Times New Roman" w:cs="Times New Roman"/>
          <w:sz w:val="24"/>
          <w:szCs w:val="24"/>
        </w:rPr>
        <w:t>All forfeitures are allocated based on total compensation.</w:t>
      </w:r>
    </w:p>
    <w:p w:rsidR="006A5D50" w:rsidRPr="006A5D50" w:rsidRDefault="006A5D50" w:rsidP="006A5D50">
      <w:pPr>
        <w:pStyle w:val="NoSpacing"/>
        <w:ind w:left="108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79"/>
        <w:gridCol w:w="1340"/>
        <w:gridCol w:w="1441"/>
        <w:gridCol w:w="1790"/>
        <w:gridCol w:w="1158"/>
        <w:gridCol w:w="1187"/>
      </w:tblGrid>
      <w:tr w:rsidR="00824A4C" w:rsidTr="00A84D2D">
        <w:trPr>
          <w:trHeight w:val="60"/>
          <w:jc w:val="center"/>
        </w:trPr>
        <w:tc>
          <w:tcPr>
            <w:tcW w:w="8158" w:type="dxa"/>
            <w:gridSpan w:val="6"/>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492F45" w:rsidRPr="006A5D50" w:rsidRDefault="00492F45" w:rsidP="007A6386">
            <w:pPr>
              <w:pStyle w:val="TableHead"/>
              <w:rPr>
                <w:rFonts w:ascii="Times New Roman" w:hAnsi="Times New Roman" w:cs="Times New Roman"/>
                <w:color w:val="auto"/>
                <w:sz w:val="24"/>
                <w:szCs w:val="24"/>
              </w:rPr>
            </w:pPr>
            <w:commentRangeStart w:id="2"/>
            <w:r w:rsidRPr="006A5D50">
              <w:rPr>
                <w:rFonts w:ascii="Times New Roman" w:hAnsi="Times New Roman" w:cs="Times New Roman"/>
                <w:color w:val="auto"/>
                <w:sz w:val="24"/>
                <w:szCs w:val="24"/>
              </w:rPr>
              <w:t xml:space="preserve">Table </w:t>
            </w:r>
            <w:r w:rsidR="007A6386">
              <w:rPr>
                <w:rFonts w:ascii="Times New Roman" w:hAnsi="Times New Roman" w:cs="Times New Roman"/>
                <w:color w:val="auto"/>
                <w:sz w:val="24"/>
                <w:szCs w:val="24"/>
              </w:rPr>
              <w:t>4</w:t>
            </w:r>
            <w:r w:rsidRPr="006A5D50">
              <w:rPr>
                <w:rFonts w:ascii="Times New Roman" w:hAnsi="Times New Roman" w:cs="Times New Roman"/>
                <w:color w:val="auto"/>
                <w:sz w:val="24"/>
                <w:szCs w:val="24"/>
              </w:rPr>
              <w:t>-</w:t>
            </w:r>
            <w:r w:rsidR="007A6386">
              <w:rPr>
                <w:rFonts w:ascii="Times New Roman" w:hAnsi="Times New Roman" w:cs="Times New Roman"/>
                <w:color w:val="auto"/>
                <w:sz w:val="24"/>
                <w:szCs w:val="24"/>
              </w:rPr>
              <w:t>2</w:t>
            </w:r>
            <w:commentRangeEnd w:id="2"/>
            <w:r w:rsidR="001C05A6">
              <w:rPr>
                <w:rStyle w:val="CommentReference"/>
                <w:rFonts w:ascii="Times New Roman" w:hAnsi="Times New Roman" w:cs="Times New Roman"/>
                <w:b w:val="0"/>
                <w:bCs w:val="0"/>
                <w:color w:val="auto"/>
              </w:rPr>
              <w:commentReference w:id="2"/>
            </w:r>
            <w:r w:rsidRPr="006A5D50">
              <w:rPr>
                <w:rFonts w:ascii="Times New Roman" w:hAnsi="Times New Roman" w:cs="Times New Roman"/>
                <w:color w:val="auto"/>
                <w:sz w:val="24"/>
                <w:szCs w:val="24"/>
              </w:rPr>
              <w:t>. Variable Allocation Rate</w:t>
            </w:r>
          </w:p>
        </w:tc>
      </w:tr>
      <w:tr w:rsidR="00824A4C" w:rsidTr="00A84D2D">
        <w:trPr>
          <w:trHeight w:val="72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92F45" w:rsidRPr="006A5D50" w:rsidRDefault="00492F45" w:rsidP="00E826AF">
            <w:pPr>
              <w:pStyle w:val="NoParagraphStyle"/>
              <w:spacing w:line="240" w:lineRule="auto"/>
              <w:textAlignment w:val="auto"/>
              <w:rPr>
                <w:rFonts w:ascii="Times New Roman" w:hAnsi="Times New Roman" w:cs="Times New Roman"/>
                <w:color w:val="auto"/>
              </w:rPr>
            </w:pP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92F45" w:rsidRPr="006A5D50" w:rsidRDefault="00492F45" w:rsidP="00E826AF">
            <w:pPr>
              <w:jc w:val="center"/>
            </w:pPr>
            <w:r w:rsidRPr="006A5D50">
              <w:rPr>
                <w:b/>
                <w:bCs/>
                <w:i/>
                <w:iCs/>
              </w:rPr>
              <w:t>Salary</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92F45" w:rsidRPr="006A5D50" w:rsidRDefault="00492F45" w:rsidP="00E826AF">
            <w:pPr>
              <w:jc w:val="center"/>
            </w:pPr>
            <w:r w:rsidRPr="006A5D50">
              <w:rPr>
                <w:b/>
                <w:bCs/>
                <w:i/>
                <w:iCs/>
              </w:rPr>
              <w:t xml:space="preserve">Employer </w:t>
            </w:r>
            <w:r w:rsidRPr="006A5D50">
              <w:rPr>
                <w:b/>
                <w:bCs/>
                <w:i/>
                <w:iCs/>
              </w:rPr>
              <w:br/>
              <w:t>Contribution</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92F45" w:rsidRPr="006A5D50" w:rsidRDefault="00492F45" w:rsidP="00E826AF">
            <w:pPr>
              <w:jc w:val="center"/>
            </w:pPr>
            <w:r w:rsidRPr="006A5D50">
              <w:rPr>
                <w:b/>
                <w:bCs/>
                <w:i/>
                <w:iCs/>
              </w:rPr>
              <w:t>Forfeitures</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92F45" w:rsidRPr="006A5D50" w:rsidRDefault="00492F45" w:rsidP="00E826AF">
            <w:pPr>
              <w:jc w:val="center"/>
            </w:pPr>
            <w:r w:rsidRPr="006A5D50">
              <w:rPr>
                <w:b/>
                <w:bCs/>
                <w:i/>
                <w:iCs/>
              </w:rPr>
              <w:t>Total</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92F45" w:rsidRPr="006A5D50" w:rsidRDefault="00492F45" w:rsidP="00E826AF">
            <w:pPr>
              <w:jc w:val="center"/>
            </w:pPr>
            <w:r w:rsidRPr="006A5D50">
              <w:rPr>
                <w:b/>
                <w:bCs/>
                <w:i/>
                <w:iCs/>
              </w:rPr>
              <w:t>Allocation Percent</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t>HCE #1</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492F45" w:rsidP="00D93C70">
            <w:pPr>
              <w:pStyle w:val="TableBody"/>
              <w:jc w:val="right"/>
              <w:rPr>
                <w:rFonts w:ascii="Times New Roman" w:hAnsi="Times New Roman" w:cs="Times New Roman"/>
                <w:sz w:val="24"/>
                <w:szCs w:val="24"/>
              </w:rPr>
            </w:pPr>
            <w:r w:rsidRPr="006A5D50">
              <w:rPr>
                <w:rFonts w:ascii="Times New Roman" w:hAnsi="Times New Roman" w:cs="Times New Roman"/>
                <w:sz w:val="24"/>
                <w:szCs w:val="24"/>
              </w:rPr>
              <w:t>$2</w:t>
            </w:r>
            <w:r w:rsidR="00D93C70">
              <w:rPr>
                <w:rFonts w:ascii="Times New Roman" w:hAnsi="Times New Roman" w:cs="Times New Roman"/>
                <w:sz w:val="24"/>
                <w:szCs w:val="24"/>
              </w:rPr>
              <w:t>55</w:t>
            </w:r>
            <w:r w:rsidRPr="006A5D50">
              <w:rPr>
                <w:rFonts w:ascii="Times New Roman" w:hAnsi="Times New Roman" w:cs="Times New Roman"/>
                <w:sz w:val="24"/>
                <w:szCs w:val="24"/>
              </w:rPr>
              <w:t>,000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492F45" w:rsidP="00D93C70">
            <w:pPr>
              <w:pStyle w:val="TableBody"/>
              <w:jc w:val="right"/>
              <w:rPr>
                <w:rFonts w:ascii="Times New Roman" w:hAnsi="Times New Roman" w:cs="Times New Roman"/>
                <w:sz w:val="24"/>
                <w:szCs w:val="24"/>
              </w:rPr>
            </w:pPr>
            <w:r w:rsidRPr="006A5D50">
              <w:rPr>
                <w:rFonts w:ascii="Times New Roman" w:hAnsi="Times New Roman" w:cs="Times New Roman"/>
                <w:sz w:val="24"/>
                <w:szCs w:val="24"/>
              </w:rPr>
              <w:t>$4</w:t>
            </w:r>
            <w:r w:rsidR="00D93C70">
              <w:rPr>
                <w:rFonts w:ascii="Times New Roman" w:hAnsi="Times New Roman" w:cs="Times New Roman"/>
                <w:sz w:val="24"/>
                <w:szCs w:val="24"/>
              </w:rPr>
              <w:t>5</w:t>
            </w:r>
            <w:r w:rsidRPr="006A5D50">
              <w:rPr>
                <w:rFonts w:ascii="Times New Roman" w:hAnsi="Times New Roman" w:cs="Times New Roman"/>
                <w:sz w:val="24"/>
                <w:szCs w:val="24"/>
              </w:rPr>
              <w:t>,731</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sz w:val="24"/>
                <w:szCs w:val="24"/>
              </w:rPr>
            </w:pPr>
            <w:r w:rsidRPr="006A5D50">
              <w:rPr>
                <w:rFonts w:ascii="Times New Roman" w:hAnsi="Times New Roman" w:cs="Times New Roman"/>
                <w:sz w:val="24"/>
                <w:szCs w:val="24"/>
              </w:rPr>
              <w:t>$ 5,269</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D93C70">
            <w:pPr>
              <w:pStyle w:val="TableBody"/>
              <w:jc w:val="right"/>
              <w:rPr>
                <w:rFonts w:ascii="Times New Roman" w:hAnsi="Times New Roman" w:cs="Times New Roman"/>
                <w:sz w:val="24"/>
                <w:szCs w:val="24"/>
              </w:rPr>
            </w:pPr>
            <w:r w:rsidRPr="006A5D50">
              <w:rPr>
                <w:rFonts w:ascii="Times New Roman" w:hAnsi="Times New Roman" w:cs="Times New Roman"/>
                <w:sz w:val="24"/>
                <w:szCs w:val="24"/>
              </w:rPr>
              <w:t>$</w:t>
            </w:r>
            <w:r w:rsidR="00D93C70">
              <w:rPr>
                <w:rFonts w:ascii="Times New Roman" w:hAnsi="Times New Roman" w:cs="Times New Roman"/>
                <w:sz w:val="24"/>
                <w:szCs w:val="24"/>
              </w:rPr>
              <w:t>51</w:t>
            </w:r>
            <w:r w:rsidRPr="006A5D50">
              <w:rPr>
                <w:rFonts w:ascii="Times New Roman" w:hAnsi="Times New Roman" w:cs="Times New Roman"/>
                <w:sz w:val="24"/>
                <w:szCs w:val="24"/>
              </w:rPr>
              <w:t>,000</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sz w:val="24"/>
                <w:szCs w:val="24"/>
              </w:rPr>
            </w:pPr>
            <w:r w:rsidRPr="006A5D50">
              <w:rPr>
                <w:rFonts w:ascii="Times New Roman" w:hAnsi="Times New Roman" w:cs="Times New Roman"/>
                <w:sz w:val="24"/>
                <w:szCs w:val="24"/>
              </w:rPr>
              <w:t>20.00%</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t>HCE #2</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492F45" w:rsidP="00824A4C">
            <w:pPr>
              <w:pStyle w:val="TableBody"/>
              <w:jc w:val="right"/>
              <w:rPr>
                <w:rFonts w:ascii="Times New Roman" w:hAnsi="Times New Roman" w:cs="Times New Roman"/>
                <w:color w:val="auto"/>
                <w:sz w:val="24"/>
                <w:szCs w:val="24"/>
                <w:u w:val="single"/>
              </w:rPr>
            </w:pPr>
            <w:r w:rsidRPr="006A5D50">
              <w:rPr>
                <w:rFonts w:ascii="Times New Roman" w:hAnsi="Times New Roman" w:cs="Times New Roman"/>
                <w:color w:val="auto"/>
                <w:sz w:val="24"/>
                <w:szCs w:val="24"/>
                <w:u w:val="single"/>
              </w:rPr>
              <w:t xml:space="preserve"> </w:t>
            </w:r>
            <w:r w:rsidR="007D1322">
              <w:rPr>
                <w:rFonts w:ascii="Times New Roman" w:hAnsi="Times New Roman" w:cs="Times New Roman"/>
                <w:color w:val="auto"/>
                <w:sz w:val="24"/>
                <w:szCs w:val="24"/>
                <w:u w:val="single"/>
              </w:rPr>
              <w:t>$</w:t>
            </w:r>
            <w:r w:rsidRPr="006A5D50">
              <w:rPr>
                <w:rFonts w:ascii="Times New Roman" w:hAnsi="Times New Roman" w:cs="Times New Roman"/>
                <w:color w:val="auto"/>
                <w:sz w:val="24"/>
                <w:szCs w:val="24"/>
                <w:u w:val="single"/>
              </w:rPr>
              <w:t>1</w:t>
            </w:r>
            <w:r w:rsidR="00824A4C">
              <w:rPr>
                <w:rFonts w:ascii="Times New Roman" w:hAnsi="Times New Roman" w:cs="Times New Roman"/>
                <w:color w:val="auto"/>
                <w:sz w:val="24"/>
                <w:szCs w:val="24"/>
                <w:u w:val="single"/>
              </w:rPr>
              <w:t>15</w:t>
            </w:r>
            <w:r w:rsidRPr="006A5D50">
              <w:rPr>
                <w:rFonts w:ascii="Times New Roman" w:hAnsi="Times New Roman" w:cs="Times New Roman"/>
                <w:color w:val="auto"/>
                <w:sz w:val="24"/>
                <w:szCs w:val="24"/>
                <w:u w:val="single"/>
              </w:rPr>
              <w:t>,000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824A4C">
            <w:pPr>
              <w:pStyle w:val="TableBody"/>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  </w:t>
            </w:r>
            <w:r w:rsidR="00824A4C">
              <w:rPr>
                <w:rFonts w:ascii="Times New Roman" w:hAnsi="Times New Roman" w:cs="Times New Roman"/>
                <w:color w:val="auto"/>
                <w:sz w:val="24"/>
                <w:szCs w:val="24"/>
                <w:u w:val="single"/>
              </w:rPr>
              <w:t>9</w:t>
            </w:r>
            <w:r w:rsidR="00492F45" w:rsidRPr="006A5D50">
              <w:rPr>
                <w:rFonts w:ascii="Times New Roman" w:hAnsi="Times New Roman" w:cs="Times New Roman"/>
                <w:color w:val="auto"/>
                <w:sz w:val="24"/>
                <w:szCs w:val="24"/>
                <w:u w:val="single"/>
              </w:rPr>
              <w:t>,</w:t>
            </w:r>
            <w:r w:rsidR="00824A4C">
              <w:rPr>
                <w:rFonts w:ascii="Times New Roman" w:hAnsi="Times New Roman" w:cs="Times New Roman"/>
                <w:color w:val="auto"/>
                <w:sz w:val="24"/>
                <w:szCs w:val="24"/>
                <w:u w:val="single"/>
              </w:rPr>
              <w:t>2</w:t>
            </w:r>
            <w:r w:rsidR="00492F45" w:rsidRPr="006A5D50">
              <w:rPr>
                <w:rFonts w:ascii="Times New Roman" w:hAnsi="Times New Roman" w:cs="Times New Roman"/>
                <w:color w:val="auto"/>
                <w:sz w:val="24"/>
                <w:szCs w:val="24"/>
                <w:u w:val="single"/>
              </w:rPr>
              <w:t>00</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824A4C">
            <w:pPr>
              <w:pStyle w:val="TableBody"/>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 </w:t>
            </w:r>
            <w:r w:rsidR="00492F45" w:rsidRPr="006A5D50">
              <w:rPr>
                <w:rFonts w:ascii="Times New Roman" w:hAnsi="Times New Roman" w:cs="Times New Roman"/>
                <w:color w:val="auto"/>
                <w:sz w:val="24"/>
                <w:szCs w:val="24"/>
                <w:u w:val="single"/>
              </w:rPr>
              <w:t>2,</w:t>
            </w:r>
            <w:r w:rsidR="00824A4C">
              <w:rPr>
                <w:rFonts w:ascii="Times New Roman" w:hAnsi="Times New Roman" w:cs="Times New Roman"/>
                <w:color w:val="auto"/>
                <w:sz w:val="24"/>
                <w:szCs w:val="24"/>
                <w:u w:val="single"/>
              </w:rPr>
              <w:t>749</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824A4C">
            <w:pPr>
              <w:pStyle w:val="TableBody"/>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w:t>
            </w:r>
            <w:r w:rsidR="00492F45" w:rsidRPr="006A5D50">
              <w:rPr>
                <w:rFonts w:ascii="Times New Roman" w:hAnsi="Times New Roman" w:cs="Times New Roman"/>
                <w:color w:val="auto"/>
                <w:sz w:val="24"/>
                <w:szCs w:val="24"/>
                <w:u w:val="single"/>
              </w:rPr>
              <w:t>1</w:t>
            </w:r>
            <w:r w:rsidR="00824A4C">
              <w:rPr>
                <w:rFonts w:ascii="Times New Roman" w:hAnsi="Times New Roman" w:cs="Times New Roman"/>
                <w:color w:val="auto"/>
                <w:sz w:val="24"/>
                <w:szCs w:val="24"/>
                <w:u w:val="single"/>
              </w:rPr>
              <w:t>1</w:t>
            </w:r>
            <w:r w:rsidR="00492F45" w:rsidRPr="006A5D50">
              <w:rPr>
                <w:rFonts w:ascii="Times New Roman" w:hAnsi="Times New Roman" w:cs="Times New Roman"/>
                <w:color w:val="auto"/>
                <w:sz w:val="24"/>
                <w:szCs w:val="24"/>
                <w:u w:val="single"/>
              </w:rPr>
              <w:t>,9</w:t>
            </w:r>
            <w:r w:rsidR="00824A4C">
              <w:rPr>
                <w:rFonts w:ascii="Times New Roman" w:hAnsi="Times New Roman" w:cs="Times New Roman"/>
                <w:color w:val="auto"/>
                <w:sz w:val="24"/>
                <w:szCs w:val="24"/>
                <w:u w:val="single"/>
              </w:rPr>
              <w:t>49</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10.39%</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33241C" w:rsidRDefault="00492F45" w:rsidP="00E826AF">
            <w:pPr>
              <w:rPr>
                <w:b/>
              </w:rPr>
            </w:pPr>
            <w:r w:rsidRPr="0033241C">
              <w:rPr>
                <w:b/>
              </w:rPr>
              <w:t>S TOTAL</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33241C" w:rsidRDefault="00492F45" w:rsidP="00115CF1">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$3</w:t>
            </w:r>
            <w:r w:rsidR="00115CF1" w:rsidRPr="0033241C">
              <w:rPr>
                <w:rFonts w:ascii="Times New Roman" w:hAnsi="Times New Roman" w:cs="Times New Roman"/>
                <w:b/>
                <w:sz w:val="24"/>
                <w:szCs w:val="24"/>
                <w:u w:val="single"/>
              </w:rPr>
              <w:t>7</w:t>
            </w:r>
            <w:r w:rsidR="00824A4C" w:rsidRPr="0033241C">
              <w:rPr>
                <w:rFonts w:ascii="Times New Roman" w:hAnsi="Times New Roman" w:cs="Times New Roman"/>
                <w:b/>
                <w:sz w:val="24"/>
                <w:szCs w:val="24"/>
                <w:u w:val="single"/>
              </w:rPr>
              <w:t>0</w:t>
            </w:r>
            <w:r w:rsidRPr="0033241C">
              <w:rPr>
                <w:rFonts w:ascii="Times New Roman" w:hAnsi="Times New Roman" w:cs="Times New Roman"/>
                <w:b/>
                <w:sz w:val="24"/>
                <w:szCs w:val="24"/>
                <w:u w:val="single"/>
              </w:rPr>
              <w:t>,000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33241C" w:rsidRDefault="00492F45" w:rsidP="00115CF1">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$5</w:t>
            </w:r>
            <w:r w:rsidR="00115CF1" w:rsidRPr="0033241C">
              <w:rPr>
                <w:rFonts w:ascii="Times New Roman" w:hAnsi="Times New Roman" w:cs="Times New Roman"/>
                <w:b/>
                <w:sz w:val="24"/>
                <w:szCs w:val="24"/>
                <w:u w:val="single"/>
              </w:rPr>
              <w:t>4</w:t>
            </w:r>
            <w:r w:rsidRPr="0033241C">
              <w:rPr>
                <w:rFonts w:ascii="Times New Roman" w:hAnsi="Times New Roman" w:cs="Times New Roman"/>
                <w:b/>
                <w:sz w:val="24"/>
                <w:szCs w:val="24"/>
                <w:u w:val="single"/>
              </w:rPr>
              <w:t>,</w:t>
            </w:r>
            <w:r w:rsidR="00824A4C" w:rsidRPr="0033241C">
              <w:rPr>
                <w:rFonts w:ascii="Times New Roman" w:hAnsi="Times New Roman" w:cs="Times New Roman"/>
                <w:b/>
                <w:sz w:val="24"/>
                <w:szCs w:val="24"/>
                <w:u w:val="single"/>
              </w:rPr>
              <w:t>9</w:t>
            </w:r>
            <w:r w:rsidRPr="0033241C">
              <w:rPr>
                <w:rFonts w:ascii="Times New Roman" w:hAnsi="Times New Roman" w:cs="Times New Roman"/>
                <w:b/>
                <w:sz w:val="24"/>
                <w:szCs w:val="24"/>
                <w:u w:val="single"/>
              </w:rPr>
              <w:t>31</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33241C" w:rsidRDefault="00492F45" w:rsidP="00824A4C">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 xml:space="preserve">$ </w:t>
            </w:r>
            <w:r w:rsidR="00824A4C" w:rsidRPr="0033241C">
              <w:rPr>
                <w:rFonts w:ascii="Times New Roman" w:hAnsi="Times New Roman" w:cs="Times New Roman"/>
                <w:b/>
                <w:sz w:val="24"/>
                <w:szCs w:val="24"/>
                <w:u w:val="single"/>
              </w:rPr>
              <w:t>8</w:t>
            </w:r>
            <w:r w:rsidRPr="0033241C">
              <w:rPr>
                <w:rFonts w:ascii="Times New Roman" w:hAnsi="Times New Roman" w:cs="Times New Roman"/>
                <w:b/>
                <w:sz w:val="24"/>
                <w:szCs w:val="24"/>
                <w:u w:val="single"/>
              </w:rPr>
              <w:t>,</w:t>
            </w:r>
            <w:r w:rsidR="00824A4C" w:rsidRPr="0033241C">
              <w:rPr>
                <w:rFonts w:ascii="Times New Roman" w:hAnsi="Times New Roman" w:cs="Times New Roman"/>
                <w:b/>
                <w:sz w:val="24"/>
                <w:szCs w:val="24"/>
                <w:u w:val="single"/>
              </w:rPr>
              <w:t>018</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33241C" w:rsidRDefault="00492F45" w:rsidP="00115CF1">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w:t>
            </w:r>
            <w:r w:rsidR="00824A4C" w:rsidRPr="0033241C">
              <w:rPr>
                <w:rFonts w:ascii="Times New Roman" w:hAnsi="Times New Roman" w:cs="Times New Roman"/>
                <w:b/>
                <w:sz w:val="24"/>
                <w:szCs w:val="24"/>
                <w:u w:val="single"/>
              </w:rPr>
              <w:t>6</w:t>
            </w:r>
            <w:r w:rsidR="00115CF1" w:rsidRPr="0033241C">
              <w:rPr>
                <w:rFonts w:ascii="Times New Roman" w:hAnsi="Times New Roman" w:cs="Times New Roman"/>
                <w:b/>
                <w:sz w:val="24"/>
                <w:szCs w:val="24"/>
                <w:u w:val="single"/>
              </w:rPr>
              <w:t>2</w:t>
            </w:r>
            <w:r w:rsidRPr="0033241C">
              <w:rPr>
                <w:rFonts w:ascii="Times New Roman" w:hAnsi="Times New Roman" w:cs="Times New Roman"/>
                <w:b/>
                <w:sz w:val="24"/>
                <w:szCs w:val="24"/>
                <w:u w:val="single"/>
              </w:rPr>
              <w:t>,9</w:t>
            </w:r>
            <w:r w:rsidR="00824A4C" w:rsidRPr="0033241C">
              <w:rPr>
                <w:rFonts w:ascii="Times New Roman" w:hAnsi="Times New Roman" w:cs="Times New Roman"/>
                <w:b/>
                <w:sz w:val="24"/>
                <w:szCs w:val="24"/>
                <w:u w:val="single"/>
              </w:rPr>
              <w:t>49</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33241C" w:rsidRDefault="00492F45" w:rsidP="00E826AF">
            <w:pPr>
              <w:pStyle w:val="NoParagraphStyle"/>
              <w:spacing w:line="240" w:lineRule="auto"/>
              <w:textAlignment w:val="auto"/>
              <w:rPr>
                <w:rFonts w:ascii="Times New Roman" w:hAnsi="Times New Roman" w:cs="Times New Roman"/>
                <w:b/>
                <w:color w:val="auto"/>
              </w:rPr>
            </w:pPr>
          </w:p>
        </w:tc>
      </w:tr>
      <w:tr w:rsidR="001C05A6"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05A6" w:rsidRPr="006A5D50" w:rsidRDefault="001C05A6" w:rsidP="00E826AF"/>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1C05A6" w:rsidRPr="006A5D50" w:rsidRDefault="001C05A6" w:rsidP="00E826AF">
            <w:pPr>
              <w:pStyle w:val="TableBody"/>
              <w:jc w:val="right"/>
              <w:rPr>
                <w:rFonts w:ascii="Times New Roman" w:hAnsi="Times New Roman" w:cs="Times New Roman"/>
                <w:color w:val="auto"/>
                <w:sz w:val="24"/>
                <w:szCs w:val="24"/>
              </w:rPr>
            </w:pP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1C05A6" w:rsidRPr="006A5D50" w:rsidRDefault="001C05A6" w:rsidP="00E826AF">
            <w:pPr>
              <w:pStyle w:val="TableBody"/>
              <w:jc w:val="right"/>
              <w:rPr>
                <w:rFonts w:ascii="Times New Roman" w:hAnsi="Times New Roman" w:cs="Times New Roman"/>
                <w:color w:val="auto"/>
                <w:sz w:val="24"/>
                <w:szCs w:val="24"/>
              </w:rPr>
            </w:pP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1C05A6" w:rsidRPr="006A5D50" w:rsidRDefault="001C05A6" w:rsidP="00E826AF">
            <w:pPr>
              <w:pStyle w:val="TableBody"/>
              <w:jc w:val="right"/>
              <w:rPr>
                <w:rFonts w:ascii="Times New Roman" w:hAnsi="Times New Roman" w:cs="Times New Roman"/>
                <w:color w:val="auto"/>
                <w:sz w:val="24"/>
                <w:szCs w:val="24"/>
              </w:rPr>
            </w:pP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1C05A6" w:rsidRPr="006A5D50" w:rsidRDefault="001C05A6" w:rsidP="00E826AF">
            <w:pPr>
              <w:pStyle w:val="TableBody"/>
              <w:jc w:val="right"/>
              <w:rPr>
                <w:rFonts w:ascii="Times New Roman" w:hAnsi="Times New Roman" w:cs="Times New Roman"/>
                <w:color w:val="auto"/>
                <w:sz w:val="24"/>
                <w:szCs w:val="24"/>
              </w:rPr>
            </w:pP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1C05A6" w:rsidRPr="006A5D50" w:rsidRDefault="001C05A6" w:rsidP="00E826AF">
            <w:pPr>
              <w:pStyle w:val="TableBody"/>
              <w:jc w:val="right"/>
              <w:rPr>
                <w:rFonts w:ascii="Times New Roman" w:hAnsi="Times New Roman" w:cs="Times New Roman"/>
                <w:color w:val="auto"/>
                <w:sz w:val="24"/>
                <w:szCs w:val="24"/>
              </w:rPr>
            </w:pP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t>NHCE #1</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$ 25,000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  4,401</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    599</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w:t>
            </w:r>
            <w:r w:rsidR="007D1322">
              <w:rPr>
                <w:rFonts w:ascii="Times New Roman" w:hAnsi="Times New Roman" w:cs="Times New Roman"/>
                <w:color w:val="auto"/>
                <w:sz w:val="24"/>
                <w:szCs w:val="24"/>
              </w:rPr>
              <w:t xml:space="preserve"> </w:t>
            </w:r>
            <w:r w:rsidRPr="006A5D50">
              <w:rPr>
                <w:rFonts w:ascii="Times New Roman" w:hAnsi="Times New Roman" w:cs="Times New Roman"/>
                <w:color w:val="auto"/>
                <w:sz w:val="24"/>
                <w:szCs w:val="24"/>
              </w:rPr>
              <w:t xml:space="preserve"> 5,000</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20.00%</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t>NHCE #2</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35,000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2,800</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838</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3,638</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sz w:val="24"/>
                <w:szCs w:val="24"/>
              </w:rPr>
            </w:pPr>
            <w:r w:rsidRPr="006A5D50">
              <w:rPr>
                <w:rFonts w:ascii="Times New Roman" w:hAnsi="Times New Roman" w:cs="Times New Roman"/>
                <w:sz w:val="24"/>
                <w:szCs w:val="24"/>
              </w:rPr>
              <w:t>10.39%</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lastRenderedPageBreak/>
              <w:t>NHCE #3</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92F45" w:rsidRPr="006A5D50">
              <w:rPr>
                <w:rFonts w:ascii="Times New Roman" w:hAnsi="Times New Roman" w:cs="Times New Roman"/>
                <w:color w:val="auto"/>
                <w:sz w:val="24"/>
                <w:szCs w:val="24"/>
              </w:rPr>
              <w:t>28,000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92F45" w:rsidRPr="006A5D50">
              <w:rPr>
                <w:rFonts w:ascii="Times New Roman" w:hAnsi="Times New Roman" w:cs="Times New Roman"/>
                <w:color w:val="auto"/>
                <w:sz w:val="24"/>
                <w:szCs w:val="24"/>
              </w:rPr>
              <w:t>2,240</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92F45" w:rsidRPr="006A5D50">
              <w:rPr>
                <w:rFonts w:ascii="Times New Roman" w:hAnsi="Times New Roman" w:cs="Times New Roman"/>
                <w:color w:val="auto"/>
                <w:sz w:val="24"/>
                <w:szCs w:val="24"/>
              </w:rPr>
              <w:t>671</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92F45" w:rsidRPr="006A5D50">
              <w:rPr>
                <w:rFonts w:ascii="Times New Roman" w:hAnsi="Times New Roman" w:cs="Times New Roman"/>
                <w:color w:val="auto"/>
                <w:sz w:val="24"/>
                <w:szCs w:val="24"/>
              </w:rPr>
              <w:t>2,911</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10.39%</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t>NHCE #4</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18,000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3,169</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431</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sz w:val="24"/>
                <w:szCs w:val="24"/>
              </w:rPr>
            </w:pPr>
            <w:r>
              <w:rPr>
                <w:rFonts w:ascii="Times New Roman" w:hAnsi="Times New Roman" w:cs="Times New Roman"/>
                <w:sz w:val="24"/>
                <w:szCs w:val="24"/>
              </w:rPr>
              <w:t xml:space="preserve">$  </w:t>
            </w:r>
            <w:r w:rsidR="00492F45" w:rsidRPr="006A5D50">
              <w:rPr>
                <w:rFonts w:ascii="Times New Roman" w:hAnsi="Times New Roman" w:cs="Times New Roman"/>
                <w:sz w:val="24"/>
                <w:szCs w:val="24"/>
              </w:rPr>
              <w:t>3,600</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sz w:val="24"/>
                <w:szCs w:val="24"/>
              </w:rPr>
            </w:pPr>
            <w:r w:rsidRPr="006A5D50">
              <w:rPr>
                <w:rFonts w:ascii="Times New Roman" w:hAnsi="Times New Roman" w:cs="Times New Roman"/>
                <w:sz w:val="24"/>
                <w:szCs w:val="24"/>
              </w:rPr>
              <w:t>20.00%</w:t>
            </w:r>
          </w:p>
        </w:tc>
      </w:tr>
      <w:tr w:rsidR="00824A4C" w:rsidTr="00A84D2D">
        <w:trPr>
          <w:trHeight w:val="60"/>
          <w:jc w:val="center"/>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2F45" w:rsidRPr="006A5D50" w:rsidRDefault="00492F45" w:rsidP="00E826AF">
            <w:r w:rsidRPr="006A5D50">
              <w:t>NHCE #5</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 </w:t>
            </w:r>
            <w:r w:rsidR="00492F45" w:rsidRPr="006A5D50">
              <w:rPr>
                <w:rFonts w:ascii="Times New Roman" w:hAnsi="Times New Roman" w:cs="Times New Roman"/>
                <w:color w:val="auto"/>
                <w:sz w:val="24"/>
                <w:szCs w:val="24"/>
                <w:u w:val="single"/>
              </w:rPr>
              <w:t>50,000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360" w:type="dxa"/>
            </w:tcMar>
          </w:tcPr>
          <w:p w:rsidR="00492F45" w:rsidRPr="006A5D50" w:rsidRDefault="007D1322" w:rsidP="00E826AF">
            <w:pPr>
              <w:pStyle w:val="TableBody"/>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  </w:t>
            </w:r>
            <w:r w:rsidR="00492F45" w:rsidRPr="006A5D50">
              <w:rPr>
                <w:rFonts w:ascii="Times New Roman" w:hAnsi="Times New Roman" w:cs="Times New Roman"/>
                <w:color w:val="auto"/>
                <w:sz w:val="24"/>
                <w:szCs w:val="24"/>
                <w:u w:val="single"/>
              </w:rPr>
              <w:t>4,000</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u w:val="single"/>
              </w:rPr>
            </w:pPr>
            <w:r w:rsidRPr="006A5D50">
              <w:rPr>
                <w:rFonts w:ascii="Times New Roman" w:hAnsi="Times New Roman" w:cs="Times New Roman"/>
                <w:color w:val="auto"/>
                <w:sz w:val="24"/>
                <w:szCs w:val="24"/>
                <w:u w:val="single"/>
              </w:rPr>
              <w:t xml:space="preserve">   </w:t>
            </w:r>
            <w:r w:rsidR="007D1322">
              <w:rPr>
                <w:rFonts w:ascii="Times New Roman" w:hAnsi="Times New Roman" w:cs="Times New Roman"/>
                <w:color w:val="auto"/>
                <w:sz w:val="24"/>
                <w:szCs w:val="24"/>
                <w:u w:val="single"/>
              </w:rPr>
              <w:t xml:space="preserve">$ </w:t>
            </w:r>
            <w:r w:rsidRPr="006A5D50">
              <w:rPr>
                <w:rFonts w:ascii="Times New Roman" w:hAnsi="Times New Roman" w:cs="Times New Roman"/>
                <w:color w:val="auto"/>
                <w:sz w:val="24"/>
                <w:szCs w:val="24"/>
                <w:u w:val="single"/>
              </w:rPr>
              <w:t>1,197</w:t>
            </w:r>
          </w:p>
        </w:tc>
        <w:tc>
          <w:tcPr>
            <w:tcW w:w="1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7D1322" w:rsidP="00E826AF">
            <w:pPr>
              <w:pStyle w:val="TableBody"/>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w:t>
            </w:r>
            <w:r w:rsidR="00492F45" w:rsidRPr="006A5D50">
              <w:rPr>
                <w:rFonts w:ascii="Times New Roman" w:hAnsi="Times New Roman" w:cs="Times New Roman"/>
                <w:color w:val="auto"/>
                <w:sz w:val="24"/>
                <w:szCs w:val="24"/>
                <w:u w:val="single"/>
              </w:rPr>
              <w:t>5,197</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70" w:type="dxa"/>
            </w:tcMar>
          </w:tcPr>
          <w:p w:rsidR="00492F45" w:rsidRPr="006A5D50" w:rsidRDefault="00492F45" w:rsidP="00E826AF">
            <w:pPr>
              <w:pStyle w:val="TableBody"/>
              <w:jc w:val="right"/>
              <w:rPr>
                <w:rFonts w:ascii="Times New Roman" w:hAnsi="Times New Roman" w:cs="Times New Roman"/>
                <w:color w:val="auto"/>
                <w:sz w:val="24"/>
                <w:szCs w:val="24"/>
              </w:rPr>
            </w:pPr>
            <w:r w:rsidRPr="006A5D50">
              <w:rPr>
                <w:rFonts w:ascii="Times New Roman" w:hAnsi="Times New Roman" w:cs="Times New Roman"/>
                <w:color w:val="auto"/>
                <w:sz w:val="24"/>
                <w:szCs w:val="24"/>
              </w:rPr>
              <w:t>10.39%</w:t>
            </w:r>
          </w:p>
        </w:tc>
      </w:tr>
      <w:tr w:rsidR="00824A4C" w:rsidTr="00A84D2D">
        <w:trPr>
          <w:trHeight w:val="562"/>
          <w:jc w:val="center"/>
        </w:trPr>
        <w:tc>
          <w:tcPr>
            <w:tcW w:w="1379"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80" w:type="dxa"/>
            </w:tcMar>
          </w:tcPr>
          <w:p w:rsidR="00492F45" w:rsidRPr="0033241C" w:rsidRDefault="00492F45" w:rsidP="00E826AF">
            <w:pPr>
              <w:rPr>
                <w:b/>
              </w:rPr>
            </w:pPr>
            <w:r w:rsidRPr="0033241C">
              <w:rPr>
                <w:b/>
              </w:rPr>
              <w:t>S TOTAL</w:t>
            </w:r>
          </w:p>
        </w:tc>
        <w:tc>
          <w:tcPr>
            <w:tcW w:w="1203"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360" w:type="dxa"/>
            </w:tcMar>
          </w:tcPr>
          <w:p w:rsidR="00492F45" w:rsidRPr="0033241C" w:rsidRDefault="00492F45" w:rsidP="00E826AF">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$156,000</w:t>
            </w:r>
          </w:p>
        </w:tc>
        <w:tc>
          <w:tcPr>
            <w:tcW w:w="1441"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360" w:type="dxa"/>
            </w:tcMar>
          </w:tcPr>
          <w:p w:rsidR="00492F45" w:rsidRPr="0033241C" w:rsidRDefault="00492F45" w:rsidP="00E826AF">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$16,610</w:t>
            </w:r>
          </w:p>
        </w:tc>
        <w:tc>
          <w:tcPr>
            <w:tcW w:w="1790"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492F45" w:rsidRPr="0033241C" w:rsidRDefault="00492F45" w:rsidP="007D1322">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$ 3,736</w:t>
            </w:r>
          </w:p>
        </w:tc>
        <w:tc>
          <w:tcPr>
            <w:tcW w:w="1158"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492F45" w:rsidRPr="0033241C" w:rsidRDefault="00492F45" w:rsidP="00E826AF">
            <w:pPr>
              <w:pStyle w:val="TableBody"/>
              <w:jc w:val="right"/>
              <w:rPr>
                <w:rFonts w:ascii="Times New Roman" w:hAnsi="Times New Roman" w:cs="Times New Roman"/>
                <w:b/>
                <w:sz w:val="24"/>
                <w:szCs w:val="24"/>
                <w:u w:val="single"/>
              </w:rPr>
            </w:pPr>
            <w:r w:rsidRPr="0033241C">
              <w:rPr>
                <w:rFonts w:ascii="Times New Roman" w:hAnsi="Times New Roman" w:cs="Times New Roman"/>
                <w:b/>
                <w:sz w:val="24"/>
                <w:szCs w:val="24"/>
                <w:u w:val="single"/>
              </w:rPr>
              <w:t>$20,346</w:t>
            </w:r>
          </w:p>
        </w:tc>
        <w:tc>
          <w:tcPr>
            <w:tcW w:w="1187"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492F45" w:rsidRPr="006A5D50" w:rsidRDefault="00492F45" w:rsidP="00E826AF">
            <w:pPr>
              <w:pStyle w:val="NoParagraphStyle"/>
              <w:spacing w:line="240" w:lineRule="auto"/>
              <w:textAlignment w:val="auto"/>
              <w:rPr>
                <w:rFonts w:ascii="Times New Roman" w:hAnsi="Times New Roman" w:cs="Times New Roman"/>
                <w:color w:val="auto"/>
              </w:rPr>
            </w:pPr>
          </w:p>
        </w:tc>
      </w:tr>
      <w:tr w:rsidR="001C05A6" w:rsidTr="00A84D2D">
        <w:trPr>
          <w:trHeight w:val="520"/>
          <w:jc w:val="center"/>
        </w:trPr>
        <w:tc>
          <w:tcPr>
            <w:tcW w:w="1379"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80" w:type="dxa"/>
            </w:tcMar>
          </w:tcPr>
          <w:p w:rsidR="001C05A6" w:rsidRPr="006A5D50" w:rsidRDefault="001C05A6" w:rsidP="00E826AF"/>
        </w:tc>
        <w:tc>
          <w:tcPr>
            <w:tcW w:w="1203"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360" w:type="dxa"/>
            </w:tcMar>
          </w:tcPr>
          <w:p w:rsidR="001C05A6" w:rsidRPr="006A5D50" w:rsidRDefault="001C05A6" w:rsidP="00115CF1">
            <w:pPr>
              <w:pStyle w:val="TableBody"/>
              <w:jc w:val="right"/>
              <w:rPr>
                <w:rFonts w:ascii="Times New Roman" w:hAnsi="Times New Roman" w:cs="Times New Roman"/>
                <w:color w:val="auto"/>
                <w:sz w:val="24"/>
                <w:szCs w:val="24"/>
                <w:u w:val="single"/>
              </w:rPr>
            </w:pPr>
          </w:p>
        </w:tc>
        <w:tc>
          <w:tcPr>
            <w:tcW w:w="1441"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360" w:type="dxa"/>
            </w:tcMar>
          </w:tcPr>
          <w:p w:rsidR="001C05A6" w:rsidRPr="006A5D50" w:rsidRDefault="001C05A6" w:rsidP="00115CF1">
            <w:pPr>
              <w:pStyle w:val="TableBody"/>
              <w:jc w:val="right"/>
              <w:rPr>
                <w:rFonts w:ascii="Times New Roman" w:hAnsi="Times New Roman" w:cs="Times New Roman"/>
                <w:color w:val="auto"/>
                <w:sz w:val="24"/>
                <w:szCs w:val="24"/>
                <w:u w:val="single"/>
              </w:rPr>
            </w:pPr>
          </w:p>
        </w:tc>
        <w:tc>
          <w:tcPr>
            <w:tcW w:w="1790"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1C05A6" w:rsidRPr="006A5D50" w:rsidRDefault="001C05A6" w:rsidP="00824A4C">
            <w:pPr>
              <w:pStyle w:val="TableBody"/>
              <w:jc w:val="right"/>
              <w:rPr>
                <w:rFonts w:ascii="Times New Roman" w:hAnsi="Times New Roman" w:cs="Times New Roman"/>
                <w:color w:val="auto"/>
                <w:sz w:val="24"/>
                <w:szCs w:val="24"/>
                <w:u w:val="single"/>
              </w:rPr>
            </w:pPr>
          </w:p>
        </w:tc>
        <w:tc>
          <w:tcPr>
            <w:tcW w:w="1158"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1C05A6" w:rsidRPr="006A5D50" w:rsidRDefault="001C05A6" w:rsidP="00115CF1">
            <w:pPr>
              <w:pStyle w:val="TableBody"/>
              <w:jc w:val="right"/>
              <w:rPr>
                <w:rFonts w:ascii="Times New Roman" w:hAnsi="Times New Roman" w:cs="Times New Roman"/>
                <w:color w:val="auto"/>
                <w:sz w:val="24"/>
                <w:szCs w:val="24"/>
                <w:u w:val="single"/>
              </w:rPr>
            </w:pPr>
          </w:p>
        </w:tc>
        <w:tc>
          <w:tcPr>
            <w:tcW w:w="1187"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1C05A6" w:rsidRPr="006A5D50" w:rsidRDefault="001C05A6" w:rsidP="00E826AF">
            <w:pPr>
              <w:pStyle w:val="NoParagraphStyle"/>
              <w:spacing w:line="240" w:lineRule="auto"/>
              <w:textAlignment w:val="auto"/>
              <w:rPr>
                <w:rFonts w:ascii="Times New Roman" w:hAnsi="Times New Roman" w:cs="Times New Roman"/>
                <w:color w:val="auto"/>
              </w:rPr>
            </w:pPr>
          </w:p>
        </w:tc>
      </w:tr>
      <w:tr w:rsidR="00824A4C" w:rsidTr="00A84D2D">
        <w:trPr>
          <w:trHeight w:val="520"/>
          <w:jc w:val="center"/>
        </w:trPr>
        <w:tc>
          <w:tcPr>
            <w:tcW w:w="1379"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80" w:type="dxa"/>
            </w:tcMar>
          </w:tcPr>
          <w:p w:rsidR="00492F45" w:rsidRPr="0033241C" w:rsidRDefault="00492F45" w:rsidP="00E826AF">
            <w:pPr>
              <w:rPr>
                <w:b/>
              </w:rPr>
            </w:pPr>
            <w:r w:rsidRPr="0033241C">
              <w:rPr>
                <w:b/>
              </w:rPr>
              <w:t>TOTAL</w:t>
            </w:r>
          </w:p>
        </w:tc>
        <w:tc>
          <w:tcPr>
            <w:tcW w:w="1203"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360" w:type="dxa"/>
            </w:tcMar>
          </w:tcPr>
          <w:p w:rsidR="00492F45" w:rsidRPr="0033241C" w:rsidRDefault="00492F45" w:rsidP="00115CF1">
            <w:pPr>
              <w:pStyle w:val="TableBody"/>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$5</w:t>
            </w:r>
            <w:r w:rsidR="00115CF1" w:rsidRPr="0033241C">
              <w:rPr>
                <w:rFonts w:ascii="Times New Roman" w:hAnsi="Times New Roman" w:cs="Times New Roman"/>
                <w:b/>
                <w:color w:val="auto"/>
                <w:sz w:val="24"/>
                <w:szCs w:val="24"/>
                <w:u w:val="single"/>
              </w:rPr>
              <w:t>2</w:t>
            </w:r>
            <w:r w:rsidR="00824A4C" w:rsidRPr="0033241C">
              <w:rPr>
                <w:rFonts w:ascii="Times New Roman" w:hAnsi="Times New Roman" w:cs="Times New Roman"/>
                <w:b/>
                <w:color w:val="auto"/>
                <w:sz w:val="24"/>
                <w:szCs w:val="24"/>
                <w:u w:val="single"/>
              </w:rPr>
              <w:t>6</w:t>
            </w:r>
            <w:r w:rsidRPr="0033241C">
              <w:rPr>
                <w:rFonts w:ascii="Times New Roman" w:hAnsi="Times New Roman" w:cs="Times New Roman"/>
                <w:b/>
                <w:color w:val="auto"/>
                <w:sz w:val="24"/>
                <w:szCs w:val="24"/>
                <w:u w:val="single"/>
              </w:rPr>
              <w:t>,000</w:t>
            </w:r>
          </w:p>
        </w:tc>
        <w:tc>
          <w:tcPr>
            <w:tcW w:w="1441"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360" w:type="dxa"/>
            </w:tcMar>
          </w:tcPr>
          <w:p w:rsidR="00492F45" w:rsidRPr="0033241C" w:rsidRDefault="00492F45" w:rsidP="00115CF1">
            <w:pPr>
              <w:pStyle w:val="TableBody"/>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w:t>
            </w:r>
            <w:r w:rsidR="00115CF1" w:rsidRPr="0033241C">
              <w:rPr>
                <w:rFonts w:ascii="Times New Roman" w:hAnsi="Times New Roman" w:cs="Times New Roman"/>
                <w:b/>
                <w:color w:val="auto"/>
                <w:sz w:val="24"/>
                <w:szCs w:val="24"/>
                <w:u w:val="single"/>
              </w:rPr>
              <w:t>71</w:t>
            </w:r>
            <w:r w:rsidRPr="0033241C">
              <w:rPr>
                <w:rFonts w:ascii="Times New Roman" w:hAnsi="Times New Roman" w:cs="Times New Roman"/>
                <w:b/>
                <w:color w:val="auto"/>
                <w:sz w:val="24"/>
                <w:szCs w:val="24"/>
                <w:u w:val="single"/>
              </w:rPr>
              <w:t>,</w:t>
            </w:r>
            <w:r w:rsidR="00824A4C" w:rsidRPr="0033241C">
              <w:rPr>
                <w:rFonts w:ascii="Times New Roman" w:hAnsi="Times New Roman" w:cs="Times New Roman"/>
                <w:b/>
                <w:color w:val="auto"/>
                <w:sz w:val="24"/>
                <w:szCs w:val="24"/>
                <w:u w:val="single"/>
              </w:rPr>
              <w:t>5</w:t>
            </w:r>
            <w:r w:rsidRPr="0033241C">
              <w:rPr>
                <w:rFonts w:ascii="Times New Roman" w:hAnsi="Times New Roman" w:cs="Times New Roman"/>
                <w:b/>
                <w:color w:val="auto"/>
                <w:sz w:val="24"/>
                <w:szCs w:val="24"/>
                <w:u w:val="single"/>
              </w:rPr>
              <w:t>41</w:t>
            </w:r>
          </w:p>
        </w:tc>
        <w:tc>
          <w:tcPr>
            <w:tcW w:w="1790"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492F45" w:rsidRPr="0033241C" w:rsidRDefault="00492F45" w:rsidP="00AA1506">
            <w:pPr>
              <w:pStyle w:val="TableBody"/>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w:t>
            </w:r>
            <w:r w:rsidR="00AA1506">
              <w:rPr>
                <w:rFonts w:ascii="Times New Roman" w:hAnsi="Times New Roman" w:cs="Times New Roman"/>
                <w:b/>
                <w:color w:val="auto"/>
                <w:sz w:val="24"/>
                <w:szCs w:val="24"/>
                <w:u w:val="single"/>
              </w:rPr>
              <w:t>11,754</w:t>
            </w:r>
          </w:p>
        </w:tc>
        <w:tc>
          <w:tcPr>
            <w:tcW w:w="1158"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492F45" w:rsidRPr="0033241C" w:rsidRDefault="00492F45" w:rsidP="00115CF1">
            <w:pPr>
              <w:pStyle w:val="TableBody"/>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w:t>
            </w:r>
            <w:r w:rsidR="00824A4C" w:rsidRPr="0033241C">
              <w:rPr>
                <w:rFonts w:ascii="Times New Roman" w:hAnsi="Times New Roman" w:cs="Times New Roman"/>
                <w:b/>
                <w:color w:val="auto"/>
                <w:sz w:val="24"/>
                <w:szCs w:val="24"/>
                <w:u w:val="single"/>
              </w:rPr>
              <w:t>8</w:t>
            </w:r>
            <w:r w:rsidR="00115CF1" w:rsidRPr="0033241C">
              <w:rPr>
                <w:rFonts w:ascii="Times New Roman" w:hAnsi="Times New Roman" w:cs="Times New Roman"/>
                <w:b/>
                <w:color w:val="auto"/>
                <w:sz w:val="24"/>
                <w:szCs w:val="24"/>
                <w:u w:val="single"/>
              </w:rPr>
              <w:t>3</w:t>
            </w:r>
            <w:r w:rsidRPr="0033241C">
              <w:rPr>
                <w:rFonts w:ascii="Times New Roman" w:hAnsi="Times New Roman" w:cs="Times New Roman"/>
                <w:b/>
                <w:color w:val="auto"/>
                <w:sz w:val="24"/>
                <w:szCs w:val="24"/>
                <w:u w:val="single"/>
              </w:rPr>
              <w:t>,</w:t>
            </w:r>
            <w:r w:rsidR="00824A4C" w:rsidRPr="0033241C">
              <w:rPr>
                <w:rFonts w:ascii="Times New Roman" w:hAnsi="Times New Roman" w:cs="Times New Roman"/>
                <w:b/>
                <w:color w:val="auto"/>
                <w:sz w:val="24"/>
                <w:szCs w:val="24"/>
                <w:u w:val="single"/>
              </w:rPr>
              <w:t>295</w:t>
            </w:r>
          </w:p>
        </w:tc>
        <w:tc>
          <w:tcPr>
            <w:tcW w:w="1187" w:type="dxa"/>
            <w:tcBorders>
              <w:top w:val="single" w:sz="4" w:space="0" w:color="000000"/>
              <w:left w:val="single" w:sz="4" w:space="0" w:color="000000"/>
              <w:bottom w:val="single" w:sz="4" w:space="0" w:color="000000"/>
              <w:right w:val="single" w:sz="4" w:space="0" w:color="000000"/>
            </w:tcBorders>
            <w:tcMar>
              <w:top w:w="180" w:type="dxa"/>
              <w:left w:w="80" w:type="dxa"/>
              <w:bottom w:w="80" w:type="dxa"/>
              <w:right w:w="270" w:type="dxa"/>
            </w:tcMar>
          </w:tcPr>
          <w:p w:rsidR="00492F45" w:rsidRPr="006A5D50" w:rsidRDefault="00492F45" w:rsidP="00E826AF">
            <w:pPr>
              <w:pStyle w:val="NoParagraphStyle"/>
              <w:spacing w:line="240" w:lineRule="auto"/>
              <w:textAlignment w:val="auto"/>
              <w:rPr>
                <w:rFonts w:ascii="Times New Roman" w:hAnsi="Times New Roman" w:cs="Times New Roman"/>
                <w:color w:val="auto"/>
              </w:rPr>
            </w:pPr>
          </w:p>
        </w:tc>
      </w:tr>
    </w:tbl>
    <w:p w:rsidR="00492F45" w:rsidRDefault="00492F45" w:rsidP="00492F45">
      <w:pPr>
        <w:pStyle w:val="PA"/>
      </w:pPr>
    </w:p>
    <w:p w:rsidR="00492F45" w:rsidRPr="00492F45" w:rsidRDefault="00492F45" w:rsidP="00492F45">
      <w:pPr>
        <w:pStyle w:val="NoSpacing"/>
        <w:ind w:left="1080"/>
        <w:rPr>
          <w:rFonts w:ascii="Times New Roman" w:hAnsi="Times New Roman" w:cs="Times New Roman"/>
          <w:sz w:val="24"/>
          <w:szCs w:val="24"/>
        </w:rPr>
      </w:pPr>
      <w:r w:rsidRPr="00492F45">
        <w:rPr>
          <w:rFonts w:ascii="Times New Roman" w:hAnsi="Times New Roman" w:cs="Times New Roman"/>
          <w:sz w:val="24"/>
          <w:szCs w:val="24"/>
        </w:rPr>
        <w:t xml:space="preserve">Table </w:t>
      </w:r>
      <w:r w:rsidR="007A6386">
        <w:rPr>
          <w:rFonts w:ascii="Times New Roman" w:hAnsi="Times New Roman" w:cs="Times New Roman"/>
          <w:sz w:val="24"/>
          <w:szCs w:val="24"/>
        </w:rPr>
        <w:t>4</w:t>
      </w:r>
      <w:r w:rsidRPr="00492F45">
        <w:rPr>
          <w:rFonts w:ascii="Times New Roman" w:hAnsi="Times New Roman" w:cs="Times New Roman"/>
          <w:sz w:val="24"/>
          <w:szCs w:val="24"/>
        </w:rPr>
        <w:t>-</w:t>
      </w:r>
      <w:r w:rsidR="007A6386">
        <w:rPr>
          <w:rFonts w:ascii="Times New Roman" w:hAnsi="Times New Roman" w:cs="Times New Roman"/>
          <w:sz w:val="24"/>
          <w:szCs w:val="24"/>
        </w:rPr>
        <w:t>2</w:t>
      </w:r>
      <w:r w:rsidRPr="00492F45">
        <w:rPr>
          <w:rFonts w:ascii="Times New Roman" w:hAnsi="Times New Roman" w:cs="Times New Roman"/>
          <w:sz w:val="24"/>
          <w:szCs w:val="24"/>
        </w:rPr>
        <w:t xml:space="preserve"> has two HCEs, which means one rate group for each HCE must be tested. The basis for this approach is that if each rate group were a separate plan, it would be tested under the coverage test of </w:t>
      </w:r>
      <w:r w:rsidR="00A84D2D">
        <w:rPr>
          <w:rFonts w:ascii="Times New Roman" w:hAnsi="Times New Roman" w:cs="Times New Roman"/>
          <w:sz w:val="24"/>
          <w:szCs w:val="24"/>
        </w:rPr>
        <w:t>Code</w:t>
      </w:r>
      <w:r w:rsidR="00A84D2D" w:rsidRPr="00492F45">
        <w:rPr>
          <w:rFonts w:ascii="Times New Roman" w:hAnsi="Times New Roman" w:cs="Times New Roman"/>
          <w:sz w:val="24"/>
          <w:szCs w:val="24"/>
        </w:rPr>
        <w:t xml:space="preserve"> </w:t>
      </w:r>
      <w:r w:rsidRPr="00492F45">
        <w:rPr>
          <w:rFonts w:ascii="Times New Roman" w:hAnsi="Times New Roman" w:cs="Times New Roman"/>
          <w:sz w:val="24"/>
          <w:szCs w:val="24"/>
        </w:rPr>
        <w:t xml:space="preserve">Section 410(b), as discussed </w:t>
      </w:r>
      <w:r w:rsidR="00A84D2D">
        <w:rPr>
          <w:rFonts w:ascii="Times New Roman" w:hAnsi="Times New Roman" w:cs="Times New Roman"/>
          <w:sz w:val="24"/>
          <w:szCs w:val="24"/>
        </w:rPr>
        <w:t xml:space="preserve">previously </w:t>
      </w:r>
      <w:r w:rsidR="007A6386">
        <w:rPr>
          <w:rFonts w:ascii="Times New Roman" w:hAnsi="Times New Roman" w:cs="Times New Roman"/>
          <w:sz w:val="24"/>
          <w:szCs w:val="24"/>
        </w:rPr>
        <w:t>in this c</w:t>
      </w:r>
      <w:r w:rsidRPr="00492F45">
        <w:rPr>
          <w:rFonts w:ascii="Times New Roman" w:hAnsi="Times New Roman" w:cs="Times New Roman"/>
          <w:sz w:val="24"/>
          <w:szCs w:val="24"/>
        </w:rPr>
        <w:t>hapter. If different benefit structures (contribution rates) can be provided in two plans without being discriminatory, those same two contribution rates should be nondiscriminatory if provided in one plan.</w:t>
      </w:r>
    </w:p>
    <w:p w:rsidR="007A6386" w:rsidRDefault="007A6386" w:rsidP="00492F45">
      <w:pPr>
        <w:pStyle w:val="NoSpacing"/>
        <w:ind w:left="1080"/>
        <w:rPr>
          <w:rFonts w:ascii="Times New Roman" w:hAnsi="Times New Roman" w:cs="Times New Roman"/>
          <w:sz w:val="24"/>
          <w:szCs w:val="24"/>
        </w:rPr>
      </w:pPr>
    </w:p>
    <w:p w:rsidR="001D6056" w:rsidRDefault="00492F45" w:rsidP="00492F45">
      <w:pPr>
        <w:pStyle w:val="NoSpacing"/>
        <w:ind w:left="1080"/>
        <w:rPr>
          <w:rFonts w:ascii="Times New Roman" w:hAnsi="Times New Roman" w:cs="Times New Roman"/>
          <w:sz w:val="24"/>
          <w:szCs w:val="24"/>
        </w:rPr>
      </w:pPr>
      <w:r w:rsidRPr="00492F45">
        <w:rPr>
          <w:rFonts w:ascii="Times New Roman" w:hAnsi="Times New Roman" w:cs="Times New Roman"/>
          <w:sz w:val="24"/>
          <w:szCs w:val="24"/>
        </w:rPr>
        <w:t xml:space="preserve">The first rate group comprises HCE 1, NHCE 1, and NHCE 4, remembering that each rate group is based on one HCE and all participants, including other HCEs, that have an equal or higher allocation rate. In this rate group, HCE 1 has an allocation rate of 20 percent. The only other participants who have allocation rates equal to or higher than that are NHCE 1 and NHCE 4. </w:t>
      </w:r>
    </w:p>
    <w:p w:rsidR="001D6056" w:rsidRDefault="001D6056" w:rsidP="00492F45">
      <w:pPr>
        <w:pStyle w:val="NoSpacing"/>
        <w:ind w:left="1080"/>
        <w:rPr>
          <w:rFonts w:ascii="Times New Roman" w:hAnsi="Times New Roman" w:cs="Times New Roman"/>
          <w:sz w:val="24"/>
          <w:szCs w:val="24"/>
        </w:rPr>
      </w:pPr>
    </w:p>
    <w:p w:rsidR="00492F45" w:rsidRPr="00492F45" w:rsidRDefault="00492F45" w:rsidP="00492F45">
      <w:pPr>
        <w:pStyle w:val="NoSpacing"/>
        <w:ind w:left="1080"/>
        <w:rPr>
          <w:rFonts w:ascii="Times New Roman" w:hAnsi="Times New Roman" w:cs="Times New Roman"/>
          <w:sz w:val="24"/>
          <w:szCs w:val="24"/>
        </w:rPr>
      </w:pPr>
      <w:r w:rsidRPr="00492F45">
        <w:rPr>
          <w:rFonts w:ascii="Times New Roman" w:hAnsi="Times New Roman" w:cs="Times New Roman"/>
          <w:sz w:val="24"/>
          <w:szCs w:val="24"/>
        </w:rPr>
        <w:t>The next step is to test the rate group as if it were a separate plan cove</w:t>
      </w:r>
      <w:r w:rsidR="007B78E6">
        <w:rPr>
          <w:rFonts w:ascii="Times New Roman" w:hAnsi="Times New Roman" w:cs="Times New Roman"/>
          <w:sz w:val="24"/>
          <w:szCs w:val="24"/>
        </w:rPr>
        <w:t>ring only those three employees</w:t>
      </w:r>
      <w:r w:rsidRPr="00492F45">
        <w:rPr>
          <w:rFonts w:ascii="Times New Roman" w:hAnsi="Times New Roman" w:cs="Times New Roman"/>
          <w:sz w:val="24"/>
          <w:szCs w:val="24"/>
        </w:rPr>
        <w:t xml:space="preserve">. The ratio percentage test in </w:t>
      </w:r>
      <w:r w:rsidR="001D6056">
        <w:rPr>
          <w:rFonts w:ascii="Times New Roman" w:hAnsi="Times New Roman" w:cs="Times New Roman"/>
          <w:sz w:val="24"/>
          <w:szCs w:val="24"/>
        </w:rPr>
        <w:t>Code</w:t>
      </w:r>
      <w:r w:rsidR="001D6056" w:rsidRPr="00492F45">
        <w:rPr>
          <w:rFonts w:ascii="Times New Roman" w:hAnsi="Times New Roman" w:cs="Times New Roman"/>
          <w:sz w:val="24"/>
          <w:szCs w:val="24"/>
        </w:rPr>
        <w:t xml:space="preserve"> </w:t>
      </w:r>
      <w:r w:rsidRPr="00492F45">
        <w:rPr>
          <w:rFonts w:ascii="Times New Roman" w:hAnsi="Times New Roman" w:cs="Times New Roman"/>
          <w:sz w:val="24"/>
          <w:szCs w:val="24"/>
        </w:rPr>
        <w:t xml:space="preserve">Section 410(b) provides that the percentage of NHCEs covered must be at least 70 percent of the percentage of HCEs covered. The same guidelines apply in this test. </w:t>
      </w:r>
      <w:r w:rsidR="001D6056">
        <w:rPr>
          <w:rFonts w:ascii="Times New Roman" w:hAnsi="Times New Roman" w:cs="Times New Roman"/>
          <w:sz w:val="24"/>
          <w:szCs w:val="24"/>
        </w:rPr>
        <w:t>Because</w:t>
      </w:r>
      <w:r w:rsidR="001D6056" w:rsidRPr="00492F45">
        <w:rPr>
          <w:rFonts w:ascii="Times New Roman" w:hAnsi="Times New Roman" w:cs="Times New Roman"/>
          <w:sz w:val="24"/>
          <w:szCs w:val="24"/>
        </w:rPr>
        <w:t xml:space="preserve"> </w:t>
      </w:r>
      <w:r w:rsidR="00056415">
        <w:rPr>
          <w:rFonts w:ascii="Times New Roman" w:hAnsi="Times New Roman" w:cs="Times New Roman"/>
          <w:sz w:val="24"/>
          <w:szCs w:val="24"/>
        </w:rPr>
        <w:t xml:space="preserve">only HCE 1 is </w:t>
      </w:r>
      <w:r w:rsidRPr="00492F45">
        <w:rPr>
          <w:rFonts w:ascii="Times New Roman" w:hAnsi="Times New Roman" w:cs="Times New Roman"/>
          <w:sz w:val="24"/>
          <w:szCs w:val="24"/>
        </w:rPr>
        <w:t xml:space="preserve">in the first rate group, the rate group covers 50 percent of the HCEs (one out of two). With two NHCEs included in the first rate group, 40 percent of the NHCEs are covered (two out of five). Dividing the NHCE percentage (40 percent) by the HCE percentage (50 percent) the result is 80 percent and the test for the first rate group is passed (the ratio must be at least 70 percent). </w:t>
      </w:r>
    </w:p>
    <w:p w:rsidR="007A6386" w:rsidRDefault="007A6386" w:rsidP="00492F45">
      <w:pPr>
        <w:pStyle w:val="NoSpacing"/>
        <w:ind w:left="1080"/>
        <w:rPr>
          <w:rFonts w:ascii="Times New Roman" w:hAnsi="Times New Roman" w:cs="Times New Roman"/>
          <w:sz w:val="24"/>
          <w:szCs w:val="24"/>
        </w:rPr>
      </w:pPr>
    </w:p>
    <w:p w:rsidR="00492F45" w:rsidRPr="00492F45" w:rsidRDefault="00492F45" w:rsidP="00492F45">
      <w:pPr>
        <w:pStyle w:val="NoSpacing"/>
        <w:ind w:left="1080"/>
        <w:rPr>
          <w:rFonts w:ascii="Times New Roman" w:hAnsi="Times New Roman" w:cs="Times New Roman"/>
          <w:sz w:val="24"/>
          <w:szCs w:val="24"/>
        </w:rPr>
      </w:pPr>
      <w:r w:rsidRPr="00492F45">
        <w:rPr>
          <w:rFonts w:ascii="Times New Roman" w:hAnsi="Times New Roman" w:cs="Times New Roman"/>
          <w:sz w:val="24"/>
          <w:szCs w:val="24"/>
        </w:rPr>
        <w:t>The second rate group (one for each HCE) includes all employees because the allocation rate for HCE 2 is 10.39 percent</w:t>
      </w:r>
      <w:r w:rsidR="001D6056">
        <w:rPr>
          <w:rFonts w:ascii="Times New Roman" w:hAnsi="Times New Roman" w:cs="Times New Roman"/>
          <w:sz w:val="24"/>
          <w:szCs w:val="24"/>
        </w:rPr>
        <w:t>,</w:t>
      </w:r>
      <w:r w:rsidRPr="00492F45">
        <w:rPr>
          <w:rFonts w:ascii="Times New Roman" w:hAnsi="Times New Roman" w:cs="Times New Roman"/>
          <w:sz w:val="24"/>
          <w:szCs w:val="24"/>
        </w:rPr>
        <w:t xml:space="preserve"> and all other participants, including HCE 1, have an allocation rate equal to or higher than HCE 2’s allocation rate of 10.39 percent. The plan includes 100 percent of the HCEs and 100 percent of the NHCEs</w:t>
      </w:r>
      <w:r w:rsidR="001D6056">
        <w:rPr>
          <w:rFonts w:ascii="Times New Roman" w:hAnsi="Times New Roman" w:cs="Times New Roman"/>
          <w:sz w:val="24"/>
          <w:szCs w:val="24"/>
        </w:rPr>
        <w:t>.</w:t>
      </w:r>
      <w:r w:rsidR="001D6056" w:rsidRPr="00492F45">
        <w:rPr>
          <w:rFonts w:ascii="Times New Roman" w:hAnsi="Times New Roman" w:cs="Times New Roman"/>
          <w:sz w:val="24"/>
          <w:szCs w:val="24"/>
        </w:rPr>
        <w:t xml:space="preserve"> </w:t>
      </w:r>
      <w:r w:rsidR="001D6056">
        <w:rPr>
          <w:rFonts w:ascii="Times New Roman" w:hAnsi="Times New Roman" w:cs="Times New Roman"/>
          <w:sz w:val="24"/>
          <w:szCs w:val="24"/>
        </w:rPr>
        <w:t>W</w:t>
      </w:r>
      <w:r w:rsidR="001D6056" w:rsidRPr="00492F45">
        <w:rPr>
          <w:rFonts w:ascii="Times New Roman" w:hAnsi="Times New Roman" w:cs="Times New Roman"/>
          <w:sz w:val="24"/>
          <w:szCs w:val="24"/>
        </w:rPr>
        <w:t xml:space="preserve">hen </w:t>
      </w:r>
      <w:r w:rsidRPr="00492F45">
        <w:rPr>
          <w:rFonts w:ascii="Times New Roman" w:hAnsi="Times New Roman" w:cs="Times New Roman"/>
          <w:sz w:val="24"/>
          <w:szCs w:val="24"/>
        </w:rPr>
        <w:t>the NHCE percentage is divided by the HCE percentage, the result is 100 percent</w:t>
      </w:r>
      <w:r w:rsidR="005B7615">
        <w:rPr>
          <w:rFonts w:ascii="Times New Roman" w:hAnsi="Times New Roman" w:cs="Times New Roman"/>
          <w:sz w:val="24"/>
          <w:szCs w:val="24"/>
        </w:rPr>
        <w:t>. A</w:t>
      </w:r>
      <w:r w:rsidRPr="00492F45">
        <w:rPr>
          <w:rFonts w:ascii="Times New Roman" w:hAnsi="Times New Roman" w:cs="Times New Roman"/>
          <w:sz w:val="24"/>
          <w:szCs w:val="24"/>
        </w:rPr>
        <w:t xml:space="preserve">gain, the test is passed for the second rate group. </w:t>
      </w:r>
    </w:p>
    <w:p w:rsidR="007A6386" w:rsidRDefault="007A6386" w:rsidP="00492F45">
      <w:pPr>
        <w:pStyle w:val="NoSpacing"/>
        <w:ind w:left="1080"/>
        <w:rPr>
          <w:rFonts w:ascii="Times New Roman" w:hAnsi="Times New Roman" w:cs="Times New Roman"/>
          <w:sz w:val="24"/>
          <w:szCs w:val="24"/>
        </w:rPr>
      </w:pPr>
    </w:p>
    <w:p w:rsidR="00492F45" w:rsidRPr="00492F45" w:rsidRDefault="00492F45" w:rsidP="00492F45">
      <w:pPr>
        <w:pStyle w:val="NoSpacing"/>
        <w:ind w:left="1080"/>
        <w:rPr>
          <w:rFonts w:ascii="Times New Roman" w:hAnsi="Times New Roman" w:cs="Times New Roman"/>
          <w:sz w:val="24"/>
          <w:szCs w:val="24"/>
        </w:rPr>
      </w:pPr>
      <w:r w:rsidRPr="00492F45">
        <w:rPr>
          <w:rFonts w:ascii="Times New Roman" w:hAnsi="Times New Roman" w:cs="Times New Roman"/>
          <w:sz w:val="24"/>
          <w:szCs w:val="24"/>
        </w:rPr>
        <w:t xml:space="preserve">With only two HCEs to consider, this is a simplified application of the general test; however, the same test works for a plan with </w:t>
      </w:r>
      <w:r w:rsidR="001D6056">
        <w:rPr>
          <w:rFonts w:ascii="Times New Roman" w:hAnsi="Times New Roman" w:cs="Times New Roman"/>
          <w:sz w:val="24"/>
          <w:szCs w:val="24"/>
        </w:rPr>
        <w:t>five</w:t>
      </w:r>
      <w:r w:rsidR="001D6056" w:rsidRPr="00492F45">
        <w:rPr>
          <w:rFonts w:ascii="Times New Roman" w:hAnsi="Times New Roman" w:cs="Times New Roman"/>
          <w:sz w:val="24"/>
          <w:szCs w:val="24"/>
        </w:rPr>
        <w:t xml:space="preserve"> </w:t>
      </w:r>
      <w:r w:rsidRPr="00492F45">
        <w:rPr>
          <w:rFonts w:ascii="Times New Roman" w:hAnsi="Times New Roman" w:cs="Times New Roman"/>
          <w:sz w:val="24"/>
          <w:szCs w:val="24"/>
        </w:rPr>
        <w:t xml:space="preserve">or </w:t>
      </w:r>
      <w:r w:rsidR="001D6056">
        <w:rPr>
          <w:rFonts w:ascii="Times New Roman" w:hAnsi="Times New Roman" w:cs="Times New Roman"/>
          <w:sz w:val="24"/>
          <w:szCs w:val="24"/>
        </w:rPr>
        <w:t>ten</w:t>
      </w:r>
      <w:r w:rsidR="001D6056" w:rsidRPr="00492F45">
        <w:rPr>
          <w:rFonts w:ascii="Times New Roman" w:hAnsi="Times New Roman" w:cs="Times New Roman"/>
          <w:sz w:val="24"/>
          <w:szCs w:val="24"/>
        </w:rPr>
        <w:t xml:space="preserve"> </w:t>
      </w:r>
      <w:r w:rsidRPr="00492F45">
        <w:rPr>
          <w:rFonts w:ascii="Times New Roman" w:hAnsi="Times New Roman" w:cs="Times New Roman"/>
          <w:sz w:val="24"/>
          <w:szCs w:val="24"/>
        </w:rPr>
        <w:t xml:space="preserve">HCEs and </w:t>
      </w:r>
      <w:r w:rsidR="001D6056">
        <w:rPr>
          <w:rFonts w:ascii="Times New Roman" w:hAnsi="Times New Roman" w:cs="Times New Roman"/>
          <w:sz w:val="24"/>
          <w:szCs w:val="24"/>
        </w:rPr>
        <w:t>thirty</w:t>
      </w:r>
      <w:r w:rsidRPr="00492F45">
        <w:rPr>
          <w:rFonts w:ascii="Times New Roman" w:hAnsi="Times New Roman" w:cs="Times New Roman"/>
          <w:sz w:val="24"/>
          <w:szCs w:val="24"/>
        </w:rPr>
        <w:t xml:space="preserve">, </w:t>
      </w:r>
      <w:r w:rsidR="001D6056">
        <w:rPr>
          <w:rFonts w:ascii="Times New Roman" w:hAnsi="Times New Roman" w:cs="Times New Roman"/>
          <w:sz w:val="24"/>
          <w:szCs w:val="24"/>
        </w:rPr>
        <w:t>forty</w:t>
      </w:r>
      <w:r w:rsidRPr="00492F45">
        <w:rPr>
          <w:rFonts w:ascii="Times New Roman" w:hAnsi="Times New Roman" w:cs="Times New Roman"/>
          <w:sz w:val="24"/>
          <w:szCs w:val="24"/>
        </w:rPr>
        <w:t xml:space="preserve">, or </w:t>
      </w:r>
      <w:r w:rsidR="001D6056">
        <w:rPr>
          <w:rFonts w:ascii="Times New Roman" w:hAnsi="Times New Roman" w:cs="Times New Roman"/>
          <w:sz w:val="24"/>
          <w:szCs w:val="24"/>
        </w:rPr>
        <w:t>fifty</w:t>
      </w:r>
      <w:r w:rsidR="001D6056" w:rsidRPr="00492F45">
        <w:rPr>
          <w:rFonts w:ascii="Times New Roman" w:hAnsi="Times New Roman" w:cs="Times New Roman"/>
          <w:sz w:val="24"/>
          <w:szCs w:val="24"/>
        </w:rPr>
        <w:t xml:space="preserve"> </w:t>
      </w:r>
      <w:r w:rsidRPr="00492F45">
        <w:rPr>
          <w:rFonts w:ascii="Times New Roman" w:hAnsi="Times New Roman" w:cs="Times New Roman"/>
          <w:sz w:val="24"/>
          <w:szCs w:val="24"/>
        </w:rPr>
        <w:t>NHCEs. The approach is the same but the process is much longer and more time-consuming. This approach can be used when a plan allocates different percentages based on profit centers, geographical locations, or other business or employee groups.</w:t>
      </w:r>
    </w:p>
    <w:p w:rsidR="00492F45" w:rsidRPr="00492F45" w:rsidRDefault="00492F45" w:rsidP="00715674">
      <w:pPr>
        <w:pStyle w:val="NoSpacing"/>
        <w:ind w:left="1080"/>
        <w:rPr>
          <w:rFonts w:ascii="Times New Roman" w:hAnsi="Times New Roman" w:cs="Times New Roman"/>
          <w:sz w:val="24"/>
          <w:szCs w:val="24"/>
        </w:rPr>
      </w:pPr>
    </w:p>
    <w:p w:rsidR="00715674" w:rsidRPr="00E7323E" w:rsidRDefault="00715674" w:rsidP="00715674">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Pr>
          <w:rFonts w:ascii="Times New Roman" w:hAnsi="Times New Roman" w:cs="Times New Roman"/>
          <w:b/>
          <w:sz w:val="24"/>
          <w:szCs w:val="24"/>
        </w:rPr>
        <w:t>2</w:t>
      </w:r>
      <w:r w:rsidR="00974860">
        <w:rPr>
          <w:rFonts w:ascii="Times New Roman" w:hAnsi="Times New Roman" w:cs="Times New Roman"/>
          <w:b/>
          <w:sz w:val="24"/>
          <w:szCs w:val="24"/>
        </w:rPr>
        <w:t>2</w:t>
      </w:r>
      <w:r w:rsidRPr="00E7323E">
        <w:rPr>
          <w:rFonts w:ascii="Times New Roman" w:hAnsi="Times New Roman" w:cs="Times New Roman"/>
          <w:b/>
          <w:sz w:val="24"/>
          <w:szCs w:val="24"/>
        </w:rPr>
        <w:t xml:space="preserve">:  </w:t>
      </w:r>
      <w:r>
        <w:rPr>
          <w:rFonts w:ascii="Times New Roman" w:hAnsi="Times New Roman" w:cs="Times New Roman"/>
          <w:b/>
          <w:sz w:val="24"/>
          <w:szCs w:val="24"/>
        </w:rPr>
        <w:t>Is Social Security integration allowed for purposes of the general nondiscrimination test?</w:t>
      </w:r>
    </w:p>
    <w:p w:rsidR="00715674" w:rsidRDefault="00715674" w:rsidP="00715674">
      <w:pPr>
        <w:pStyle w:val="NoSpacing"/>
        <w:ind w:left="720"/>
        <w:rPr>
          <w:rFonts w:ascii="Times New Roman" w:hAnsi="Times New Roman" w:cs="Times New Roman"/>
          <w:sz w:val="24"/>
          <w:szCs w:val="24"/>
        </w:rPr>
      </w:pPr>
    </w:p>
    <w:p w:rsidR="00715674" w:rsidRDefault="00715674" w:rsidP="0071567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Yes.  </w:t>
      </w:r>
      <w:r w:rsidRPr="00715674">
        <w:rPr>
          <w:rFonts w:ascii="Times New Roman" w:hAnsi="Times New Roman" w:cs="Times New Roman"/>
          <w:sz w:val="24"/>
          <w:szCs w:val="24"/>
        </w:rPr>
        <w:t>The regulations allow for permitted disparity, i.e., Social Security integration. If a plan is integrated with Social Security, the value of the contribution to Social Security may be taken into consideration in calculating the allocation percentage.</w:t>
      </w:r>
      <w:r w:rsidR="00D93C35">
        <w:rPr>
          <w:rStyle w:val="FootnoteReference"/>
          <w:rFonts w:ascii="Times New Roman" w:hAnsi="Times New Roman" w:cs="Times New Roman"/>
          <w:sz w:val="24"/>
          <w:szCs w:val="24"/>
        </w:rPr>
        <w:footnoteReference w:id="30"/>
      </w:r>
    </w:p>
    <w:p w:rsidR="00715674" w:rsidRDefault="00715674" w:rsidP="009722E4">
      <w:pPr>
        <w:pStyle w:val="NoSpacing"/>
        <w:ind w:left="1080"/>
        <w:rPr>
          <w:rFonts w:ascii="Times New Roman" w:hAnsi="Times New Roman" w:cs="Times New Roman"/>
          <w:sz w:val="24"/>
          <w:szCs w:val="24"/>
        </w:rPr>
      </w:pPr>
    </w:p>
    <w:p w:rsidR="00715674" w:rsidRDefault="00715674" w:rsidP="009722E4">
      <w:pPr>
        <w:pStyle w:val="NoSpacing"/>
        <w:ind w:left="1080"/>
        <w:rPr>
          <w:rFonts w:ascii="Times New Roman" w:hAnsi="Times New Roman" w:cs="Times New Roman"/>
          <w:sz w:val="24"/>
          <w:szCs w:val="24"/>
        </w:rPr>
      </w:pPr>
    </w:p>
    <w:p w:rsidR="00220C25" w:rsidRPr="00E7323E" w:rsidRDefault="00220C25" w:rsidP="00220C25">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sidR="007C766E">
        <w:rPr>
          <w:rFonts w:ascii="Times New Roman" w:hAnsi="Times New Roman" w:cs="Times New Roman"/>
          <w:b/>
          <w:sz w:val="24"/>
          <w:szCs w:val="24"/>
        </w:rPr>
        <w:t>2</w:t>
      </w:r>
      <w:r w:rsidR="00974860">
        <w:rPr>
          <w:rFonts w:ascii="Times New Roman" w:hAnsi="Times New Roman" w:cs="Times New Roman"/>
          <w:b/>
          <w:sz w:val="24"/>
          <w:szCs w:val="24"/>
        </w:rPr>
        <w:t>3</w:t>
      </w:r>
      <w:r w:rsidRPr="00E7323E">
        <w:rPr>
          <w:rFonts w:ascii="Times New Roman" w:hAnsi="Times New Roman" w:cs="Times New Roman"/>
          <w:b/>
          <w:sz w:val="24"/>
          <w:szCs w:val="24"/>
        </w:rPr>
        <w:t>:</w:t>
      </w:r>
      <w:r>
        <w:rPr>
          <w:rFonts w:ascii="Times New Roman" w:hAnsi="Times New Roman" w:cs="Times New Roman"/>
          <w:b/>
          <w:sz w:val="24"/>
          <w:szCs w:val="24"/>
        </w:rPr>
        <w:t xml:space="preserve">  </w:t>
      </w:r>
      <w:r w:rsidR="000330A0">
        <w:rPr>
          <w:rFonts w:ascii="Times New Roman" w:hAnsi="Times New Roman" w:cs="Times New Roman"/>
          <w:b/>
          <w:sz w:val="24"/>
          <w:szCs w:val="24"/>
        </w:rPr>
        <w:t>How is the average benefits test applied to a defined contribution plan for the nondiscrimination in</w:t>
      </w:r>
      <w:r w:rsidR="00226D79">
        <w:rPr>
          <w:rFonts w:ascii="Times New Roman" w:hAnsi="Times New Roman" w:cs="Times New Roman"/>
          <w:b/>
          <w:sz w:val="24"/>
          <w:szCs w:val="24"/>
        </w:rPr>
        <w:t xml:space="preserve"> </w:t>
      </w:r>
      <w:r w:rsidR="000330A0">
        <w:rPr>
          <w:rFonts w:ascii="Times New Roman" w:hAnsi="Times New Roman" w:cs="Times New Roman"/>
          <w:b/>
          <w:sz w:val="24"/>
          <w:szCs w:val="24"/>
        </w:rPr>
        <w:t xml:space="preserve">amount </w:t>
      </w:r>
      <w:r w:rsidRPr="00B429B5">
        <w:rPr>
          <w:rFonts w:ascii="Times New Roman" w:hAnsi="Times New Roman" w:cs="Times New Roman"/>
          <w:b/>
          <w:sz w:val="24"/>
          <w:szCs w:val="24"/>
        </w:rPr>
        <w:t>test?</w:t>
      </w:r>
    </w:p>
    <w:p w:rsidR="00220C25" w:rsidRDefault="00220C25" w:rsidP="00220C25">
      <w:pPr>
        <w:pStyle w:val="NoSpacing"/>
        <w:ind w:left="1080"/>
        <w:rPr>
          <w:rFonts w:ascii="Times New Roman" w:hAnsi="Times New Roman" w:cs="Times New Roman"/>
          <w:sz w:val="24"/>
          <w:szCs w:val="24"/>
        </w:rPr>
      </w:pPr>
    </w:p>
    <w:p w:rsidR="00220C25" w:rsidRDefault="00220C25" w:rsidP="00220C25">
      <w:pPr>
        <w:pStyle w:val="NoSpacing"/>
        <w:ind w:left="1080"/>
        <w:rPr>
          <w:rFonts w:ascii="Times New Roman" w:hAnsi="Times New Roman" w:cs="Times New Roman"/>
          <w:sz w:val="24"/>
          <w:szCs w:val="24"/>
        </w:rPr>
      </w:pPr>
      <w:r w:rsidRPr="00B429B5">
        <w:rPr>
          <w:rFonts w:ascii="Times New Roman" w:hAnsi="Times New Roman" w:cs="Times New Roman"/>
          <w:sz w:val="24"/>
          <w:szCs w:val="24"/>
        </w:rPr>
        <w:t>A rate group that fails the ratio percentage test can be tested using the average benefits test, which has two parts</w:t>
      </w:r>
      <w:r w:rsidR="000330A0">
        <w:rPr>
          <w:rFonts w:ascii="Times New Roman" w:hAnsi="Times New Roman" w:cs="Times New Roman"/>
          <w:sz w:val="24"/>
          <w:szCs w:val="24"/>
        </w:rPr>
        <w:t xml:space="preserve"> (similar to the nondiscrimination coverage test of Q. 4.0</w:t>
      </w:r>
      <w:r w:rsidR="000F6ADD">
        <w:rPr>
          <w:rFonts w:ascii="Times New Roman" w:hAnsi="Times New Roman" w:cs="Times New Roman"/>
          <w:sz w:val="24"/>
          <w:szCs w:val="24"/>
        </w:rPr>
        <w:t>5</w:t>
      </w:r>
      <w:r w:rsidR="000330A0">
        <w:rPr>
          <w:rFonts w:ascii="Times New Roman" w:hAnsi="Times New Roman" w:cs="Times New Roman"/>
          <w:sz w:val="24"/>
          <w:szCs w:val="24"/>
        </w:rPr>
        <w:t>)</w:t>
      </w:r>
      <w:r w:rsidRPr="00B429B5">
        <w:rPr>
          <w:rFonts w:ascii="Times New Roman" w:hAnsi="Times New Roman" w:cs="Times New Roman"/>
          <w:sz w:val="24"/>
          <w:szCs w:val="24"/>
        </w:rPr>
        <w:t>:</w:t>
      </w:r>
      <w:r w:rsidR="005B7615">
        <w:rPr>
          <w:rFonts w:ascii="Times New Roman" w:hAnsi="Times New Roman" w:cs="Times New Roman"/>
          <w:sz w:val="24"/>
          <w:szCs w:val="24"/>
        </w:rPr>
        <w:t xml:space="preserve"> the nondiscriminatory classification test and the average benefits ratio test.</w:t>
      </w:r>
      <w:r w:rsidR="00226D79">
        <w:rPr>
          <w:rStyle w:val="FootnoteReference"/>
          <w:rFonts w:ascii="Times New Roman" w:hAnsi="Times New Roman" w:cs="Times New Roman"/>
          <w:sz w:val="24"/>
          <w:szCs w:val="24"/>
        </w:rPr>
        <w:footnoteReference w:id="31"/>
      </w:r>
    </w:p>
    <w:p w:rsidR="005B7615" w:rsidRDefault="005B7615" w:rsidP="00220C25">
      <w:pPr>
        <w:pStyle w:val="NoSpacing"/>
        <w:ind w:left="1080"/>
        <w:rPr>
          <w:rFonts w:ascii="Times New Roman" w:hAnsi="Times New Roman" w:cs="Times New Roman"/>
          <w:sz w:val="24"/>
          <w:szCs w:val="24"/>
        </w:rPr>
      </w:pPr>
    </w:p>
    <w:p w:rsidR="00220C25" w:rsidRDefault="005B7615" w:rsidP="00220C2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w:t>
      </w:r>
      <w:r w:rsidR="006754CB" w:rsidRPr="00B429B5">
        <w:rPr>
          <w:rFonts w:ascii="Times New Roman" w:hAnsi="Times New Roman" w:cs="Times New Roman"/>
          <w:sz w:val="24"/>
          <w:szCs w:val="24"/>
        </w:rPr>
        <w:t xml:space="preserve">he </w:t>
      </w:r>
      <w:r w:rsidR="00220C25" w:rsidRPr="00B429B5">
        <w:rPr>
          <w:rFonts w:ascii="Times New Roman" w:hAnsi="Times New Roman" w:cs="Times New Roman"/>
          <w:sz w:val="24"/>
          <w:szCs w:val="24"/>
        </w:rPr>
        <w:t xml:space="preserve">nondiscriminatory classification test </w:t>
      </w:r>
    </w:p>
    <w:p w:rsidR="00220C25" w:rsidRDefault="00220C25" w:rsidP="00220C25">
      <w:pPr>
        <w:pStyle w:val="NoSpacing"/>
        <w:numPr>
          <w:ilvl w:val="1"/>
          <w:numId w:val="12"/>
        </w:numPr>
        <w:rPr>
          <w:rFonts w:ascii="Times New Roman" w:hAnsi="Times New Roman" w:cs="Times New Roman"/>
          <w:sz w:val="24"/>
          <w:szCs w:val="24"/>
        </w:rPr>
      </w:pPr>
      <w:r w:rsidRPr="00B429B5">
        <w:rPr>
          <w:rFonts w:ascii="Times New Roman" w:hAnsi="Times New Roman" w:cs="Times New Roman"/>
          <w:sz w:val="24"/>
          <w:szCs w:val="24"/>
        </w:rPr>
        <w:t xml:space="preserve">The coverage ratio of the rate group must be at least at the midpoint between the safe harbor percentage and the </w:t>
      </w:r>
      <w:r w:rsidR="00AD65D9">
        <w:rPr>
          <w:rFonts w:ascii="Times New Roman" w:hAnsi="Times New Roman" w:cs="Times New Roman"/>
          <w:sz w:val="24"/>
          <w:szCs w:val="24"/>
        </w:rPr>
        <w:t xml:space="preserve">unsafe harbor percentage from the </w:t>
      </w:r>
      <w:r w:rsidR="00AD65D9" w:rsidRPr="00746F1B">
        <w:rPr>
          <w:rFonts w:ascii="Times New Roman" w:hAnsi="Times New Roman" w:cs="Times New Roman"/>
          <w:sz w:val="24"/>
          <w:szCs w:val="24"/>
        </w:rPr>
        <w:t xml:space="preserve">table in </w:t>
      </w:r>
      <w:r w:rsidR="00EA40AD">
        <w:rPr>
          <w:rFonts w:ascii="Times New Roman" w:hAnsi="Times New Roman" w:cs="Times New Roman"/>
          <w:sz w:val="24"/>
          <w:szCs w:val="24"/>
        </w:rPr>
        <w:t>Appendix 4-1</w:t>
      </w:r>
      <w:r w:rsidR="00AD65D9">
        <w:rPr>
          <w:rFonts w:ascii="Times New Roman" w:hAnsi="Times New Roman" w:cs="Times New Roman"/>
          <w:sz w:val="24"/>
          <w:szCs w:val="24"/>
        </w:rPr>
        <w:t>.</w:t>
      </w:r>
    </w:p>
    <w:p w:rsidR="00AD65D9" w:rsidRDefault="005A5957" w:rsidP="00220C25">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Note that t</w:t>
      </w:r>
      <w:r w:rsidR="00AD65D9">
        <w:rPr>
          <w:rFonts w:ascii="Times New Roman" w:hAnsi="Times New Roman" w:cs="Times New Roman"/>
          <w:sz w:val="24"/>
          <w:szCs w:val="24"/>
        </w:rPr>
        <w:t>h</w:t>
      </w:r>
      <w:r>
        <w:rPr>
          <w:rFonts w:ascii="Times New Roman" w:hAnsi="Times New Roman" w:cs="Times New Roman"/>
          <w:sz w:val="24"/>
          <w:szCs w:val="24"/>
        </w:rPr>
        <w:t xml:space="preserve">e </w:t>
      </w:r>
      <w:r w:rsidR="005B7615">
        <w:rPr>
          <w:rFonts w:ascii="Times New Roman" w:hAnsi="Times New Roman" w:cs="Times New Roman"/>
          <w:sz w:val="24"/>
          <w:szCs w:val="24"/>
        </w:rPr>
        <w:t xml:space="preserve">nondiscrimination </w:t>
      </w:r>
      <w:r>
        <w:rPr>
          <w:rFonts w:ascii="Times New Roman" w:hAnsi="Times New Roman" w:cs="Times New Roman"/>
          <w:sz w:val="24"/>
          <w:szCs w:val="24"/>
        </w:rPr>
        <w:t>in</w:t>
      </w:r>
      <w:r w:rsidR="00555B31">
        <w:rPr>
          <w:rFonts w:ascii="Times New Roman" w:hAnsi="Times New Roman" w:cs="Times New Roman"/>
          <w:sz w:val="24"/>
          <w:szCs w:val="24"/>
        </w:rPr>
        <w:t xml:space="preserve"> </w:t>
      </w:r>
      <w:r>
        <w:rPr>
          <w:rFonts w:ascii="Times New Roman" w:hAnsi="Times New Roman" w:cs="Times New Roman"/>
          <w:sz w:val="24"/>
          <w:szCs w:val="24"/>
        </w:rPr>
        <w:t>amount</w:t>
      </w:r>
      <w:r w:rsidR="00AD65D9">
        <w:rPr>
          <w:rFonts w:ascii="Times New Roman" w:hAnsi="Times New Roman" w:cs="Times New Roman"/>
          <w:sz w:val="24"/>
          <w:szCs w:val="24"/>
        </w:rPr>
        <w:t xml:space="preserve"> </w:t>
      </w:r>
      <w:r>
        <w:rPr>
          <w:rFonts w:ascii="Times New Roman" w:hAnsi="Times New Roman" w:cs="Times New Roman"/>
          <w:sz w:val="24"/>
          <w:szCs w:val="24"/>
        </w:rPr>
        <w:t xml:space="preserve">test applies the </w:t>
      </w:r>
      <w:r w:rsidRPr="00746F1B">
        <w:rPr>
          <w:rFonts w:ascii="Times New Roman" w:hAnsi="Times New Roman" w:cs="Times New Roman"/>
          <w:sz w:val="24"/>
          <w:szCs w:val="24"/>
        </w:rPr>
        <w:t xml:space="preserve">table in </w:t>
      </w:r>
      <w:r w:rsidR="00EA40AD">
        <w:rPr>
          <w:rFonts w:ascii="Times New Roman" w:hAnsi="Times New Roman" w:cs="Times New Roman"/>
          <w:sz w:val="24"/>
          <w:szCs w:val="24"/>
        </w:rPr>
        <w:t>Appendix 4-1</w:t>
      </w:r>
      <w:r>
        <w:rPr>
          <w:rFonts w:ascii="Times New Roman" w:hAnsi="Times New Roman" w:cs="Times New Roman"/>
          <w:sz w:val="24"/>
          <w:szCs w:val="24"/>
        </w:rPr>
        <w:t xml:space="preserve"> </w:t>
      </w:r>
      <w:r w:rsidR="00AD65D9">
        <w:rPr>
          <w:rFonts w:ascii="Times New Roman" w:hAnsi="Times New Roman" w:cs="Times New Roman"/>
          <w:sz w:val="24"/>
          <w:szCs w:val="24"/>
        </w:rPr>
        <w:t>somewhat different</w:t>
      </w:r>
      <w:r>
        <w:rPr>
          <w:rFonts w:ascii="Times New Roman" w:hAnsi="Times New Roman" w:cs="Times New Roman"/>
          <w:sz w:val="24"/>
          <w:szCs w:val="24"/>
        </w:rPr>
        <w:t>ly than for the nondiscrimination coverage test (see Q. 4.0</w:t>
      </w:r>
      <w:r w:rsidR="000F6ADD">
        <w:rPr>
          <w:rFonts w:ascii="Times New Roman" w:hAnsi="Times New Roman" w:cs="Times New Roman"/>
          <w:sz w:val="24"/>
          <w:szCs w:val="24"/>
        </w:rPr>
        <w:t>5</w:t>
      </w:r>
      <w:r>
        <w:rPr>
          <w:rFonts w:ascii="Times New Roman" w:hAnsi="Times New Roman" w:cs="Times New Roman"/>
          <w:sz w:val="24"/>
          <w:szCs w:val="24"/>
        </w:rPr>
        <w:t>).</w:t>
      </w:r>
    </w:p>
    <w:p w:rsidR="00220C25" w:rsidRDefault="005B7615" w:rsidP="00220C2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w:t>
      </w:r>
      <w:r w:rsidR="006754CB" w:rsidRPr="00B429B5">
        <w:rPr>
          <w:rFonts w:ascii="Times New Roman" w:hAnsi="Times New Roman" w:cs="Times New Roman"/>
          <w:sz w:val="24"/>
          <w:szCs w:val="24"/>
        </w:rPr>
        <w:t xml:space="preserve"> </w:t>
      </w:r>
      <w:r w:rsidR="00220C25" w:rsidRPr="00B429B5">
        <w:rPr>
          <w:rFonts w:ascii="Times New Roman" w:hAnsi="Times New Roman" w:cs="Times New Roman"/>
          <w:sz w:val="24"/>
          <w:szCs w:val="24"/>
        </w:rPr>
        <w:t>average benefit</w:t>
      </w:r>
      <w:r w:rsidR="00220C25">
        <w:rPr>
          <w:rFonts w:ascii="Times New Roman" w:hAnsi="Times New Roman" w:cs="Times New Roman"/>
          <w:sz w:val="24"/>
          <w:szCs w:val="24"/>
        </w:rPr>
        <w:t>s</w:t>
      </w:r>
      <w:r w:rsidR="00220C25" w:rsidRPr="00B429B5">
        <w:rPr>
          <w:rFonts w:ascii="Times New Roman" w:hAnsi="Times New Roman" w:cs="Times New Roman"/>
          <w:sz w:val="24"/>
          <w:szCs w:val="24"/>
        </w:rPr>
        <w:t xml:space="preserve"> ratio test.</w:t>
      </w:r>
    </w:p>
    <w:p w:rsidR="00220C25" w:rsidRDefault="00220C25" w:rsidP="00220C25">
      <w:pPr>
        <w:pStyle w:val="NoSpacing"/>
        <w:numPr>
          <w:ilvl w:val="1"/>
          <w:numId w:val="12"/>
        </w:numPr>
        <w:rPr>
          <w:rFonts w:ascii="Times New Roman" w:hAnsi="Times New Roman" w:cs="Times New Roman"/>
          <w:sz w:val="24"/>
          <w:szCs w:val="24"/>
        </w:rPr>
      </w:pPr>
      <w:r w:rsidRPr="00B429B5">
        <w:rPr>
          <w:rFonts w:ascii="Times New Roman" w:hAnsi="Times New Roman" w:cs="Times New Roman"/>
          <w:sz w:val="24"/>
          <w:szCs w:val="24"/>
        </w:rPr>
        <w:t>The average accrual or allocation rates of the NHCEs must be equal to at least 70 percent of the average accrual or allocation rates of the HCEs.</w:t>
      </w:r>
    </w:p>
    <w:p w:rsidR="005A5957" w:rsidRDefault="005A5957" w:rsidP="00220C25">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This test is the same as for the nondiscrimination coverage test, except that rate groups are used for the </w:t>
      </w:r>
      <w:r w:rsidR="005B7615">
        <w:rPr>
          <w:rFonts w:ascii="Times New Roman" w:hAnsi="Times New Roman" w:cs="Times New Roman"/>
          <w:sz w:val="24"/>
          <w:szCs w:val="24"/>
        </w:rPr>
        <w:t xml:space="preserve">nondiscrimination </w:t>
      </w:r>
      <w:r>
        <w:rPr>
          <w:rFonts w:ascii="Times New Roman" w:hAnsi="Times New Roman" w:cs="Times New Roman"/>
          <w:sz w:val="24"/>
          <w:szCs w:val="24"/>
        </w:rPr>
        <w:t>in</w:t>
      </w:r>
      <w:r w:rsidR="001A3D46">
        <w:rPr>
          <w:rFonts w:ascii="Times New Roman" w:hAnsi="Times New Roman" w:cs="Times New Roman"/>
          <w:sz w:val="24"/>
          <w:szCs w:val="24"/>
        </w:rPr>
        <w:t xml:space="preserve"> </w:t>
      </w:r>
      <w:r>
        <w:rPr>
          <w:rFonts w:ascii="Times New Roman" w:hAnsi="Times New Roman" w:cs="Times New Roman"/>
          <w:sz w:val="24"/>
          <w:szCs w:val="24"/>
        </w:rPr>
        <w:t>amount test.</w:t>
      </w:r>
    </w:p>
    <w:p w:rsidR="00220C25" w:rsidRDefault="00220C25" w:rsidP="00220C25">
      <w:pPr>
        <w:pStyle w:val="NoSpacing"/>
        <w:rPr>
          <w:rFonts w:ascii="Times New Roman" w:hAnsi="Times New Roman" w:cs="Times New Roman"/>
          <w:sz w:val="24"/>
          <w:szCs w:val="24"/>
        </w:rPr>
      </w:pPr>
    </w:p>
    <w:p w:rsidR="00220C25" w:rsidRDefault="00220C25" w:rsidP="009722E4">
      <w:pPr>
        <w:pStyle w:val="NoSpacing"/>
        <w:ind w:left="1080"/>
        <w:rPr>
          <w:rFonts w:ascii="Times New Roman" w:hAnsi="Times New Roman" w:cs="Times New Roman"/>
          <w:sz w:val="24"/>
          <w:szCs w:val="24"/>
        </w:rPr>
      </w:pPr>
    </w:p>
    <w:p w:rsidR="009722E4" w:rsidRPr="00AE6419" w:rsidRDefault="009722E4" w:rsidP="0033241C">
      <w:pPr>
        <w:pStyle w:val="NoSpacing"/>
        <w:ind w:left="1440"/>
        <w:rPr>
          <w:rFonts w:ascii="Times New Roman" w:hAnsi="Times New Roman" w:cs="Times New Roman"/>
          <w:b/>
          <w:sz w:val="24"/>
          <w:szCs w:val="24"/>
        </w:rPr>
      </w:pPr>
    </w:p>
    <w:p w:rsidR="009722E4" w:rsidRDefault="009722E4" w:rsidP="009722E4">
      <w:pPr>
        <w:pStyle w:val="NoSpacing"/>
        <w:ind w:left="720"/>
        <w:rPr>
          <w:rFonts w:ascii="Times New Roman" w:hAnsi="Times New Roman" w:cs="Times New Roman"/>
          <w:sz w:val="24"/>
          <w:szCs w:val="24"/>
        </w:rPr>
      </w:pPr>
    </w:p>
    <w:p w:rsidR="009722E4" w:rsidRPr="00E7323E" w:rsidRDefault="00083D57" w:rsidP="009722E4">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009722E4" w:rsidRPr="00E7323E">
        <w:rPr>
          <w:rFonts w:ascii="Times New Roman" w:hAnsi="Times New Roman" w:cs="Times New Roman"/>
          <w:b/>
          <w:sz w:val="24"/>
          <w:szCs w:val="24"/>
        </w:rPr>
        <w:t>.</w:t>
      </w:r>
      <w:r w:rsidR="007C766E">
        <w:rPr>
          <w:rFonts w:ascii="Times New Roman" w:hAnsi="Times New Roman" w:cs="Times New Roman"/>
          <w:b/>
          <w:sz w:val="24"/>
          <w:szCs w:val="24"/>
        </w:rPr>
        <w:t>2</w:t>
      </w:r>
      <w:r w:rsidR="00974860">
        <w:rPr>
          <w:rFonts w:ascii="Times New Roman" w:hAnsi="Times New Roman" w:cs="Times New Roman"/>
          <w:b/>
          <w:sz w:val="24"/>
          <w:szCs w:val="24"/>
        </w:rPr>
        <w:t>4</w:t>
      </w:r>
      <w:r w:rsidR="009722E4" w:rsidRPr="00E7323E">
        <w:rPr>
          <w:rFonts w:ascii="Times New Roman" w:hAnsi="Times New Roman" w:cs="Times New Roman"/>
          <w:b/>
          <w:sz w:val="24"/>
          <w:szCs w:val="24"/>
        </w:rPr>
        <w:t xml:space="preserve">:  </w:t>
      </w:r>
      <w:r w:rsidR="009722E4" w:rsidRPr="007C7BF2">
        <w:rPr>
          <w:rFonts w:ascii="Times New Roman" w:hAnsi="Times New Roman" w:cs="Times New Roman"/>
          <w:b/>
          <w:sz w:val="24"/>
          <w:szCs w:val="24"/>
        </w:rPr>
        <w:t xml:space="preserve">What is </w:t>
      </w:r>
      <w:r w:rsidR="009722E4">
        <w:rPr>
          <w:rFonts w:ascii="Times New Roman" w:hAnsi="Times New Roman" w:cs="Times New Roman"/>
          <w:b/>
          <w:sz w:val="24"/>
          <w:szCs w:val="24"/>
        </w:rPr>
        <w:t>a new comparability plan</w:t>
      </w:r>
      <w:r w:rsidR="009722E4" w:rsidRPr="007C7BF2">
        <w:rPr>
          <w:rFonts w:ascii="Times New Roman" w:hAnsi="Times New Roman" w:cs="Times New Roman"/>
          <w:b/>
          <w:sz w:val="24"/>
          <w:szCs w:val="24"/>
        </w:rPr>
        <w:t>?</w:t>
      </w:r>
    </w:p>
    <w:p w:rsidR="009722E4" w:rsidRDefault="009722E4" w:rsidP="009722E4">
      <w:pPr>
        <w:pStyle w:val="NoSpacing"/>
        <w:ind w:left="720"/>
        <w:rPr>
          <w:rFonts w:ascii="Times New Roman" w:hAnsi="Times New Roman" w:cs="Times New Roman"/>
          <w:sz w:val="24"/>
          <w:szCs w:val="24"/>
        </w:rPr>
      </w:pPr>
    </w:p>
    <w:p w:rsidR="00E052DC" w:rsidRDefault="009722E4" w:rsidP="00E052DC">
      <w:pPr>
        <w:pStyle w:val="NoSpacing"/>
        <w:ind w:left="1080"/>
        <w:rPr>
          <w:rFonts w:ascii="Times New Roman" w:hAnsi="Times New Roman" w:cs="Times New Roman"/>
          <w:sz w:val="24"/>
          <w:szCs w:val="24"/>
        </w:rPr>
      </w:pPr>
      <w:r w:rsidRPr="009722E4">
        <w:rPr>
          <w:rFonts w:ascii="Times New Roman" w:hAnsi="Times New Roman" w:cs="Times New Roman"/>
          <w:sz w:val="24"/>
          <w:szCs w:val="24"/>
        </w:rPr>
        <w:t xml:space="preserve">A comparability plan is another option available for defined contribution plans (except </w:t>
      </w:r>
      <w:r w:rsidR="001A3D46">
        <w:rPr>
          <w:rFonts w:ascii="Times New Roman" w:hAnsi="Times New Roman" w:cs="Times New Roman"/>
          <w:sz w:val="24"/>
          <w:szCs w:val="24"/>
        </w:rPr>
        <w:t xml:space="preserve">a </w:t>
      </w:r>
      <w:r w:rsidRPr="009722E4">
        <w:rPr>
          <w:rFonts w:ascii="Times New Roman" w:hAnsi="Times New Roman" w:cs="Times New Roman"/>
          <w:sz w:val="24"/>
          <w:szCs w:val="24"/>
        </w:rPr>
        <w:t xml:space="preserve">401(k), </w:t>
      </w:r>
      <w:r w:rsidR="001A3D46">
        <w:rPr>
          <w:rFonts w:ascii="Times New Roman" w:hAnsi="Times New Roman" w:cs="Times New Roman"/>
          <w:sz w:val="24"/>
          <w:szCs w:val="24"/>
        </w:rPr>
        <w:t>an employee stock option plan (</w:t>
      </w:r>
      <w:r w:rsidRPr="009722E4">
        <w:rPr>
          <w:rFonts w:ascii="Times New Roman" w:hAnsi="Times New Roman" w:cs="Times New Roman"/>
          <w:sz w:val="24"/>
          <w:szCs w:val="24"/>
        </w:rPr>
        <w:t>ESOP</w:t>
      </w:r>
      <w:r w:rsidR="001A3D46">
        <w:rPr>
          <w:rFonts w:ascii="Times New Roman" w:hAnsi="Times New Roman" w:cs="Times New Roman"/>
          <w:sz w:val="24"/>
          <w:szCs w:val="24"/>
        </w:rPr>
        <w:t>)</w:t>
      </w:r>
      <w:r w:rsidR="002C0605">
        <w:rPr>
          <w:rFonts w:ascii="Times New Roman" w:hAnsi="Times New Roman" w:cs="Times New Roman"/>
          <w:sz w:val="24"/>
          <w:szCs w:val="24"/>
        </w:rPr>
        <w:t>,</w:t>
      </w:r>
      <w:r w:rsidRPr="009722E4">
        <w:rPr>
          <w:rFonts w:ascii="Times New Roman" w:hAnsi="Times New Roman" w:cs="Times New Roman"/>
          <w:sz w:val="24"/>
          <w:szCs w:val="24"/>
        </w:rPr>
        <w:t xml:space="preserve"> or employee voluntary </w:t>
      </w:r>
      <w:r w:rsidRPr="009722E4">
        <w:rPr>
          <w:rFonts w:ascii="Times New Roman" w:hAnsi="Times New Roman" w:cs="Times New Roman"/>
          <w:sz w:val="24"/>
          <w:szCs w:val="24"/>
        </w:rPr>
        <w:lastRenderedPageBreak/>
        <w:t>contributions) to satisfy the nondiscriminatory</w:t>
      </w:r>
      <w:r w:rsidR="002C0605">
        <w:rPr>
          <w:rFonts w:ascii="Times New Roman" w:hAnsi="Times New Roman" w:cs="Times New Roman"/>
          <w:sz w:val="24"/>
          <w:szCs w:val="24"/>
        </w:rPr>
        <w:t xml:space="preserve"> </w:t>
      </w:r>
      <w:r w:rsidRPr="009722E4">
        <w:rPr>
          <w:rFonts w:ascii="Times New Roman" w:hAnsi="Times New Roman" w:cs="Times New Roman"/>
          <w:sz w:val="24"/>
          <w:szCs w:val="24"/>
        </w:rPr>
        <w:t>in</w:t>
      </w:r>
      <w:r w:rsidR="002C0605">
        <w:rPr>
          <w:rFonts w:ascii="Times New Roman" w:hAnsi="Times New Roman" w:cs="Times New Roman"/>
          <w:sz w:val="24"/>
          <w:szCs w:val="24"/>
        </w:rPr>
        <w:t xml:space="preserve"> </w:t>
      </w:r>
      <w:r w:rsidRPr="009722E4">
        <w:rPr>
          <w:rFonts w:ascii="Times New Roman" w:hAnsi="Times New Roman" w:cs="Times New Roman"/>
          <w:sz w:val="24"/>
          <w:szCs w:val="24"/>
        </w:rPr>
        <w:t>amount requirement.</w:t>
      </w:r>
      <w:r>
        <w:rPr>
          <w:rFonts w:ascii="Times New Roman" w:hAnsi="Times New Roman" w:cs="Times New Roman"/>
          <w:sz w:val="24"/>
          <w:szCs w:val="24"/>
        </w:rPr>
        <w:t xml:space="preserve">  </w:t>
      </w:r>
      <w:r w:rsidRPr="009722E4">
        <w:rPr>
          <w:rFonts w:ascii="Times New Roman" w:hAnsi="Times New Roman" w:cs="Times New Roman"/>
          <w:sz w:val="24"/>
          <w:szCs w:val="24"/>
        </w:rPr>
        <w:t>This approach projects contributions with interest to retirement age and then converts that accumulated sum to accrual rates (annuity payments).  It then uses the accrual rates in place of allocation rates following the rules for the general nondiscrimination test above to compare rate groups.</w:t>
      </w:r>
      <w:r w:rsidR="001A3D46">
        <w:rPr>
          <w:rStyle w:val="FootnoteReference"/>
          <w:rFonts w:ascii="Times New Roman" w:hAnsi="Times New Roman" w:cs="Times New Roman"/>
          <w:sz w:val="24"/>
          <w:szCs w:val="24"/>
        </w:rPr>
        <w:footnoteReference w:id="32"/>
      </w:r>
      <w:r w:rsidR="00205143">
        <w:rPr>
          <w:rFonts w:ascii="Times New Roman" w:hAnsi="Times New Roman" w:cs="Times New Roman"/>
          <w:sz w:val="24"/>
          <w:szCs w:val="24"/>
        </w:rPr>
        <w:t xml:space="preserve"> </w:t>
      </w:r>
    </w:p>
    <w:p w:rsidR="00E052DC" w:rsidRDefault="00E052DC" w:rsidP="009722E4">
      <w:pPr>
        <w:pStyle w:val="NoSpacing"/>
        <w:ind w:left="1080"/>
        <w:rPr>
          <w:rFonts w:ascii="Times New Roman" w:hAnsi="Times New Roman" w:cs="Times New Roman"/>
          <w:sz w:val="24"/>
          <w:szCs w:val="24"/>
        </w:rPr>
      </w:pPr>
    </w:p>
    <w:p w:rsidR="00083D57" w:rsidRPr="00E7323E" w:rsidRDefault="00083D57" w:rsidP="00083D57">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sidR="007C766E">
        <w:rPr>
          <w:rFonts w:ascii="Times New Roman" w:hAnsi="Times New Roman" w:cs="Times New Roman"/>
          <w:b/>
          <w:sz w:val="24"/>
          <w:szCs w:val="24"/>
        </w:rPr>
        <w:t>2</w:t>
      </w:r>
      <w:r w:rsidR="0074138B">
        <w:rPr>
          <w:rFonts w:ascii="Times New Roman" w:hAnsi="Times New Roman" w:cs="Times New Roman"/>
          <w:b/>
          <w:sz w:val="24"/>
          <w:szCs w:val="24"/>
        </w:rPr>
        <w:t>5</w:t>
      </w:r>
      <w:r w:rsidRPr="00E7323E">
        <w:rPr>
          <w:rFonts w:ascii="Times New Roman" w:hAnsi="Times New Roman" w:cs="Times New Roman"/>
          <w:b/>
          <w:sz w:val="24"/>
          <w:szCs w:val="24"/>
        </w:rPr>
        <w:t>:</w:t>
      </w:r>
      <w:r w:rsidR="00B26B88">
        <w:rPr>
          <w:rFonts w:ascii="Times New Roman" w:hAnsi="Times New Roman" w:cs="Times New Roman"/>
          <w:b/>
          <w:sz w:val="24"/>
          <w:szCs w:val="24"/>
        </w:rPr>
        <w:t xml:space="preserve">  </w:t>
      </w:r>
      <w:r w:rsidR="00B26B88" w:rsidRPr="00B26B88">
        <w:rPr>
          <w:rFonts w:ascii="Times New Roman" w:hAnsi="Times New Roman" w:cs="Times New Roman"/>
          <w:b/>
          <w:sz w:val="24"/>
          <w:szCs w:val="24"/>
        </w:rPr>
        <w:t>How are accrual rates in a comparability plan test determined?</w:t>
      </w:r>
    </w:p>
    <w:p w:rsidR="00083D57" w:rsidRDefault="00083D57" w:rsidP="009722E4">
      <w:pPr>
        <w:pStyle w:val="NoSpacing"/>
        <w:ind w:left="1080"/>
        <w:rPr>
          <w:rFonts w:ascii="Times New Roman" w:hAnsi="Times New Roman" w:cs="Times New Roman"/>
          <w:sz w:val="24"/>
          <w:szCs w:val="24"/>
        </w:rPr>
      </w:pPr>
    </w:p>
    <w:p w:rsidR="00083D57" w:rsidRDefault="00083D57" w:rsidP="00083D57">
      <w:pPr>
        <w:pStyle w:val="NoSpacing"/>
        <w:ind w:left="1080"/>
        <w:rPr>
          <w:rFonts w:ascii="Times New Roman" w:hAnsi="Times New Roman" w:cs="Times New Roman"/>
          <w:sz w:val="24"/>
          <w:szCs w:val="24"/>
        </w:rPr>
      </w:pPr>
      <w:r w:rsidRPr="00083D57">
        <w:rPr>
          <w:rFonts w:ascii="Times New Roman" w:hAnsi="Times New Roman" w:cs="Times New Roman"/>
          <w:sz w:val="24"/>
          <w:szCs w:val="24"/>
        </w:rPr>
        <w:t>Accrual rates (annuity payments) can be determined via</w:t>
      </w:r>
      <w:r w:rsidR="005219A5">
        <w:rPr>
          <w:rFonts w:ascii="Times New Roman" w:hAnsi="Times New Roman" w:cs="Times New Roman"/>
          <w:sz w:val="24"/>
          <w:szCs w:val="24"/>
        </w:rPr>
        <w:t xml:space="preserve"> an annual accrual method or an accrued-to-date method</w:t>
      </w:r>
      <w:r w:rsidRPr="00083D57">
        <w:rPr>
          <w:rFonts w:ascii="Times New Roman" w:hAnsi="Times New Roman" w:cs="Times New Roman"/>
          <w:sz w:val="24"/>
          <w:szCs w:val="24"/>
        </w:rPr>
        <w:t>:</w:t>
      </w:r>
      <w:r w:rsidR="000F342B">
        <w:rPr>
          <w:rStyle w:val="FootnoteReference"/>
          <w:rFonts w:ascii="Times New Roman" w:hAnsi="Times New Roman" w:cs="Times New Roman"/>
          <w:sz w:val="24"/>
          <w:szCs w:val="24"/>
        </w:rPr>
        <w:footnoteReference w:id="33"/>
      </w:r>
    </w:p>
    <w:p w:rsidR="005219A5" w:rsidRDefault="005219A5" w:rsidP="00083D57">
      <w:pPr>
        <w:pStyle w:val="NoSpacing"/>
        <w:ind w:left="1080"/>
        <w:rPr>
          <w:rFonts w:ascii="Times New Roman" w:hAnsi="Times New Roman" w:cs="Times New Roman"/>
          <w:sz w:val="24"/>
          <w:szCs w:val="24"/>
        </w:rPr>
      </w:pPr>
    </w:p>
    <w:p w:rsidR="00B26B88" w:rsidRDefault="005219A5" w:rsidP="00B26B8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w:t>
      </w:r>
      <w:r w:rsidRPr="00B26B88">
        <w:rPr>
          <w:rFonts w:ascii="Times New Roman" w:hAnsi="Times New Roman" w:cs="Times New Roman"/>
          <w:sz w:val="24"/>
          <w:szCs w:val="24"/>
        </w:rPr>
        <w:t xml:space="preserve">nnual </w:t>
      </w:r>
      <w:r w:rsidR="00B26B88" w:rsidRPr="00B26B88">
        <w:rPr>
          <w:rFonts w:ascii="Times New Roman" w:hAnsi="Times New Roman" w:cs="Times New Roman"/>
          <w:sz w:val="24"/>
          <w:szCs w:val="24"/>
        </w:rPr>
        <w:t>accrual method</w:t>
      </w:r>
      <w:r w:rsidR="00EC5196">
        <w:rPr>
          <w:rFonts w:ascii="Times New Roman" w:hAnsi="Times New Roman" w:cs="Times New Roman"/>
          <w:sz w:val="24"/>
          <w:szCs w:val="24"/>
        </w:rPr>
        <w:t>.</w:t>
      </w:r>
      <w:r w:rsidR="00B26B88" w:rsidRPr="00B26B88">
        <w:rPr>
          <w:rFonts w:ascii="Times New Roman" w:hAnsi="Times New Roman" w:cs="Times New Roman"/>
          <w:sz w:val="24"/>
          <w:szCs w:val="24"/>
        </w:rPr>
        <w:t xml:space="preserve"> </w:t>
      </w:r>
    </w:p>
    <w:p w:rsidR="00B26B88" w:rsidRDefault="00B26B88" w:rsidP="00B26B88">
      <w:pPr>
        <w:pStyle w:val="NoSpacing"/>
        <w:numPr>
          <w:ilvl w:val="1"/>
          <w:numId w:val="11"/>
        </w:numPr>
        <w:rPr>
          <w:rFonts w:ascii="Times New Roman" w:hAnsi="Times New Roman" w:cs="Times New Roman"/>
          <w:sz w:val="24"/>
          <w:szCs w:val="24"/>
        </w:rPr>
      </w:pPr>
      <w:r w:rsidRPr="00B26B88">
        <w:rPr>
          <w:rFonts w:ascii="Times New Roman" w:hAnsi="Times New Roman" w:cs="Times New Roman"/>
          <w:sz w:val="24"/>
          <w:szCs w:val="24"/>
        </w:rPr>
        <w:t>Determine the amount of the allocation taken into account, including employer contributions and forfeitures only.</w:t>
      </w:r>
    </w:p>
    <w:p w:rsidR="00B26B88" w:rsidRDefault="00B26B88" w:rsidP="00B26B88">
      <w:pPr>
        <w:pStyle w:val="NoSpacing"/>
        <w:numPr>
          <w:ilvl w:val="1"/>
          <w:numId w:val="11"/>
        </w:numPr>
        <w:rPr>
          <w:rFonts w:ascii="Times New Roman" w:hAnsi="Times New Roman" w:cs="Times New Roman"/>
          <w:sz w:val="24"/>
          <w:szCs w:val="24"/>
        </w:rPr>
      </w:pPr>
      <w:r w:rsidRPr="00B26B88">
        <w:rPr>
          <w:rFonts w:ascii="Times New Roman" w:hAnsi="Times New Roman" w:cs="Times New Roman"/>
          <w:sz w:val="24"/>
          <w:szCs w:val="24"/>
        </w:rPr>
        <w:t>Convert the allocation to future annuity payments (the accrual rate) at the testing age (usually age 65).</w:t>
      </w:r>
    </w:p>
    <w:p w:rsidR="00B26B88" w:rsidRDefault="00B26B88" w:rsidP="00B26B88">
      <w:pPr>
        <w:pStyle w:val="NoSpacing"/>
        <w:numPr>
          <w:ilvl w:val="1"/>
          <w:numId w:val="11"/>
        </w:numPr>
        <w:rPr>
          <w:rFonts w:ascii="Times New Roman" w:hAnsi="Times New Roman" w:cs="Times New Roman"/>
          <w:sz w:val="24"/>
          <w:szCs w:val="24"/>
        </w:rPr>
      </w:pPr>
      <w:r w:rsidRPr="00B26B88">
        <w:rPr>
          <w:rFonts w:ascii="Times New Roman" w:hAnsi="Times New Roman" w:cs="Times New Roman"/>
          <w:sz w:val="24"/>
          <w:szCs w:val="24"/>
        </w:rPr>
        <w:t>Divide the annuity payment by plan year compensation (as limited) to determine the accrual rate.</w:t>
      </w:r>
    </w:p>
    <w:p w:rsidR="00B26B88" w:rsidRDefault="00B26B88" w:rsidP="00B26B88">
      <w:pPr>
        <w:pStyle w:val="NoSpacing"/>
        <w:numPr>
          <w:ilvl w:val="1"/>
          <w:numId w:val="11"/>
        </w:numPr>
        <w:rPr>
          <w:rFonts w:ascii="Times New Roman" w:hAnsi="Times New Roman" w:cs="Times New Roman"/>
          <w:sz w:val="24"/>
          <w:szCs w:val="24"/>
        </w:rPr>
      </w:pPr>
      <w:r w:rsidRPr="00B26B88">
        <w:rPr>
          <w:rFonts w:ascii="Times New Roman" w:hAnsi="Times New Roman" w:cs="Times New Roman"/>
          <w:sz w:val="24"/>
          <w:szCs w:val="24"/>
        </w:rPr>
        <w:t>Adjust the accrual rate for Social Security integration (optional).</w:t>
      </w:r>
    </w:p>
    <w:p w:rsidR="00B26B88" w:rsidRPr="00B26B88" w:rsidRDefault="00B26B88" w:rsidP="00B26B88">
      <w:pPr>
        <w:pStyle w:val="NoSpacing"/>
        <w:numPr>
          <w:ilvl w:val="1"/>
          <w:numId w:val="11"/>
        </w:numPr>
        <w:rPr>
          <w:rFonts w:ascii="Times New Roman" w:hAnsi="Times New Roman" w:cs="Times New Roman"/>
          <w:sz w:val="24"/>
          <w:szCs w:val="24"/>
        </w:rPr>
      </w:pPr>
      <w:r w:rsidRPr="00B26B88">
        <w:rPr>
          <w:rFonts w:ascii="Times New Roman" w:hAnsi="Times New Roman" w:cs="Times New Roman"/>
          <w:sz w:val="24"/>
          <w:szCs w:val="24"/>
        </w:rPr>
        <w:t>Determine whether each rate group satisfies the ratio percentage test.</w:t>
      </w:r>
    </w:p>
    <w:p w:rsidR="00B26B88" w:rsidRDefault="005219A5" w:rsidP="00B26B8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w:t>
      </w:r>
      <w:r w:rsidRPr="00B26B88">
        <w:rPr>
          <w:rFonts w:ascii="Times New Roman" w:hAnsi="Times New Roman" w:cs="Times New Roman"/>
          <w:sz w:val="24"/>
          <w:szCs w:val="24"/>
        </w:rPr>
        <w:t xml:space="preserve">ccrued </w:t>
      </w:r>
      <w:r w:rsidR="00B26B88" w:rsidRPr="00B26B88">
        <w:rPr>
          <w:rFonts w:ascii="Times New Roman" w:hAnsi="Times New Roman" w:cs="Times New Roman"/>
          <w:sz w:val="24"/>
          <w:szCs w:val="24"/>
        </w:rPr>
        <w:t>to date method.</w:t>
      </w:r>
    </w:p>
    <w:p w:rsidR="00B26B88" w:rsidRDefault="00B26B88" w:rsidP="00B26B88">
      <w:pPr>
        <w:pStyle w:val="NoSpacing"/>
        <w:numPr>
          <w:ilvl w:val="1"/>
          <w:numId w:val="11"/>
        </w:numPr>
        <w:rPr>
          <w:rFonts w:ascii="Times New Roman" w:hAnsi="Times New Roman" w:cs="Times New Roman"/>
          <w:sz w:val="24"/>
          <w:szCs w:val="24"/>
        </w:rPr>
      </w:pPr>
      <w:r w:rsidRPr="00B26B88">
        <w:rPr>
          <w:rFonts w:ascii="Times New Roman" w:hAnsi="Times New Roman" w:cs="Times New Roman"/>
          <w:sz w:val="24"/>
          <w:szCs w:val="24"/>
        </w:rPr>
        <w:t xml:space="preserve">The </w:t>
      </w:r>
      <w:r w:rsidR="000F342B" w:rsidRPr="00B26B88">
        <w:rPr>
          <w:rFonts w:ascii="Times New Roman" w:hAnsi="Times New Roman" w:cs="Times New Roman"/>
          <w:sz w:val="24"/>
          <w:szCs w:val="24"/>
        </w:rPr>
        <w:t>accrued</w:t>
      </w:r>
      <w:r w:rsidR="000F342B">
        <w:rPr>
          <w:rFonts w:ascii="Times New Roman" w:hAnsi="Times New Roman" w:cs="Times New Roman"/>
          <w:sz w:val="24"/>
          <w:szCs w:val="24"/>
        </w:rPr>
        <w:t>-</w:t>
      </w:r>
      <w:r w:rsidR="000F342B" w:rsidRPr="00B26B88">
        <w:rPr>
          <w:rFonts w:ascii="Times New Roman" w:hAnsi="Times New Roman" w:cs="Times New Roman"/>
          <w:sz w:val="24"/>
          <w:szCs w:val="24"/>
        </w:rPr>
        <w:t>to</w:t>
      </w:r>
      <w:r w:rsidR="000F342B">
        <w:rPr>
          <w:rFonts w:ascii="Times New Roman" w:hAnsi="Times New Roman" w:cs="Times New Roman"/>
          <w:sz w:val="24"/>
          <w:szCs w:val="24"/>
        </w:rPr>
        <w:t>-</w:t>
      </w:r>
      <w:r w:rsidRPr="00B26B88">
        <w:rPr>
          <w:rFonts w:ascii="Times New Roman" w:hAnsi="Times New Roman" w:cs="Times New Roman"/>
          <w:sz w:val="24"/>
          <w:szCs w:val="24"/>
        </w:rPr>
        <w:t>date method takes into consideration prior benefits that have been accumulated as a result of prior years’ employer contributions, forfeitures, and investment earnings.</w:t>
      </w:r>
    </w:p>
    <w:p w:rsidR="007C7BF2" w:rsidRDefault="00B26B88" w:rsidP="00B26B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930DA" w:rsidRDefault="001930DA" w:rsidP="00B26B88">
      <w:pPr>
        <w:pStyle w:val="NoSpacing"/>
        <w:rPr>
          <w:rFonts w:ascii="Times New Roman" w:hAnsi="Times New Roman" w:cs="Times New Roman"/>
          <w:sz w:val="24"/>
          <w:szCs w:val="24"/>
        </w:rPr>
      </w:pPr>
    </w:p>
    <w:p w:rsidR="00C124B3" w:rsidRPr="00E7323E" w:rsidRDefault="00C124B3" w:rsidP="00C124B3">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Pr>
          <w:rFonts w:ascii="Times New Roman" w:hAnsi="Times New Roman" w:cs="Times New Roman"/>
          <w:b/>
          <w:sz w:val="24"/>
          <w:szCs w:val="24"/>
        </w:rPr>
        <w:t>2</w:t>
      </w:r>
      <w:r w:rsidR="0074138B">
        <w:rPr>
          <w:rFonts w:ascii="Times New Roman" w:hAnsi="Times New Roman" w:cs="Times New Roman"/>
          <w:b/>
          <w:sz w:val="24"/>
          <w:szCs w:val="24"/>
        </w:rPr>
        <w:t>6</w:t>
      </w:r>
      <w:r w:rsidRPr="00E7323E">
        <w:rPr>
          <w:rFonts w:ascii="Times New Roman" w:hAnsi="Times New Roman" w:cs="Times New Roman"/>
          <w:b/>
          <w:sz w:val="24"/>
          <w:szCs w:val="24"/>
        </w:rPr>
        <w:t>:</w:t>
      </w:r>
      <w:r>
        <w:rPr>
          <w:rFonts w:ascii="Times New Roman" w:hAnsi="Times New Roman" w:cs="Times New Roman"/>
          <w:b/>
          <w:sz w:val="24"/>
          <w:szCs w:val="24"/>
        </w:rPr>
        <w:t xml:space="preserve">  </w:t>
      </w:r>
      <w:r w:rsidRPr="00B26B88">
        <w:rPr>
          <w:rFonts w:ascii="Times New Roman" w:hAnsi="Times New Roman" w:cs="Times New Roman"/>
          <w:b/>
          <w:sz w:val="24"/>
          <w:szCs w:val="24"/>
        </w:rPr>
        <w:t xml:space="preserve">How </w:t>
      </w:r>
      <w:r>
        <w:rPr>
          <w:rFonts w:ascii="Times New Roman" w:hAnsi="Times New Roman" w:cs="Times New Roman"/>
          <w:b/>
          <w:sz w:val="24"/>
          <w:szCs w:val="24"/>
        </w:rPr>
        <w:t xml:space="preserve">is the comparability plan approach applied </w:t>
      </w:r>
      <w:r w:rsidR="00261E59">
        <w:rPr>
          <w:rFonts w:ascii="Times New Roman" w:hAnsi="Times New Roman" w:cs="Times New Roman"/>
          <w:b/>
          <w:sz w:val="24"/>
          <w:szCs w:val="24"/>
        </w:rPr>
        <w:t xml:space="preserve">for purposes of the ratio percentage test </w:t>
      </w:r>
      <w:r>
        <w:rPr>
          <w:rFonts w:ascii="Times New Roman" w:hAnsi="Times New Roman" w:cs="Times New Roman"/>
          <w:b/>
          <w:sz w:val="24"/>
          <w:szCs w:val="24"/>
        </w:rPr>
        <w:t xml:space="preserve">using the annual </w:t>
      </w:r>
      <w:r w:rsidRPr="00B26B88">
        <w:rPr>
          <w:rFonts w:ascii="Times New Roman" w:hAnsi="Times New Roman" w:cs="Times New Roman"/>
          <w:b/>
          <w:sz w:val="24"/>
          <w:szCs w:val="24"/>
        </w:rPr>
        <w:t>accrual</w:t>
      </w:r>
      <w:r>
        <w:rPr>
          <w:rFonts w:ascii="Times New Roman" w:hAnsi="Times New Roman" w:cs="Times New Roman"/>
          <w:b/>
          <w:sz w:val="24"/>
          <w:szCs w:val="24"/>
        </w:rPr>
        <w:t xml:space="preserve"> method</w:t>
      </w:r>
      <w:r w:rsidRPr="00B26B88">
        <w:rPr>
          <w:rFonts w:ascii="Times New Roman" w:hAnsi="Times New Roman" w:cs="Times New Roman"/>
          <w:b/>
          <w:sz w:val="24"/>
          <w:szCs w:val="24"/>
        </w:rPr>
        <w:t>?</w:t>
      </w:r>
    </w:p>
    <w:p w:rsidR="00C124B3" w:rsidRDefault="00C124B3" w:rsidP="00C124B3">
      <w:pPr>
        <w:pStyle w:val="NoSpacing"/>
        <w:ind w:left="1080"/>
        <w:rPr>
          <w:rFonts w:ascii="Times New Roman" w:hAnsi="Times New Roman" w:cs="Times New Roman"/>
          <w:sz w:val="24"/>
          <w:szCs w:val="24"/>
        </w:rPr>
      </w:pPr>
    </w:p>
    <w:p w:rsidR="00C124B3" w:rsidRDefault="00C124B3" w:rsidP="00C124B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following example </w:t>
      </w:r>
      <w:r w:rsidR="00261E59">
        <w:rPr>
          <w:rFonts w:ascii="Times New Roman" w:hAnsi="Times New Roman" w:cs="Times New Roman"/>
          <w:sz w:val="24"/>
          <w:szCs w:val="24"/>
        </w:rPr>
        <w:t>demonstrates the application of the comparability plan approach for the ratio percentage test</w:t>
      </w:r>
      <w:r>
        <w:rPr>
          <w:rFonts w:ascii="Times New Roman" w:hAnsi="Times New Roman" w:cs="Times New Roman"/>
          <w:sz w:val="24"/>
          <w:szCs w:val="24"/>
        </w:rPr>
        <w:t xml:space="preserve"> using the annual accrual method.</w:t>
      </w:r>
    </w:p>
    <w:p w:rsidR="00C124B3" w:rsidRDefault="00C124B3" w:rsidP="00C124B3">
      <w:pPr>
        <w:pStyle w:val="NoSpacing"/>
        <w:ind w:left="1080"/>
        <w:rPr>
          <w:rFonts w:ascii="Times New Roman" w:hAnsi="Times New Roman" w:cs="Times New Roman"/>
          <w:sz w:val="24"/>
          <w:szCs w:val="24"/>
        </w:rPr>
      </w:pPr>
    </w:p>
    <w:p w:rsidR="00C124B3" w:rsidRDefault="008B01D4" w:rsidP="00C124B3">
      <w:pPr>
        <w:pStyle w:val="NoSpacing"/>
        <w:ind w:left="1080"/>
        <w:rPr>
          <w:rFonts w:ascii="Times New Roman" w:hAnsi="Times New Roman" w:cs="Times New Roman"/>
          <w:sz w:val="24"/>
          <w:szCs w:val="24"/>
        </w:rPr>
      </w:pPr>
      <w:r w:rsidRPr="00E3560C">
        <w:rPr>
          <w:rFonts w:ascii="Times New Roman" w:hAnsi="Times New Roman" w:cs="Times New Roman"/>
          <w:b/>
          <w:sz w:val="24"/>
          <w:szCs w:val="24"/>
        </w:rPr>
        <w:t xml:space="preserve">Example </w:t>
      </w:r>
      <w:r>
        <w:rPr>
          <w:rFonts w:ascii="Times New Roman" w:hAnsi="Times New Roman" w:cs="Times New Roman"/>
          <w:b/>
          <w:sz w:val="24"/>
          <w:szCs w:val="24"/>
        </w:rPr>
        <w:t>7</w:t>
      </w:r>
      <w:r w:rsidRPr="00E3560C">
        <w:rPr>
          <w:rFonts w:ascii="Times New Roman" w:hAnsi="Times New Roman" w:cs="Times New Roman"/>
          <w:b/>
          <w:sz w:val="24"/>
          <w:szCs w:val="24"/>
        </w:rPr>
        <w:t>.</w:t>
      </w:r>
      <w:r>
        <w:rPr>
          <w:rFonts w:ascii="Times New Roman" w:hAnsi="Times New Roman" w:cs="Times New Roman"/>
          <w:sz w:val="24"/>
          <w:szCs w:val="24"/>
        </w:rPr>
        <w:t xml:space="preserve">  </w:t>
      </w:r>
      <w:r w:rsidR="00C124B3" w:rsidRPr="00C124B3">
        <w:rPr>
          <w:rFonts w:ascii="Times New Roman" w:hAnsi="Times New Roman" w:cs="Times New Roman"/>
          <w:sz w:val="24"/>
          <w:szCs w:val="24"/>
        </w:rPr>
        <w:t xml:space="preserve">Table </w:t>
      </w:r>
      <w:r w:rsidR="00BE44AA">
        <w:rPr>
          <w:rFonts w:ascii="Times New Roman" w:hAnsi="Times New Roman" w:cs="Times New Roman"/>
          <w:sz w:val="24"/>
          <w:szCs w:val="24"/>
        </w:rPr>
        <w:t>4</w:t>
      </w:r>
      <w:r w:rsidR="00C124B3" w:rsidRPr="00C124B3">
        <w:rPr>
          <w:rFonts w:ascii="Times New Roman" w:hAnsi="Times New Roman" w:cs="Times New Roman"/>
          <w:sz w:val="24"/>
          <w:szCs w:val="24"/>
        </w:rPr>
        <w:t>-</w:t>
      </w:r>
      <w:r w:rsidR="00BE44AA">
        <w:rPr>
          <w:rFonts w:ascii="Times New Roman" w:hAnsi="Times New Roman" w:cs="Times New Roman"/>
          <w:sz w:val="24"/>
          <w:szCs w:val="24"/>
        </w:rPr>
        <w:t>3</w:t>
      </w:r>
      <w:r w:rsidR="00C124B3" w:rsidRPr="00C124B3">
        <w:rPr>
          <w:rFonts w:ascii="Times New Roman" w:hAnsi="Times New Roman" w:cs="Times New Roman"/>
          <w:sz w:val="24"/>
          <w:szCs w:val="24"/>
        </w:rPr>
        <w:t xml:space="preserve"> (see also Table </w:t>
      </w:r>
      <w:r w:rsidR="00BE44AA">
        <w:rPr>
          <w:rFonts w:ascii="Times New Roman" w:hAnsi="Times New Roman" w:cs="Times New Roman"/>
          <w:sz w:val="24"/>
          <w:szCs w:val="24"/>
        </w:rPr>
        <w:t>4</w:t>
      </w:r>
      <w:r w:rsidR="00C124B3" w:rsidRPr="00C124B3">
        <w:rPr>
          <w:rFonts w:ascii="Times New Roman" w:hAnsi="Times New Roman" w:cs="Times New Roman"/>
          <w:sz w:val="24"/>
          <w:szCs w:val="24"/>
        </w:rPr>
        <w:t>-</w:t>
      </w:r>
      <w:r w:rsidR="00BE44AA">
        <w:rPr>
          <w:rFonts w:ascii="Times New Roman" w:hAnsi="Times New Roman" w:cs="Times New Roman"/>
          <w:sz w:val="24"/>
          <w:szCs w:val="24"/>
        </w:rPr>
        <w:t>4</w:t>
      </w:r>
      <w:r w:rsidR="00C124B3" w:rsidRPr="00C124B3">
        <w:rPr>
          <w:rFonts w:ascii="Times New Roman" w:hAnsi="Times New Roman" w:cs="Times New Roman"/>
          <w:sz w:val="24"/>
          <w:szCs w:val="24"/>
        </w:rPr>
        <w:t xml:space="preserve">) shows how a comparability plan uses permitted disparity to pass the nondiscrimination rules. This type of plan is often referred to as a class allocation plan, i.e., </w:t>
      </w:r>
      <w:r w:rsidR="00092A46">
        <w:rPr>
          <w:rFonts w:ascii="Times New Roman" w:hAnsi="Times New Roman" w:cs="Times New Roman"/>
          <w:sz w:val="24"/>
          <w:szCs w:val="24"/>
        </w:rPr>
        <w:t>in which</w:t>
      </w:r>
      <w:r w:rsidR="00092A46" w:rsidRPr="00C124B3">
        <w:rPr>
          <w:rFonts w:ascii="Times New Roman" w:hAnsi="Times New Roman" w:cs="Times New Roman"/>
          <w:sz w:val="24"/>
          <w:szCs w:val="24"/>
        </w:rPr>
        <w:t xml:space="preserve"> </w:t>
      </w:r>
      <w:r w:rsidR="00C124B3" w:rsidRPr="00C124B3">
        <w:rPr>
          <w:rFonts w:ascii="Times New Roman" w:hAnsi="Times New Roman" w:cs="Times New Roman"/>
          <w:sz w:val="24"/>
          <w:szCs w:val="24"/>
        </w:rPr>
        <w:t xml:space="preserve">a different rate of contribution is allocated to different classes of employees. The classes must have a business basis, e.g., job description, geographical location, or business division. Table </w:t>
      </w:r>
      <w:r w:rsidR="00E50769">
        <w:rPr>
          <w:rFonts w:ascii="Times New Roman" w:hAnsi="Times New Roman" w:cs="Times New Roman"/>
          <w:sz w:val="24"/>
          <w:szCs w:val="24"/>
        </w:rPr>
        <w:t>4</w:t>
      </w:r>
      <w:r w:rsidR="00C124B3" w:rsidRPr="00C124B3">
        <w:rPr>
          <w:rFonts w:ascii="Times New Roman" w:hAnsi="Times New Roman" w:cs="Times New Roman"/>
          <w:sz w:val="24"/>
          <w:szCs w:val="24"/>
        </w:rPr>
        <w:t>-</w:t>
      </w:r>
      <w:r w:rsidR="00E50769">
        <w:rPr>
          <w:rFonts w:ascii="Times New Roman" w:hAnsi="Times New Roman" w:cs="Times New Roman"/>
          <w:sz w:val="24"/>
          <w:szCs w:val="24"/>
        </w:rPr>
        <w:t>3</w:t>
      </w:r>
      <w:r w:rsidR="00C124B3" w:rsidRPr="00C124B3">
        <w:rPr>
          <w:rFonts w:ascii="Times New Roman" w:hAnsi="Times New Roman" w:cs="Times New Roman"/>
          <w:sz w:val="24"/>
          <w:szCs w:val="24"/>
        </w:rPr>
        <w:t xml:space="preserve"> has two classes: (1) HCEs with a contribution of 25 percent up to the dollar limit of $</w:t>
      </w:r>
      <w:r w:rsidR="00D93C70">
        <w:rPr>
          <w:rFonts w:ascii="Times New Roman" w:hAnsi="Times New Roman" w:cs="Times New Roman"/>
          <w:sz w:val="24"/>
          <w:szCs w:val="24"/>
        </w:rPr>
        <w:t>51</w:t>
      </w:r>
      <w:r w:rsidR="00C124B3" w:rsidRPr="00C124B3">
        <w:rPr>
          <w:rFonts w:ascii="Times New Roman" w:hAnsi="Times New Roman" w:cs="Times New Roman"/>
          <w:sz w:val="24"/>
          <w:szCs w:val="24"/>
        </w:rPr>
        <w:t>,000 and (2) all other employees with a contribution of 6.60 percent (rounded).</w:t>
      </w:r>
    </w:p>
    <w:p w:rsidR="00C124B3" w:rsidRPr="00C124B3" w:rsidRDefault="00C124B3" w:rsidP="00C124B3">
      <w:pPr>
        <w:pStyle w:val="NoSpacing"/>
        <w:ind w:left="1080"/>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26"/>
        <w:gridCol w:w="1170"/>
        <w:gridCol w:w="630"/>
        <w:gridCol w:w="1530"/>
        <w:gridCol w:w="1350"/>
        <w:gridCol w:w="1080"/>
        <w:gridCol w:w="1146"/>
        <w:gridCol w:w="1289"/>
      </w:tblGrid>
      <w:tr w:rsidR="00C124B3" w:rsidTr="003705CD">
        <w:trPr>
          <w:trHeight w:val="543"/>
          <w:jc w:val="center"/>
        </w:trPr>
        <w:tc>
          <w:tcPr>
            <w:tcW w:w="9421" w:type="dxa"/>
            <w:gridSpan w:val="8"/>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C124B3" w:rsidRPr="00C124B3" w:rsidRDefault="00C124B3" w:rsidP="00BF50A3">
            <w:pPr>
              <w:pStyle w:val="TableHead"/>
              <w:rPr>
                <w:rFonts w:ascii="Times New Roman" w:hAnsi="Times New Roman" w:cs="Times New Roman"/>
                <w:color w:val="auto"/>
                <w:sz w:val="24"/>
                <w:szCs w:val="24"/>
              </w:rPr>
            </w:pPr>
            <w:r w:rsidRPr="00C124B3">
              <w:rPr>
                <w:rFonts w:ascii="Times New Roman" w:hAnsi="Times New Roman" w:cs="Times New Roman"/>
                <w:color w:val="auto"/>
                <w:sz w:val="24"/>
                <w:szCs w:val="24"/>
              </w:rPr>
              <w:t xml:space="preserve">Table </w:t>
            </w:r>
            <w:r w:rsidR="00BE44AA">
              <w:rPr>
                <w:rFonts w:ascii="Times New Roman" w:hAnsi="Times New Roman" w:cs="Times New Roman"/>
                <w:color w:val="auto"/>
                <w:sz w:val="24"/>
                <w:szCs w:val="24"/>
              </w:rPr>
              <w:t>4</w:t>
            </w:r>
            <w:r w:rsidRPr="00C124B3">
              <w:rPr>
                <w:rFonts w:ascii="Times New Roman" w:hAnsi="Times New Roman" w:cs="Times New Roman"/>
                <w:color w:val="auto"/>
                <w:sz w:val="24"/>
                <w:szCs w:val="24"/>
              </w:rPr>
              <w:t>-</w:t>
            </w:r>
            <w:r w:rsidR="00BE44AA">
              <w:rPr>
                <w:rFonts w:ascii="Times New Roman" w:hAnsi="Times New Roman" w:cs="Times New Roman"/>
                <w:color w:val="auto"/>
                <w:sz w:val="24"/>
                <w:szCs w:val="24"/>
              </w:rPr>
              <w:t>3</w:t>
            </w:r>
            <w:r w:rsidRPr="00C124B3">
              <w:rPr>
                <w:rFonts w:ascii="Times New Roman" w:hAnsi="Times New Roman" w:cs="Times New Roman"/>
                <w:color w:val="auto"/>
                <w:sz w:val="24"/>
                <w:szCs w:val="24"/>
              </w:rPr>
              <w:t xml:space="preserve">. Comparability Plan </w:t>
            </w:r>
            <w:r w:rsidR="00EC5196">
              <w:rPr>
                <w:rFonts w:ascii="Times New Roman" w:hAnsi="Times New Roman" w:cs="Times New Roman"/>
                <w:color w:val="auto"/>
                <w:sz w:val="24"/>
                <w:szCs w:val="24"/>
              </w:rPr>
              <w:t>w</w:t>
            </w:r>
            <w:r w:rsidR="00EC5196" w:rsidRPr="00C124B3">
              <w:rPr>
                <w:rFonts w:ascii="Times New Roman" w:hAnsi="Times New Roman" w:cs="Times New Roman"/>
                <w:color w:val="auto"/>
                <w:sz w:val="24"/>
                <w:szCs w:val="24"/>
              </w:rPr>
              <w:t xml:space="preserve">ithout </w:t>
            </w:r>
            <w:r w:rsidRPr="00C124B3">
              <w:rPr>
                <w:rFonts w:ascii="Times New Roman" w:hAnsi="Times New Roman" w:cs="Times New Roman"/>
                <w:color w:val="auto"/>
                <w:sz w:val="24"/>
                <w:szCs w:val="24"/>
              </w:rPr>
              <w:t xml:space="preserve">Permitted Disparity </w:t>
            </w:r>
            <w:r w:rsidRPr="00C124B3">
              <w:rPr>
                <w:rFonts w:ascii="Times New Roman" w:hAnsi="Times New Roman" w:cs="Times New Roman"/>
                <w:color w:val="auto"/>
                <w:sz w:val="24"/>
                <w:szCs w:val="24"/>
              </w:rPr>
              <w:br/>
              <w:t>(Class Allocation Plan)</w:t>
            </w:r>
          </w:p>
        </w:tc>
      </w:tr>
      <w:tr w:rsidR="00C124B3" w:rsidTr="003705CD">
        <w:trPr>
          <w:trHeight w:val="538"/>
          <w:jc w:val="center"/>
        </w:trPr>
        <w:tc>
          <w:tcPr>
            <w:tcW w:w="1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jc w:val="center"/>
            </w:pPr>
          </w:p>
          <w:p w:rsidR="00C124B3" w:rsidRPr="00C124B3" w:rsidRDefault="00C124B3" w:rsidP="00E826AF">
            <w:pPr>
              <w:jc w:val="center"/>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Salary</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Age</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Employer Contribution</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Forfeitures</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Future Value</w:t>
            </w:r>
          </w:p>
        </w:tc>
        <w:tc>
          <w:tcPr>
            <w:tcW w:w="11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Accrual</w:t>
            </w:r>
            <w:r w:rsidR="003705CD">
              <w:rPr>
                <w:b/>
                <w:bCs/>
                <w:i/>
                <w:iCs/>
              </w:rPr>
              <w:t>*</w:t>
            </w:r>
          </w:p>
        </w:tc>
        <w:tc>
          <w:tcPr>
            <w:tcW w:w="12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C124B3" w:rsidRDefault="00C124B3" w:rsidP="00E826AF">
            <w:pPr>
              <w:suppressAutoHyphens/>
              <w:jc w:val="center"/>
            </w:pPr>
            <w:r w:rsidRPr="00C124B3">
              <w:rPr>
                <w:b/>
                <w:bCs/>
                <w:i/>
                <w:iCs/>
              </w:rPr>
              <w:t>Accrual Rate</w:t>
            </w:r>
          </w:p>
        </w:tc>
      </w:tr>
      <w:tr w:rsidR="00C124B3" w:rsidTr="003705CD">
        <w:trPr>
          <w:trHeight w:val="364"/>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E826AF">
            <w:pPr>
              <w:suppressAutoHyphens/>
            </w:pPr>
            <w:r w:rsidRPr="00C124B3">
              <w:t>HCE #1</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D93C70">
            <w:pPr>
              <w:suppressAutoHyphens/>
              <w:ind w:right="90"/>
              <w:jc w:val="right"/>
            </w:pPr>
            <w:r w:rsidRPr="00C124B3">
              <w:t>$2</w:t>
            </w:r>
            <w:r w:rsidR="00D93C70">
              <w:t>5</w:t>
            </w:r>
            <w:r w:rsidRPr="00C124B3">
              <w:t>5,000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E826AF">
            <w:pPr>
              <w:suppressAutoHyphens/>
              <w:ind w:right="90"/>
              <w:jc w:val="right"/>
            </w:pPr>
            <w:r w:rsidRPr="00C124B3">
              <w:t>60</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D93C70">
            <w:pPr>
              <w:suppressAutoHyphens/>
              <w:ind w:right="180"/>
              <w:jc w:val="right"/>
            </w:pPr>
            <w:r w:rsidRPr="00C124B3">
              <w:t>$</w:t>
            </w:r>
            <w:r w:rsidR="00D93C70">
              <w:t>51</w:t>
            </w:r>
            <w:r w:rsidRPr="00C124B3">
              <w:t>,000</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E826AF">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D93C70">
            <w:pPr>
              <w:suppressAutoHyphens/>
              <w:ind w:right="90"/>
              <w:jc w:val="right"/>
            </w:pPr>
            <w:r w:rsidRPr="00C124B3">
              <w:t>$7</w:t>
            </w:r>
            <w:r w:rsidR="00D93C70">
              <w:t>3</w:t>
            </w:r>
            <w:r w:rsidRPr="00C124B3">
              <w:t>,</w:t>
            </w:r>
            <w:r w:rsidR="00D93C70">
              <w:t>217</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24B3" w:rsidRPr="00C124B3" w:rsidRDefault="00C124B3" w:rsidP="00D93C70">
            <w:pPr>
              <w:suppressAutoHyphens/>
              <w:ind w:right="247"/>
              <w:jc w:val="right"/>
            </w:pPr>
            <w:r w:rsidRPr="00C124B3">
              <w:t>$6,</w:t>
            </w:r>
            <w:r w:rsidR="00D93C70">
              <w:t>388</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C124B3" w:rsidRPr="00C124B3" w:rsidRDefault="00C124B3" w:rsidP="00E826AF">
            <w:pPr>
              <w:suppressAutoHyphens/>
              <w:ind w:right="247"/>
              <w:jc w:val="right"/>
            </w:pPr>
            <w:r w:rsidRPr="00C124B3">
              <w:t>2.505%</w:t>
            </w:r>
          </w:p>
        </w:tc>
      </w:tr>
      <w:tr w:rsidR="00C124B3" w:rsidTr="003705CD">
        <w:trPr>
          <w:trHeight w:val="346"/>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pPr>
            <w:r w:rsidRPr="00C124B3">
              <w:t>HCE #2</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9337A8">
            <w:pPr>
              <w:suppressAutoHyphens/>
              <w:ind w:right="90"/>
              <w:jc w:val="right"/>
              <w:rPr>
                <w:u w:val="single"/>
              </w:rPr>
            </w:pPr>
            <w:r>
              <w:rPr>
                <w:u w:val="single"/>
              </w:rPr>
              <w:t>$</w:t>
            </w:r>
            <w:r w:rsidR="00C124B3" w:rsidRPr="00C124B3">
              <w:rPr>
                <w:u w:val="single"/>
              </w:rPr>
              <w:t>1</w:t>
            </w:r>
            <w:r w:rsidR="009337A8">
              <w:rPr>
                <w:u w:val="single"/>
              </w:rPr>
              <w:t>15</w:t>
            </w:r>
            <w:r w:rsidR="00C124B3" w:rsidRPr="00C124B3">
              <w:rPr>
                <w:u w:val="single"/>
              </w:rPr>
              <w:t>,000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55</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BB2F25">
            <w:pPr>
              <w:suppressAutoHyphens/>
              <w:ind w:right="180"/>
              <w:jc w:val="right"/>
              <w:rPr>
                <w:u w:val="single"/>
              </w:rPr>
            </w:pPr>
            <w:r w:rsidRPr="00C124B3">
              <w:rPr>
                <w:u w:val="single"/>
              </w:rPr>
              <w:t xml:space="preserve"> </w:t>
            </w:r>
            <w:r w:rsidR="00BB2F25">
              <w:rPr>
                <w:u w:val="single"/>
              </w:rPr>
              <w:t>$</w:t>
            </w:r>
            <w:r w:rsidRPr="00C124B3">
              <w:rPr>
                <w:u w:val="single"/>
              </w:rPr>
              <w:t>2</w:t>
            </w:r>
            <w:r w:rsidR="009337A8">
              <w:rPr>
                <w:u w:val="single"/>
              </w:rPr>
              <w:t>8,750</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270" w:type="dxa"/>
            </w:tcMar>
            <w:vAlign w:val="center"/>
          </w:tcPr>
          <w:p w:rsidR="00C124B3" w:rsidRPr="00C124B3" w:rsidRDefault="00C124B3" w:rsidP="00E826AF">
            <w:pPr>
              <w:suppressAutoHyphens/>
              <w:jc w:val="right"/>
              <w:rPr>
                <w:u w:val="single"/>
              </w:rPr>
            </w:pPr>
            <w:r w:rsidRPr="00C124B3">
              <w:rPr>
                <w:u w:val="single"/>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9337A8">
            <w:pPr>
              <w:suppressAutoHyphens/>
              <w:ind w:right="90"/>
              <w:jc w:val="right"/>
            </w:pPr>
            <w:r w:rsidRPr="00C124B3">
              <w:t>$5</w:t>
            </w:r>
            <w:r w:rsidR="009337A8">
              <w:t>9</w:t>
            </w:r>
            <w:r w:rsidRPr="00C124B3">
              <w:t>,</w:t>
            </w:r>
            <w:r w:rsidR="009337A8">
              <w:t>255</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90" w:type="dxa"/>
              <w:right w:w="0" w:type="dxa"/>
            </w:tcMar>
            <w:vAlign w:val="center"/>
          </w:tcPr>
          <w:p w:rsidR="00C124B3" w:rsidRPr="00C124B3" w:rsidRDefault="00C124B3" w:rsidP="00A63D05">
            <w:pPr>
              <w:suppressAutoHyphens/>
              <w:ind w:right="247"/>
              <w:jc w:val="right"/>
            </w:pPr>
            <w:r w:rsidRPr="00C124B3">
              <w:t>$</w:t>
            </w:r>
            <w:r w:rsidR="00A63D05">
              <w:t>5</w:t>
            </w:r>
            <w:r w:rsidRPr="00C124B3">
              <w:t>,</w:t>
            </w:r>
            <w:r w:rsidR="00A63D05">
              <w:t>170</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0" w:type="dxa"/>
            </w:tcMar>
            <w:vAlign w:val="center"/>
          </w:tcPr>
          <w:p w:rsidR="00C124B3" w:rsidRPr="00C124B3" w:rsidRDefault="00C124B3" w:rsidP="00E826AF">
            <w:pPr>
              <w:suppressAutoHyphens/>
              <w:ind w:right="247"/>
              <w:jc w:val="right"/>
            </w:pPr>
            <w:r w:rsidRPr="00C124B3">
              <w:t>4.496%</w:t>
            </w:r>
          </w:p>
        </w:tc>
      </w:tr>
      <w:tr w:rsidR="00C124B3" w:rsidTr="003705CD">
        <w:trPr>
          <w:trHeight w:val="360"/>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suppressAutoHyphens/>
              <w:rPr>
                <w:b/>
              </w:rPr>
            </w:pPr>
            <w:r w:rsidRPr="0033241C">
              <w:rPr>
                <w:b/>
              </w:rPr>
              <w:t>S TOTAL</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D93C70">
            <w:pPr>
              <w:suppressAutoHyphens/>
              <w:ind w:right="90"/>
              <w:jc w:val="right"/>
              <w:rPr>
                <w:b/>
                <w:u w:val="single"/>
              </w:rPr>
            </w:pPr>
            <w:r w:rsidRPr="0033241C">
              <w:rPr>
                <w:b/>
                <w:u w:val="single"/>
              </w:rPr>
              <w:t>$3</w:t>
            </w:r>
            <w:r w:rsidR="00D93C70" w:rsidRPr="0033241C">
              <w:rPr>
                <w:b/>
                <w:u w:val="single"/>
              </w:rPr>
              <w:t>7</w:t>
            </w:r>
            <w:r w:rsidR="00A63D05" w:rsidRPr="0033241C">
              <w:rPr>
                <w:b/>
                <w:u w:val="single"/>
              </w:rPr>
              <w:t>0</w:t>
            </w:r>
            <w:r w:rsidRPr="0033241C">
              <w:rPr>
                <w:b/>
                <w:u w:val="single"/>
              </w:rPr>
              <w:t>,000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D93C70">
            <w:pPr>
              <w:suppressAutoHyphens/>
              <w:ind w:right="180"/>
              <w:jc w:val="right"/>
              <w:rPr>
                <w:b/>
                <w:u w:val="single"/>
              </w:rPr>
            </w:pPr>
            <w:r w:rsidRPr="0033241C">
              <w:rPr>
                <w:b/>
                <w:u w:val="single"/>
              </w:rPr>
              <w:t>$7</w:t>
            </w:r>
            <w:r w:rsidR="00D93C70" w:rsidRPr="0033241C">
              <w:rPr>
                <w:b/>
                <w:u w:val="single"/>
              </w:rPr>
              <w:t>9</w:t>
            </w:r>
            <w:r w:rsidRPr="0033241C">
              <w:rPr>
                <w:b/>
                <w:u w:val="single"/>
              </w:rPr>
              <w:t>,</w:t>
            </w:r>
            <w:r w:rsidR="00A63D05" w:rsidRPr="0033241C">
              <w:rPr>
                <w:b/>
                <w:u w:val="single"/>
              </w:rPr>
              <w:t>75</w:t>
            </w:r>
            <w:r w:rsidRPr="0033241C">
              <w:rPr>
                <w:b/>
                <w:u w:val="single"/>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270" w:type="dxa"/>
            </w:tcMar>
            <w:vAlign w:val="center"/>
          </w:tcPr>
          <w:p w:rsidR="00C124B3" w:rsidRPr="0033241C" w:rsidRDefault="00C124B3" w:rsidP="00BB2F25">
            <w:pPr>
              <w:suppressAutoHyphens/>
              <w:ind w:right="-28"/>
              <w:jc w:val="center"/>
              <w:rPr>
                <w:b/>
                <w:u w:val="single"/>
              </w:rPr>
            </w:pPr>
            <w:r w:rsidRPr="0033241C">
              <w:rPr>
                <w:b/>
                <w:u w:val="single"/>
              </w:rPr>
              <w:t>$     -</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r>
      <w:tr w:rsidR="00092A46" w:rsidTr="003705CD">
        <w:trPr>
          <w:trHeight w:val="360"/>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suppressAutoHyphens/>
            </w:pP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D93C70">
            <w:pPr>
              <w:suppressAutoHyphens/>
              <w:ind w:right="90"/>
              <w:jc w:val="right"/>
              <w:rPr>
                <w:u w:val="single"/>
              </w:rPr>
            </w:pP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D93C70">
            <w:pPr>
              <w:suppressAutoHyphens/>
              <w:ind w:right="180"/>
              <w:jc w:val="right"/>
              <w:rPr>
                <w:u w:val="single"/>
              </w:rPr>
            </w:pP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270" w:type="dxa"/>
            </w:tcMar>
            <w:vAlign w:val="center"/>
          </w:tcPr>
          <w:p w:rsidR="00092A46" w:rsidRPr="00C124B3" w:rsidRDefault="00092A46" w:rsidP="00BB2F25">
            <w:pPr>
              <w:suppressAutoHyphens/>
              <w:ind w:right="-28"/>
              <w:jc w:val="center"/>
              <w:rPr>
                <w:u w:val="single"/>
              </w:rPr>
            </w:pP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r>
      <w:tr w:rsidR="00C124B3" w:rsidTr="003705CD">
        <w:trPr>
          <w:trHeight w:val="367"/>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pPr>
            <w:r w:rsidRPr="00C124B3">
              <w:t>NHCE #1</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w:t>
            </w:r>
            <w:r w:rsidR="00BB2F25">
              <w:t xml:space="preserve"> </w:t>
            </w:r>
            <w:r w:rsidRPr="00C124B3">
              <w:t xml:space="preserve"> 25,000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50</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180"/>
              <w:jc w:val="right"/>
            </w:pPr>
            <w:r w:rsidRPr="00C124B3">
              <w:t>$  1,025</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61" w:type="dxa"/>
            </w:tcMar>
            <w:vAlign w:val="center"/>
          </w:tcPr>
          <w:p w:rsidR="00C124B3" w:rsidRPr="00C124B3" w:rsidRDefault="00C124B3" w:rsidP="00E826AF">
            <w:pPr>
              <w:suppressAutoHyphens/>
              <w:ind w:right="270"/>
              <w:jc w:val="right"/>
            </w:pPr>
            <w:r w:rsidRPr="00C124B3">
              <w:t>$   625</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  4,882</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90" w:type="dxa"/>
              <w:right w:w="0" w:type="dxa"/>
            </w:tcMar>
            <w:vAlign w:val="center"/>
          </w:tcPr>
          <w:p w:rsidR="00C124B3" w:rsidRPr="00C124B3" w:rsidRDefault="00C124B3" w:rsidP="00E826AF">
            <w:pPr>
              <w:suppressAutoHyphens/>
              <w:ind w:right="247"/>
              <w:jc w:val="right"/>
            </w:pPr>
            <w:r w:rsidRPr="00C124B3">
              <w:t xml:space="preserve">$ </w:t>
            </w:r>
            <w:r w:rsidR="00BB2F25">
              <w:t xml:space="preserve"> </w:t>
            </w:r>
            <w:r w:rsidRPr="00C124B3">
              <w:t xml:space="preserve"> 426</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0" w:type="dxa"/>
            </w:tcMar>
            <w:vAlign w:val="center"/>
          </w:tcPr>
          <w:p w:rsidR="00C124B3" w:rsidRPr="00C124B3" w:rsidRDefault="00C124B3" w:rsidP="00E826AF">
            <w:pPr>
              <w:suppressAutoHyphens/>
              <w:ind w:right="247"/>
              <w:jc w:val="right"/>
            </w:pPr>
            <w:r w:rsidRPr="00C124B3">
              <w:t>1.704%</w:t>
            </w:r>
          </w:p>
        </w:tc>
      </w:tr>
      <w:tr w:rsidR="00C124B3" w:rsidTr="003705CD">
        <w:trPr>
          <w:trHeight w:val="359"/>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pPr>
            <w:r w:rsidRPr="00C124B3">
              <w:t>NHCE #2</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90"/>
              <w:jc w:val="right"/>
            </w:pPr>
            <w:r>
              <w:t xml:space="preserve">$  </w:t>
            </w:r>
            <w:r w:rsidR="00C124B3" w:rsidRPr="00C124B3">
              <w:t>35,000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38</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180"/>
              <w:jc w:val="right"/>
            </w:pPr>
            <w:r>
              <w:t xml:space="preserve">$  </w:t>
            </w:r>
            <w:r w:rsidR="00C124B3" w:rsidRPr="00C124B3">
              <w:t>1,435</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61" w:type="dxa"/>
            </w:tcMar>
            <w:vAlign w:val="center"/>
          </w:tcPr>
          <w:p w:rsidR="00C124B3" w:rsidRPr="00C124B3" w:rsidRDefault="00BB2F25" w:rsidP="00E826AF">
            <w:pPr>
              <w:suppressAutoHyphens/>
              <w:ind w:right="270"/>
              <w:jc w:val="right"/>
            </w:pPr>
            <w:r>
              <w:t xml:space="preserve">$   </w:t>
            </w:r>
            <w:r w:rsidR="00C124B3" w:rsidRPr="00C124B3">
              <w:t>875</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$16,279</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90" w:type="dxa"/>
              <w:right w:w="0" w:type="dxa"/>
            </w:tcMar>
            <w:vAlign w:val="center"/>
          </w:tcPr>
          <w:p w:rsidR="00C124B3" w:rsidRPr="00C124B3" w:rsidRDefault="00C124B3" w:rsidP="00E826AF">
            <w:pPr>
              <w:suppressAutoHyphens/>
              <w:ind w:right="247"/>
              <w:jc w:val="right"/>
            </w:pPr>
            <w:r w:rsidRPr="00C124B3">
              <w:t>$1,421</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0" w:type="dxa"/>
            </w:tcMar>
            <w:vAlign w:val="center"/>
          </w:tcPr>
          <w:p w:rsidR="00C124B3" w:rsidRPr="00C124B3" w:rsidRDefault="00C124B3" w:rsidP="00E826AF">
            <w:pPr>
              <w:suppressAutoHyphens/>
              <w:ind w:right="247"/>
              <w:jc w:val="right"/>
            </w:pPr>
            <w:r w:rsidRPr="00C124B3">
              <w:t>4.059%</w:t>
            </w:r>
          </w:p>
        </w:tc>
      </w:tr>
      <w:tr w:rsidR="00C124B3" w:rsidTr="003705CD">
        <w:trPr>
          <w:trHeight w:val="359"/>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pPr>
            <w:r w:rsidRPr="00C124B3">
              <w:t>NHCE #3</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90"/>
              <w:jc w:val="right"/>
            </w:pPr>
            <w:r>
              <w:t xml:space="preserve">$  </w:t>
            </w:r>
            <w:r w:rsidR="00C124B3" w:rsidRPr="00C124B3">
              <w:t>28,000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29</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180"/>
              <w:jc w:val="right"/>
            </w:pPr>
            <w:r>
              <w:t xml:space="preserve">$  </w:t>
            </w:r>
            <w:r w:rsidR="00C124B3" w:rsidRPr="00C124B3">
              <w:t>1,148</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61" w:type="dxa"/>
            </w:tcMar>
            <w:vAlign w:val="center"/>
          </w:tcPr>
          <w:p w:rsidR="00C124B3" w:rsidRPr="00C124B3" w:rsidRDefault="00BB2F25" w:rsidP="00E826AF">
            <w:pPr>
              <w:suppressAutoHyphens/>
              <w:ind w:right="270"/>
              <w:jc w:val="right"/>
            </w:pPr>
            <w:r>
              <w:t xml:space="preserve">$   </w:t>
            </w:r>
            <w:r w:rsidR="00C124B3" w:rsidRPr="00C124B3">
              <w:t>700</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$24,969</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90" w:type="dxa"/>
              <w:right w:w="0" w:type="dxa"/>
            </w:tcMar>
            <w:vAlign w:val="center"/>
          </w:tcPr>
          <w:p w:rsidR="00C124B3" w:rsidRPr="00C124B3" w:rsidRDefault="00C124B3" w:rsidP="00E826AF">
            <w:pPr>
              <w:suppressAutoHyphens/>
              <w:ind w:right="247"/>
              <w:jc w:val="right"/>
            </w:pPr>
            <w:r w:rsidRPr="00C124B3">
              <w:t>$2,179</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0" w:type="dxa"/>
            </w:tcMar>
            <w:vAlign w:val="center"/>
          </w:tcPr>
          <w:p w:rsidR="00C124B3" w:rsidRPr="00C124B3" w:rsidRDefault="00C124B3" w:rsidP="00E826AF">
            <w:pPr>
              <w:suppressAutoHyphens/>
              <w:ind w:right="247"/>
              <w:jc w:val="right"/>
            </w:pPr>
            <w:r w:rsidRPr="00C124B3">
              <w:t>7.782%</w:t>
            </w:r>
          </w:p>
        </w:tc>
      </w:tr>
      <w:tr w:rsidR="00C124B3" w:rsidTr="003705CD">
        <w:trPr>
          <w:trHeight w:val="359"/>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pPr>
            <w:r w:rsidRPr="00C124B3">
              <w:t>NHCE #4</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90"/>
              <w:jc w:val="right"/>
            </w:pPr>
            <w:r>
              <w:t xml:space="preserve">$  </w:t>
            </w:r>
            <w:r w:rsidR="00C124B3" w:rsidRPr="00C124B3">
              <w:t>18,000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25</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180"/>
              <w:jc w:val="right"/>
            </w:pPr>
            <w:r>
              <w:t xml:space="preserve">$     </w:t>
            </w:r>
            <w:r w:rsidR="00C124B3" w:rsidRPr="00C124B3">
              <w:t>738</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61" w:type="dxa"/>
            </w:tcMar>
            <w:vAlign w:val="center"/>
          </w:tcPr>
          <w:p w:rsidR="00C124B3" w:rsidRPr="00C124B3" w:rsidRDefault="00BB2F25" w:rsidP="00E826AF">
            <w:pPr>
              <w:suppressAutoHyphens/>
              <w:ind w:right="270"/>
              <w:jc w:val="right"/>
            </w:pPr>
            <w:r>
              <w:t xml:space="preserve">$   </w:t>
            </w:r>
            <w:r w:rsidR="00C124B3" w:rsidRPr="00C124B3">
              <w:t>450</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$21,437</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90" w:type="dxa"/>
              <w:right w:w="0" w:type="dxa"/>
            </w:tcMar>
            <w:vAlign w:val="center"/>
          </w:tcPr>
          <w:p w:rsidR="00C124B3" w:rsidRPr="00C124B3" w:rsidRDefault="00C124B3" w:rsidP="00E826AF">
            <w:pPr>
              <w:suppressAutoHyphens/>
              <w:ind w:right="247"/>
              <w:jc w:val="right"/>
            </w:pPr>
            <w:r w:rsidRPr="00C124B3">
              <w:t>$1,871</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0" w:type="dxa"/>
            </w:tcMar>
            <w:vAlign w:val="center"/>
          </w:tcPr>
          <w:p w:rsidR="00C124B3" w:rsidRPr="00C124B3" w:rsidRDefault="00C124B3" w:rsidP="00E826AF">
            <w:pPr>
              <w:suppressAutoHyphens/>
              <w:ind w:right="247"/>
              <w:jc w:val="right"/>
            </w:pPr>
            <w:r w:rsidRPr="00C124B3">
              <w:t>10.392%</w:t>
            </w:r>
          </w:p>
        </w:tc>
      </w:tr>
      <w:tr w:rsidR="00C124B3" w:rsidTr="003705CD">
        <w:trPr>
          <w:trHeight w:val="359"/>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pPr>
            <w:r w:rsidRPr="00C124B3">
              <w:t>NHCE #5</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BB2F25" w:rsidP="00E826AF">
            <w:pPr>
              <w:suppressAutoHyphens/>
              <w:ind w:right="90"/>
              <w:jc w:val="right"/>
            </w:pPr>
            <w:r>
              <w:t xml:space="preserve">$  </w:t>
            </w:r>
            <w:r w:rsidR="00C124B3" w:rsidRPr="00C124B3">
              <w:t>50,000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48</w:t>
            </w: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180"/>
              <w:jc w:val="right"/>
              <w:rPr>
                <w:u w:val="single"/>
              </w:rPr>
            </w:pPr>
            <w:r w:rsidRPr="00C124B3">
              <w:rPr>
                <w:u w:val="single"/>
              </w:rPr>
              <w:t xml:space="preserve">    </w:t>
            </w:r>
            <w:r w:rsidR="00BB2F25">
              <w:rPr>
                <w:u w:val="single"/>
              </w:rPr>
              <w:t xml:space="preserve">$  </w:t>
            </w:r>
            <w:r w:rsidRPr="00C124B3">
              <w:rPr>
                <w:u w:val="single"/>
              </w:rPr>
              <w:t>2,050</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61" w:type="dxa"/>
            </w:tcMar>
            <w:vAlign w:val="center"/>
          </w:tcPr>
          <w:p w:rsidR="00C124B3" w:rsidRPr="00C124B3" w:rsidRDefault="00C124B3" w:rsidP="00E826AF">
            <w:pPr>
              <w:suppressAutoHyphens/>
              <w:ind w:right="270"/>
              <w:jc w:val="right"/>
              <w:rPr>
                <w:u w:val="single"/>
              </w:rPr>
            </w:pPr>
            <w:r w:rsidRPr="00C124B3">
              <w:rPr>
                <w:u w:val="single"/>
              </w:rPr>
              <w:t xml:space="preserve">  </w:t>
            </w:r>
            <w:r w:rsidR="00BB2F25">
              <w:rPr>
                <w:u w:val="single"/>
              </w:rPr>
              <w:t>$</w:t>
            </w:r>
            <w:r w:rsidRPr="00C124B3">
              <w:rPr>
                <w:u w:val="single"/>
              </w:rPr>
              <w:t>1,250</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80" w:type="dxa"/>
            </w:tcMar>
            <w:vAlign w:val="center"/>
          </w:tcPr>
          <w:p w:rsidR="00C124B3" w:rsidRPr="00C124B3" w:rsidRDefault="00C124B3" w:rsidP="00E826AF">
            <w:pPr>
              <w:suppressAutoHyphens/>
              <w:ind w:right="90"/>
              <w:jc w:val="right"/>
            </w:pPr>
            <w:r w:rsidRPr="00C124B3">
              <w:t>$11,284</w:t>
            </w: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90" w:type="dxa"/>
              <w:right w:w="0" w:type="dxa"/>
            </w:tcMar>
            <w:vAlign w:val="center"/>
          </w:tcPr>
          <w:p w:rsidR="00C124B3" w:rsidRPr="00C124B3" w:rsidRDefault="00C124B3" w:rsidP="00E826AF">
            <w:pPr>
              <w:suppressAutoHyphens/>
              <w:ind w:right="247"/>
              <w:jc w:val="right"/>
            </w:pPr>
            <w:r w:rsidRPr="00C124B3">
              <w:t xml:space="preserve">$ </w:t>
            </w:r>
            <w:r w:rsidR="00BB2F25">
              <w:t xml:space="preserve"> </w:t>
            </w:r>
            <w:r w:rsidRPr="00C124B3">
              <w:t xml:space="preserve"> 985</w:t>
            </w: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90" w:type="dxa"/>
              <w:right w:w="0" w:type="dxa"/>
            </w:tcMar>
            <w:vAlign w:val="center"/>
          </w:tcPr>
          <w:p w:rsidR="00C124B3" w:rsidRPr="00C124B3" w:rsidRDefault="00C124B3" w:rsidP="00E826AF">
            <w:pPr>
              <w:suppressAutoHyphens/>
              <w:ind w:right="247"/>
              <w:jc w:val="right"/>
            </w:pPr>
            <w:r w:rsidRPr="00C124B3">
              <w:t>1.969%</w:t>
            </w:r>
          </w:p>
        </w:tc>
      </w:tr>
      <w:tr w:rsidR="00C124B3" w:rsidTr="003705CD">
        <w:trPr>
          <w:trHeight w:val="358"/>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suppressAutoHyphens/>
              <w:rPr>
                <w:b/>
              </w:rPr>
            </w:pPr>
            <w:r w:rsidRPr="0033241C">
              <w:rPr>
                <w:b/>
              </w:rPr>
              <w:t>S TOTAL</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suppressAutoHyphens/>
              <w:ind w:right="90"/>
              <w:jc w:val="right"/>
              <w:rPr>
                <w:b/>
                <w:u w:val="single"/>
              </w:rPr>
            </w:pPr>
            <w:r w:rsidRPr="0033241C">
              <w:rPr>
                <w:b/>
                <w:u w:val="single"/>
              </w:rPr>
              <w:t>$156,000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suppressAutoHyphens/>
              <w:ind w:right="180"/>
              <w:jc w:val="right"/>
              <w:rPr>
                <w:b/>
                <w:u w:val="single"/>
              </w:rPr>
            </w:pPr>
            <w:r w:rsidRPr="0033241C">
              <w:rPr>
                <w:b/>
                <w:u w:val="single"/>
              </w:rPr>
              <w:t>$  6,396</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61" w:type="dxa"/>
            </w:tcMar>
            <w:vAlign w:val="center"/>
          </w:tcPr>
          <w:p w:rsidR="00C124B3" w:rsidRPr="0033241C" w:rsidRDefault="00C124B3" w:rsidP="00BB2F25">
            <w:pPr>
              <w:suppressAutoHyphens/>
              <w:ind w:right="270"/>
              <w:jc w:val="right"/>
              <w:rPr>
                <w:b/>
                <w:u w:val="single"/>
              </w:rPr>
            </w:pPr>
            <w:r w:rsidRPr="0033241C">
              <w:rPr>
                <w:b/>
                <w:u w:val="single"/>
              </w:rPr>
              <w:t>$3,900</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r>
      <w:tr w:rsidR="00092A46" w:rsidTr="003705CD">
        <w:trPr>
          <w:trHeight w:val="366"/>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suppressAutoHyphens/>
            </w:pP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D93C70">
            <w:pPr>
              <w:suppressAutoHyphens/>
              <w:ind w:right="90"/>
              <w:jc w:val="right"/>
              <w:rPr>
                <w:u w:val="single"/>
              </w:rPr>
            </w:pP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D93C70">
            <w:pPr>
              <w:suppressAutoHyphens/>
              <w:ind w:right="180"/>
              <w:jc w:val="right"/>
              <w:rPr>
                <w:u w:val="single"/>
              </w:rPr>
            </w:pP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61" w:type="dxa"/>
            </w:tcMar>
            <w:vAlign w:val="center"/>
          </w:tcPr>
          <w:p w:rsidR="00092A46" w:rsidRPr="00C124B3" w:rsidRDefault="00092A46" w:rsidP="00BB2F25">
            <w:pPr>
              <w:suppressAutoHyphens/>
              <w:ind w:right="270"/>
              <w:jc w:val="right"/>
              <w:rPr>
                <w:u w:val="single"/>
              </w:rPr>
            </w:pP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092A46" w:rsidRPr="00C124B3" w:rsidRDefault="00092A46" w:rsidP="00E826AF">
            <w:pPr>
              <w:pStyle w:val="NoParagraphStyle"/>
              <w:spacing w:line="240" w:lineRule="auto"/>
              <w:textAlignment w:val="auto"/>
              <w:rPr>
                <w:rFonts w:ascii="Times New Roman" w:hAnsi="Times New Roman" w:cs="Times New Roman"/>
                <w:color w:val="auto"/>
              </w:rPr>
            </w:pPr>
          </w:p>
        </w:tc>
      </w:tr>
      <w:tr w:rsidR="00C124B3" w:rsidTr="003705CD">
        <w:trPr>
          <w:trHeight w:val="366"/>
          <w:jc w:val="center"/>
        </w:trPr>
        <w:tc>
          <w:tcPr>
            <w:tcW w:w="122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suppressAutoHyphens/>
              <w:rPr>
                <w:b/>
              </w:rPr>
            </w:pPr>
            <w:r w:rsidRPr="0033241C">
              <w:rPr>
                <w:b/>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D93C70">
            <w:pPr>
              <w:suppressAutoHyphens/>
              <w:ind w:right="90"/>
              <w:jc w:val="right"/>
              <w:rPr>
                <w:b/>
                <w:u w:val="single"/>
              </w:rPr>
            </w:pPr>
            <w:r w:rsidRPr="0033241C">
              <w:rPr>
                <w:b/>
                <w:u w:val="single"/>
              </w:rPr>
              <w:t>$5</w:t>
            </w:r>
            <w:r w:rsidR="00D93C70" w:rsidRPr="0033241C">
              <w:rPr>
                <w:b/>
                <w:u w:val="single"/>
              </w:rPr>
              <w:t>2</w:t>
            </w:r>
            <w:r w:rsidR="00A63D05" w:rsidRPr="0033241C">
              <w:rPr>
                <w:b/>
                <w:u w:val="single"/>
              </w:rPr>
              <w:t>6</w:t>
            </w:r>
            <w:r w:rsidRPr="0033241C">
              <w:rPr>
                <w:b/>
                <w:u w:val="single"/>
              </w:rPr>
              <w:t>,000</w:t>
            </w:r>
          </w:p>
        </w:tc>
        <w:tc>
          <w:tcPr>
            <w:tcW w:w="6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53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33241C" w:rsidRDefault="00C124B3" w:rsidP="00D93C70">
            <w:pPr>
              <w:suppressAutoHyphens/>
              <w:ind w:right="180"/>
              <w:jc w:val="right"/>
              <w:rPr>
                <w:b/>
                <w:u w:val="single"/>
              </w:rPr>
            </w:pPr>
            <w:r w:rsidRPr="0033241C">
              <w:rPr>
                <w:b/>
                <w:u w:val="single"/>
              </w:rPr>
              <w:t>$8</w:t>
            </w:r>
            <w:r w:rsidR="00D93C70" w:rsidRPr="0033241C">
              <w:rPr>
                <w:b/>
                <w:u w:val="single"/>
              </w:rPr>
              <w:t>6</w:t>
            </w:r>
            <w:r w:rsidRPr="0033241C">
              <w:rPr>
                <w:b/>
                <w:u w:val="single"/>
              </w:rPr>
              <w:t>,</w:t>
            </w:r>
            <w:r w:rsidR="00A63D05" w:rsidRPr="0033241C">
              <w:rPr>
                <w:b/>
                <w:u w:val="single"/>
              </w:rPr>
              <w:t>146</w:t>
            </w:r>
          </w:p>
        </w:tc>
        <w:tc>
          <w:tcPr>
            <w:tcW w:w="13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61" w:type="dxa"/>
            </w:tcMar>
            <w:vAlign w:val="center"/>
          </w:tcPr>
          <w:p w:rsidR="00C124B3" w:rsidRPr="0033241C" w:rsidRDefault="00C124B3" w:rsidP="00BB2F25">
            <w:pPr>
              <w:suppressAutoHyphens/>
              <w:ind w:right="270"/>
              <w:jc w:val="right"/>
              <w:rPr>
                <w:b/>
                <w:u w:val="single"/>
              </w:rPr>
            </w:pPr>
            <w:r w:rsidRPr="0033241C">
              <w:rPr>
                <w:b/>
                <w:u w:val="single"/>
              </w:rPr>
              <w:t>$3,900</w:t>
            </w:r>
          </w:p>
        </w:tc>
        <w:tc>
          <w:tcPr>
            <w:tcW w:w="10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E826AF">
            <w:pPr>
              <w:pStyle w:val="NoParagraphStyle"/>
              <w:spacing w:line="240" w:lineRule="auto"/>
              <w:textAlignment w:val="auto"/>
              <w:rPr>
                <w:rFonts w:ascii="Times New Roman" w:hAnsi="Times New Roman" w:cs="Times New Roman"/>
                <w:color w:val="auto"/>
              </w:rPr>
            </w:pPr>
          </w:p>
        </w:tc>
        <w:tc>
          <w:tcPr>
            <w:tcW w:w="1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24B3" w:rsidRPr="00C124B3" w:rsidRDefault="00C124B3" w:rsidP="00E826AF">
            <w:pPr>
              <w:pStyle w:val="NoParagraphStyle"/>
              <w:spacing w:line="240" w:lineRule="auto"/>
              <w:textAlignment w:val="auto"/>
              <w:rPr>
                <w:rFonts w:ascii="Times New Roman" w:hAnsi="Times New Roman" w:cs="Times New Roman"/>
                <w:color w:val="auto"/>
              </w:rPr>
            </w:pPr>
          </w:p>
        </w:tc>
        <w:tc>
          <w:tcPr>
            <w:tcW w:w="128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C124B3" w:rsidRPr="00C124B3" w:rsidRDefault="00C124B3" w:rsidP="00E826AF">
            <w:pPr>
              <w:pStyle w:val="NoParagraphStyle"/>
              <w:spacing w:line="240" w:lineRule="auto"/>
              <w:textAlignment w:val="auto"/>
              <w:rPr>
                <w:rFonts w:ascii="Times New Roman" w:hAnsi="Times New Roman" w:cs="Times New Roman"/>
                <w:color w:val="auto"/>
              </w:rPr>
            </w:pPr>
          </w:p>
        </w:tc>
      </w:tr>
      <w:tr w:rsidR="00C124B3" w:rsidTr="003705CD">
        <w:trPr>
          <w:trHeight w:val="60"/>
          <w:jc w:val="center"/>
        </w:trPr>
        <w:tc>
          <w:tcPr>
            <w:tcW w:w="942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C124B3" w:rsidRDefault="00C124B3" w:rsidP="00E826AF">
            <w:pPr>
              <w:suppressAutoHyphens/>
            </w:pPr>
            <w:r w:rsidRPr="00C124B3">
              <w:t>*  Based on IAM83 mortality at 7.5 percent pre-retirement interest.</w:t>
            </w:r>
          </w:p>
        </w:tc>
      </w:tr>
    </w:tbl>
    <w:p w:rsidR="00C124B3" w:rsidRDefault="00C124B3" w:rsidP="00C124B3">
      <w:pPr>
        <w:pStyle w:val="PA"/>
      </w:pPr>
    </w:p>
    <w:p w:rsidR="00C124B3" w:rsidRPr="008B01D4"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 xml:space="preserve">This plan maximizes the contribution for the two HCEs within the nondiscrimination testing limits. In keeping with the procedure for testing, the </w:t>
      </w:r>
      <w:r w:rsidR="00B51F95">
        <w:rPr>
          <w:rFonts w:ascii="Times New Roman" w:hAnsi="Times New Roman" w:cs="Times New Roman"/>
          <w:sz w:val="24"/>
          <w:szCs w:val="24"/>
        </w:rPr>
        <w:t>t</w:t>
      </w:r>
      <w:r w:rsidR="00B51F95" w:rsidRPr="008B01D4">
        <w:rPr>
          <w:rFonts w:ascii="Times New Roman" w:hAnsi="Times New Roman" w:cs="Times New Roman"/>
          <w:sz w:val="24"/>
          <w:szCs w:val="24"/>
        </w:rPr>
        <w:t xml:space="preserve">hird </w:t>
      </w:r>
      <w:r w:rsidR="00B51F95">
        <w:rPr>
          <w:rFonts w:ascii="Times New Roman" w:hAnsi="Times New Roman" w:cs="Times New Roman"/>
          <w:sz w:val="24"/>
          <w:szCs w:val="24"/>
        </w:rPr>
        <w:t>p</w:t>
      </w:r>
      <w:r w:rsidR="00B51F95" w:rsidRPr="008B01D4">
        <w:rPr>
          <w:rFonts w:ascii="Times New Roman" w:hAnsi="Times New Roman" w:cs="Times New Roman"/>
          <w:sz w:val="24"/>
          <w:szCs w:val="24"/>
        </w:rPr>
        <w:t xml:space="preserve">arty </w:t>
      </w:r>
      <w:r w:rsidR="00B51F95">
        <w:rPr>
          <w:rFonts w:ascii="Times New Roman" w:hAnsi="Times New Roman" w:cs="Times New Roman"/>
          <w:sz w:val="24"/>
          <w:szCs w:val="24"/>
        </w:rPr>
        <w:t>a</w:t>
      </w:r>
      <w:r w:rsidR="00B51F95" w:rsidRPr="008B01D4">
        <w:rPr>
          <w:rFonts w:ascii="Times New Roman" w:hAnsi="Times New Roman" w:cs="Times New Roman"/>
          <w:sz w:val="24"/>
          <w:szCs w:val="24"/>
        </w:rPr>
        <w:t xml:space="preserve">dministrator </w:t>
      </w:r>
      <w:r w:rsidRPr="008B01D4">
        <w:rPr>
          <w:rFonts w:ascii="Times New Roman" w:hAnsi="Times New Roman" w:cs="Times New Roman"/>
          <w:sz w:val="24"/>
          <w:szCs w:val="24"/>
        </w:rPr>
        <w:t xml:space="preserve">(TPA) now creates and tests the rate groups, based on each HCE’s accrual rate (accrual divided by salary) and all employees, including other HCEs, with equal or higher accrual rates, as if each rate group were a separate plan required to pass the coverage rules of </w:t>
      </w:r>
      <w:r w:rsidR="00B51F95">
        <w:rPr>
          <w:rFonts w:ascii="Times New Roman" w:hAnsi="Times New Roman" w:cs="Times New Roman"/>
          <w:sz w:val="24"/>
          <w:szCs w:val="24"/>
        </w:rPr>
        <w:t>Code</w:t>
      </w:r>
      <w:r w:rsidR="00B51F95" w:rsidRPr="008B01D4">
        <w:rPr>
          <w:rFonts w:ascii="Times New Roman" w:hAnsi="Times New Roman" w:cs="Times New Roman"/>
          <w:sz w:val="24"/>
          <w:szCs w:val="24"/>
        </w:rPr>
        <w:t xml:space="preserve"> </w:t>
      </w:r>
      <w:r w:rsidRPr="008B01D4">
        <w:rPr>
          <w:rFonts w:ascii="Times New Roman" w:hAnsi="Times New Roman" w:cs="Times New Roman"/>
          <w:sz w:val="24"/>
          <w:szCs w:val="24"/>
        </w:rPr>
        <w:t>Section 410(b).</w:t>
      </w:r>
    </w:p>
    <w:p w:rsidR="008B01D4" w:rsidRDefault="008B01D4" w:rsidP="008B01D4">
      <w:pPr>
        <w:pStyle w:val="NoSpacing"/>
        <w:ind w:left="1080"/>
        <w:rPr>
          <w:rFonts w:ascii="Times New Roman" w:hAnsi="Times New Roman" w:cs="Times New Roman"/>
          <w:sz w:val="24"/>
          <w:szCs w:val="24"/>
        </w:rPr>
      </w:pPr>
    </w:p>
    <w:p w:rsidR="00C124B3"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The first rate group consists of HCE 2, NHCE 3, and NHCE 4. The second rate group consists of HCE 2, HCE 1, NHCE 2, NHCE 3, and NHCE 4. The breakdown of the rate groups are illustrated below.</w:t>
      </w:r>
    </w:p>
    <w:p w:rsidR="008B01D4" w:rsidRPr="008B01D4" w:rsidRDefault="008B01D4" w:rsidP="008B01D4">
      <w:pPr>
        <w:pStyle w:val="NoSpacing"/>
        <w:ind w:left="108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94"/>
        <w:gridCol w:w="1020"/>
        <w:gridCol w:w="1073"/>
        <w:gridCol w:w="1101"/>
      </w:tblGrid>
      <w:tr w:rsidR="00C124B3" w:rsidRPr="008B01D4" w:rsidTr="00E826AF">
        <w:trPr>
          <w:trHeight w:val="60"/>
          <w:jc w:val="center"/>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5145A8">
            <w:pPr>
              <w:pStyle w:val="TableHead"/>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Table </w:t>
            </w:r>
            <w:r w:rsidR="005145A8">
              <w:rPr>
                <w:rFonts w:ascii="Times New Roman" w:hAnsi="Times New Roman" w:cs="Times New Roman"/>
                <w:color w:val="auto"/>
                <w:sz w:val="24"/>
                <w:szCs w:val="24"/>
              </w:rPr>
              <w:t>4</w:t>
            </w:r>
            <w:r w:rsidRPr="008B01D4">
              <w:rPr>
                <w:rFonts w:ascii="Times New Roman" w:hAnsi="Times New Roman" w:cs="Times New Roman"/>
                <w:color w:val="auto"/>
                <w:sz w:val="24"/>
                <w:szCs w:val="24"/>
              </w:rPr>
              <w:t>-</w:t>
            </w:r>
            <w:r w:rsidR="005145A8">
              <w:rPr>
                <w:rFonts w:ascii="Times New Roman" w:hAnsi="Times New Roman" w:cs="Times New Roman"/>
                <w:color w:val="auto"/>
                <w:sz w:val="24"/>
                <w:szCs w:val="24"/>
              </w:rPr>
              <w:t>4</w:t>
            </w:r>
            <w:r w:rsidRPr="008B01D4">
              <w:rPr>
                <w:rFonts w:ascii="Times New Roman" w:hAnsi="Times New Roman" w:cs="Times New Roman"/>
                <w:color w:val="auto"/>
                <w:sz w:val="24"/>
                <w:szCs w:val="24"/>
              </w:rPr>
              <w:t>. Ratio Percentage Test</w:t>
            </w:r>
          </w:p>
        </w:tc>
      </w:tr>
      <w:tr w:rsidR="00C124B3" w:rsidRPr="008B01D4" w:rsidTr="00E826AF">
        <w:trPr>
          <w:trHeight w:val="60"/>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center"/>
              <w:rPr>
                <w:u w:val="single"/>
              </w:rPr>
            </w:pPr>
            <w:r w:rsidRPr="008B01D4">
              <w:rPr>
                <w:b/>
                <w:bCs/>
                <w:i/>
                <w:iCs/>
                <w:u w:val="single"/>
              </w:rPr>
              <w:t>First Rate Group:</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center"/>
              <w:rPr>
                <w:u w:val="single"/>
              </w:rPr>
            </w:pPr>
            <w:r w:rsidRPr="008B01D4">
              <w:rPr>
                <w:b/>
                <w:bCs/>
                <w:i/>
                <w:iCs/>
                <w:u w:val="single"/>
              </w:rPr>
              <w:t>Second Rate Group:</w:t>
            </w:r>
          </w:p>
        </w:tc>
      </w:tr>
      <w:tr w:rsidR="00C124B3" w:rsidRPr="008B01D4" w:rsidTr="00E826AF">
        <w:trPr>
          <w:trHeight w:val="2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 xml:space="preserve"> 4.496%</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4.496%</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1</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2.505%</w:t>
            </w:r>
          </w:p>
        </w:tc>
      </w:tr>
      <w:tr w:rsidR="00C124B3" w:rsidRPr="008B01D4" w:rsidTr="00CF765F">
        <w:trPr>
          <w:trHeight w:val="126"/>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4.059%</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3</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 xml:space="preserve"> 7.782%</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3</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7.782%</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lastRenderedPageBreak/>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10.392%</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10.392%</w:t>
            </w:r>
          </w:p>
        </w:tc>
      </w:tr>
    </w:tbl>
    <w:p w:rsidR="00C124B3" w:rsidRDefault="00C124B3" w:rsidP="00C124B3">
      <w:pPr>
        <w:pStyle w:val="PA"/>
      </w:pPr>
    </w:p>
    <w:p w:rsidR="00B51F95" w:rsidRDefault="00EC5196" w:rsidP="008B01D4">
      <w:pPr>
        <w:pStyle w:val="NoSpacing"/>
        <w:ind w:left="1080"/>
        <w:rPr>
          <w:rFonts w:ascii="Times New Roman" w:hAnsi="Times New Roman" w:cs="Times New Roman"/>
          <w:sz w:val="24"/>
          <w:szCs w:val="24"/>
        </w:rPr>
      </w:pPr>
      <w:r>
        <w:rPr>
          <w:rFonts w:ascii="Times New Roman" w:hAnsi="Times New Roman" w:cs="Times New Roman"/>
          <w:sz w:val="24"/>
          <w:szCs w:val="24"/>
        </w:rPr>
        <w:t>O</w:t>
      </w:r>
      <w:r w:rsidR="00C124B3" w:rsidRPr="008B01D4">
        <w:rPr>
          <w:rFonts w:ascii="Times New Roman" w:hAnsi="Times New Roman" w:cs="Times New Roman"/>
          <w:sz w:val="24"/>
          <w:szCs w:val="24"/>
        </w:rPr>
        <w:t xml:space="preserve">ne out of two HCEs </w:t>
      </w:r>
      <w:r w:rsidR="00305D23">
        <w:rPr>
          <w:rFonts w:ascii="Times New Roman" w:hAnsi="Times New Roman" w:cs="Times New Roman"/>
          <w:sz w:val="24"/>
          <w:szCs w:val="24"/>
        </w:rPr>
        <w:t>is</w:t>
      </w:r>
      <w:r w:rsidR="00C124B3" w:rsidRPr="008B01D4">
        <w:rPr>
          <w:rFonts w:ascii="Times New Roman" w:hAnsi="Times New Roman" w:cs="Times New Roman"/>
          <w:sz w:val="24"/>
          <w:szCs w:val="24"/>
        </w:rPr>
        <w:t xml:space="preserve"> in the first rate group</w:t>
      </w:r>
      <w:r>
        <w:rPr>
          <w:rFonts w:ascii="Times New Roman" w:hAnsi="Times New Roman" w:cs="Times New Roman"/>
          <w:sz w:val="24"/>
          <w:szCs w:val="24"/>
        </w:rPr>
        <w:t>,</w:t>
      </w:r>
      <w:r w:rsidR="00C124B3" w:rsidRPr="008B01D4">
        <w:rPr>
          <w:rFonts w:ascii="Times New Roman" w:hAnsi="Times New Roman" w:cs="Times New Roman"/>
          <w:sz w:val="24"/>
          <w:szCs w:val="24"/>
        </w:rPr>
        <w:t xml:space="preserve"> </w:t>
      </w:r>
      <w:r>
        <w:rPr>
          <w:rFonts w:ascii="Times New Roman" w:hAnsi="Times New Roman" w:cs="Times New Roman"/>
          <w:sz w:val="24"/>
          <w:szCs w:val="24"/>
        </w:rPr>
        <w:t>which</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represents 50</w:t>
      </w:r>
      <w:r w:rsidR="00B51F95">
        <w:rPr>
          <w:rFonts w:ascii="Times New Roman" w:hAnsi="Times New Roman" w:cs="Times New Roman"/>
          <w:sz w:val="24"/>
          <w:szCs w:val="24"/>
        </w:rPr>
        <w:t xml:space="preserve"> percent</w:t>
      </w:r>
      <w:r w:rsidR="00B51F95"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of the HCEs.  Two out of five NHCEs are in the same rate group</w:t>
      </w:r>
      <w:r>
        <w:rPr>
          <w:rFonts w:ascii="Times New Roman" w:hAnsi="Times New Roman" w:cs="Times New Roman"/>
          <w:sz w:val="24"/>
          <w:szCs w:val="24"/>
        </w:rPr>
        <w:t>,</w:t>
      </w:r>
      <w:r w:rsidR="00C124B3" w:rsidRPr="008B01D4">
        <w:rPr>
          <w:rFonts w:ascii="Times New Roman" w:hAnsi="Times New Roman" w:cs="Times New Roman"/>
          <w:sz w:val="24"/>
          <w:szCs w:val="24"/>
        </w:rPr>
        <w:t xml:space="preserve"> representing 40</w:t>
      </w:r>
      <w:r w:rsidR="00B51F95">
        <w:rPr>
          <w:rFonts w:ascii="Times New Roman" w:hAnsi="Times New Roman" w:cs="Times New Roman"/>
          <w:sz w:val="24"/>
          <w:szCs w:val="24"/>
        </w:rPr>
        <w:t xml:space="preserve"> percent</w:t>
      </w:r>
      <w:r w:rsidR="00B51F95"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 xml:space="preserve">of the NHCEs.  </w:t>
      </w:r>
    </w:p>
    <w:p w:rsidR="00B51F95" w:rsidRDefault="00B51F95" w:rsidP="008B01D4">
      <w:pPr>
        <w:pStyle w:val="NoSpacing"/>
        <w:ind w:left="1080"/>
        <w:rPr>
          <w:rFonts w:ascii="Times New Roman" w:hAnsi="Times New Roman" w:cs="Times New Roman"/>
          <w:sz w:val="24"/>
          <w:szCs w:val="24"/>
        </w:rPr>
      </w:pPr>
    </w:p>
    <w:p w:rsidR="00B51F95" w:rsidRDefault="00B51F95" w:rsidP="008B01D4">
      <w:pPr>
        <w:pStyle w:val="NoSpacing"/>
        <w:ind w:left="1080"/>
        <w:rPr>
          <w:rFonts w:ascii="Times New Roman" w:hAnsi="Times New Roman" w:cs="Times New Roman"/>
          <w:sz w:val="24"/>
          <w:szCs w:val="24"/>
        </w:rPr>
      </w:pPr>
      <w:r>
        <w:rPr>
          <w:rFonts w:ascii="Times New Roman" w:hAnsi="Times New Roman" w:cs="Times New Roman"/>
          <w:sz w:val="24"/>
          <w:szCs w:val="24"/>
        </w:rPr>
        <w:t>40% / 50% = 80%</w:t>
      </w:r>
    </w:p>
    <w:p w:rsidR="00B51F95" w:rsidRDefault="00B51F95" w:rsidP="008B01D4">
      <w:pPr>
        <w:pStyle w:val="NoSpacing"/>
        <w:ind w:left="1080"/>
        <w:rPr>
          <w:rFonts w:ascii="Times New Roman" w:hAnsi="Times New Roman" w:cs="Times New Roman"/>
          <w:sz w:val="24"/>
          <w:szCs w:val="24"/>
        </w:rPr>
      </w:pPr>
    </w:p>
    <w:p w:rsidR="00B51F95" w:rsidRDefault="00B51F95" w:rsidP="008B01D4">
      <w:pPr>
        <w:pStyle w:val="NoSpacing"/>
        <w:ind w:left="1080"/>
        <w:rPr>
          <w:rFonts w:ascii="Times New Roman" w:hAnsi="Times New Roman" w:cs="Times New Roman"/>
          <w:sz w:val="24"/>
          <w:szCs w:val="24"/>
        </w:rPr>
      </w:pPr>
      <w:r>
        <w:rPr>
          <w:rFonts w:ascii="Times New Roman" w:hAnsi="Times New Roman" w:cs="Times New Roman"/>
          <w:sz w:val="24"/>
          <w:szCs w:val="24"/>
        </w:rPr>
        <w:t>T</w:t>
      </w:r>
      <w:r w:rsidR="00C124B3" w:rsidRPr="008B01D4">
        <w:rPr>
          <w:rFonts w:ascii="Times New Roman" w:hAnsi="Times New Roman" w:cs="Times New Roman"/>
          <w:sz w:val="24"/>
          <w:szCs w:val="24"/>
        </w:rPr>
        <w:t>he result is more than 70</w:t>
      </w:r>
      <w:r>
        <w:rPr>
          <w:rFonts w:ascii="Times New Roman" w:hAnsi="Times New Roman" w:cs="Times New Roman"/>
          <w:sz w:val="24"/>
          <w:szCs w:val="24"/>
        </w:rPr>
        <w:t xml:space="preserve"> percent; thus,</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the test is passed for the first rate group.  The second rate group includes both HCEs so 100</w:t>
      </w:r>
      <w:r>
        <w:rPr>
          <w:rFonts w:ascii="Times New Roman" w:hAnsi="Times New Roman" w:cs="Times New Roman"/>
          <w:sz w:val="24"/>
          <w:szCs w:val="24"/>
        </w:rPr>
        <w:t xml:space="preserve"> percent</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of the HCEs are included.  Three of the NHCEs are included</w:t>
      </w:r>
      <w:r>
        <w:rPr>
          <w:rFonts w:ascii="Times New Roman" w:hAnsi="Times New Roman" w:cs="Times New Roman"/>
          <w:sz w:val="24"/>
          <w:szCs w:val="24"/>
        </w:rPr>
        <w:t>,</w:t>
      </w:r>
      <w:r w:rsidR="00C124B3" w:rsidRPr="008B01D4">
        <w:rPr>
          <w:rFonts w:ascii="Times New Roman" w:hAnsi="Times New Roman" w:cs="Times New Roman"/>
          <w:sz w:val="24"/>
          <w:szCs w:val="24"/>
        </w:rPr>
        <w:t xml:space="preserve"> or </w:t>
      </w:r>
      <w:r>
        <w:rPr>
          <w:rFonts w:ascii="Times New Roman" w:hAnsi="Times New Roman" w:cs="Times New Roman"/>
          <w:sz w:val="24"/>
          <w:szCs w:val="24"/>
        </w:rPr>
        <w:t>60</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 xml:space="preserve">percent.  </w:t>
      </w:r>
    </w:p>
    <w:p w:rsidR="00B51F95" w:rsidRDefault="00B51F95" w:rsidP="008B01D4">
      <w:pPr>
        <w:pStyle w:val="NoSpacing"/>
        <w:ind w:left="1080"/>
        <w:rPr>
          <w:rFonts w:ascii="Times New Roman" w:hAnsi="Times New Roman" w:cs="Times New Roman"/>
          <w:sz w:val="24"/>
          <w:szCs w:val="24"/>
        </w:rPr>
      </w:pPr>
    </w:p>
    <w:p w:rsidR="00B51F95" w:rsidRDefault="00B51F95" w:rsidP="008B01D4">
      <w:pPr>
        <w:pStyle w:val="NoSpacing"/>
        <w:ind w:left="1080"/>
        <w:rPr>
          <w:rFonts w:ascii="Times New Roman" w:hAnsi="Times New Roman" w:cs="Times New Roman"/>
          <w:sz w:val="24"/>
          <w:szCs w:val="24"/>
        </w:rPr>
      </w:pPr>
    </w:p>
    <w:p w:rsidR="00B51F95" w:rsidRDefault="00B51F95" w:rsidP="008B01D4">
      <w:pPr>
        <w:pStyle w:val="NoSpacing"/>
        <w:ind w:left="1080"/>
        <w:rPr>
          <w:rFonts w:ascii="Times New Roman" w:hAnsi="Times New Roman" w:cs="Times New Roman"/>
          <w:sz w:val="24"/>
          <w:szCs w:val="24"/>
        </w:rPr>
      </w:pPr>
      <w:r>
        <w:rPr>
          <w:rFonts w:ascii="Times New Roman" w:hAnsi="Times New Roman" w:cs="Times New Roman"/>
          <w:sz w:val="24"/>
          <w:szCs w:val="24"/>
        </w:rPr>
        <w:t>60% / 100% = 60%</w:t>
      </w:r>
    </w:p>
    <w:p w:rsidR="00B51F95" w:rsidRDefault="00B51F95" w:rsidP="008B01D4">
      <w:pPr>
        <w:pStyle w:val="NoSpacing"/>
        <w:ind w:left="1080"/>
        <w:rPr>
          <w:rFonts w:ascii="Times New Roman" w:hAnsi="Times New Roman" w:cs="Times New Roman"/>
          <w:sz w:val="24"/>
          <w:szCs w:val="24"/>
        </w:rPr>
      </w:pPr>
    </w:p>
    <w:p w:rsidR="00C124B3" w:rsidRDefault="00B51F95" w:rsidP="008B01D4">
      <w:pPr>
        <w:pStyle w:val="NoSpacing"/>
        <w:ind w:left="1080"/>
        <w:rPr>
          <w:rFonts w:ascii="Times New Roman" w:hAnsi="Times New Roman" w:cs="Times New Roman"/>
          <w:sz w:val="24"/>
          <w:szCs w:val="24"/>
        </w:rPr>
      </w:pPr>
      <w:r>
        <w:rPr>
          <w:rFonts w:ascii="Times New Roman" w:hAnsi="Times New Roman" w:cs="Times New Roman"/>
          <w:sz w:val="24"/>
          <w:szCs w:val="24"/>
        </w:rPr>
        <w:t>T</w:t>
      </w:r>
      <w:r w:rsidRPr="008B01D4">
        <w:rPr>
          <w:rFonts w:ascii="Times New Roman" w:hAnsi="Times New Roman" w:cs="Times New Roman"/>
          <w:sz w:val="24"/>
          <w:szCs w:val="24"/>
        </w:rPr>
        <w:t xml:space="preserve">he </w:t>
      </w:r>
      <w:r w:rsidR="00C124B3" w:rsidRPr="008B01D4">
        <w:rPr>
          <w:rFonts w:ascii="Times New Roman" w:hAnsi="Times New Roman" w:cs="Times New Roman"/>
          <w:sz w:val="24"/>
          <w:szCs w:val="24"/>
        </w:rPr>
        <w:t>second rate group does not pass.</w:t>
      </w:r>
    </w:p>
    <w:p w:rsidR="008B01D4" w:rsidRPr="008B01D4" w:rsidRDefault="008B01D4" w:rsidP="008B01D4">
      <w:pPr>
        <w:pStyle w:val="NoSpacing"/>
        <w:ind w:left="1080"/>
        <w:rPr>
          <w:rFonts w:ascii="Times New Roman" w:hAnsi="Times New Roman" w:cs="Times New Roman"/>
          <w:sz w:val="24"/>
          <w:szCs w:val="24"/>
        </w:rPr>
      </w:pPr>
    </w:p>
    <w:p w:rsidR="00C124B3" w:rsidRDefault="00C124B3" w:rsidP="008B01D4">
      <w:pPr>
        <w:pStyle w:val="NoSpacing"/>
        <w:ind w:left="1080"/>
        <w:rPr>
          <w:rFonts w:ascii="Times New Roman" w:hAnsi="Times New Roman" w:cs="Times New Roman"/>
          <w:sz w:val="24"/>
          <w:szCs w:val="24"/>
        </w:rPr>
      </w:pPr>
      <w:r w:rsidRPr="00305D23">
        <w:rPr>
          <w:rFonts w:ascii="Times New Roman" w:hAnsi="Times New Roman" w:cs="Times New Roman"/>
          <w:sz w:val="24"/>
          <w:szCs w:val="24"/>
        </w:rPr>
        <w:t>Although rate group 2 would pass the average benefit test discussed later in this chapter</w:t>
      </w:r>
      <w:r w:rsidRPr="008B01D4">
        <w:rPr>
          <w:rFonts w:ascii="Times New Roman" w:hAnsi="Times New Roman" w:cs="Times New Roman"/>
          <w:sz w:val="24"/>
          <w:szCs w:val="24"/>
        </w:rPr>
        <w:t>, for illustration purposes the rate group is treated as failing nondiscrimination testing</w:t>
      </w:r>
      <w:r w:rsidR="00205E4F">
        <w:rPr>
          <w:rFonts w:ascii="Times New Roman" w:hAnsi="Times New Roman" w:cs="Times New Roman"/>
          <w:sz w:val="24"/>
          <w:szCs w:val="24"/>
        </w:rPr>
        <w:t>;</w:t>
      </w:r>
      <w:r w:rsidR="00205E4F" w:rsidRPr="008B01D4">
        <w:rPr>
          <w:rFonts w:ascii="Times New Roman" w:hAnsi="Times New Roman" w:cs="Times New Roman"/>
          <w:sz w:val="24"/>
          <w:szCs w:val="24"/>
        </w:rPr>
        <w:t xml:space="preserve"> </w:t>
      </w:r>
      <w:r w:rsidRPr="008B01D4">
        <w:rPr>
          <w:rFonts w:ascii="Times New Roman" w:hAnsi="Times New Roman" w:cs="Times New Roman"/>
          <w:sz w:val="24"/>
          <w:szCs w:val="24"/>
        </w:rPr>
        <w:t xml:space="preserve">the plan, as is, would not be qualified. But this is not the end of the line. As in the case of plans integrated with Social Security (permitted disparity), the plan can take credit for Social Security benefits in nondiscrimination testing. Table </w:t>
      </w:r>
      <w:r w:rsidR="00CF765F">
        <w:rPr>
          <w:rFonts w:ascii="Times New Roman" w:hAnsi="Times New Roman" w:cs="Times New Roman"/>
          <w:sz w:val="24"/>
          <w:szCs w:val="24"/>
        </w:rPr>
        <w:t>4</w:t>
      </w:r>
      <w:r w:rsidRPr="008B01D4">
        <w:rPr>
          <w:rFonts w:ascii="Times New Roman" w:hAnsi="Times New Roman" w:cs="Times New Roman"/>
          <w:sz w:val="24"/>
          <w:szCs w:val="24"/>
        </w:rPr>
        <w:t>-</w:t>
      </w:r>
      <w:r w:rsidR="00CF765F">
        <w:rPr>
          <w:rFonts w:ascii="Times New Roman" w:hAnsi="Times New Roman" w:cs="Times New Roman"/>
          <w:sz w:val="24"/>
          <w:szCs w:val="24"/>
        </w:rPr>
        <w:t>5</w:t>
      </w:r>
      <w:r w:rsidRPr="008B01D4">
        <w:rPr>
          <w:rFonts w:ascii="Times New Roman" w:hAnsi="Times New Roman" w:cs="Times New Roman"/>
          <w:sz w:val="24"/>
          <w:szCs w:val="24"/>
        </w:rPr>
        <w:t xml:space="preserve"> shows the results.</w:t>
      </w:r>
    </w:p>
    <w:p w:rsidR="008B01D4" w:rsidRPr="008B01D4" w:rsidRDefault="008B01D4" w:rsidP="008B01D4">
      <w:pPr>
        <w:pStyle w:val="NoSpacing"/>
        <w:ind w:left="1080"/>
        <w:rPr>
          <w:rFonts w:ascii="Times New Roman" w:hAnsi="Times New Roman" w:cs="Times New Roman"/>
          <w:sz w:val="24"/>
          <w:szCs w:val="24"/>
        </w:rPr>
      </w:pPr>
    </w:p>
    <w:tbl>
      <w:tblPr>
        <w:tblW w:w="9734" w:type="dxa"/>
        <w:jc w:val="center"/>
        <w:tblCellMar>
          <w:left w:w="0" w:type="dxa"/>
          <w:right w:w="0" w:type="dxa"/>
        </w:tblCellMar>
        <w:tblLook w:val="0000" w:firstRow="0" w:lastRow="0" w:firstColumn="0" w:lastColumn="0" w:noHBand="0" w:noVBand="0"/>
      </w:tblPr>
      <w:tblGrid>
        <w:gridCol w:w="1151"/>
        <w:gridCol w:w="1150"/>
        <w:gridCol w:w="547"/>
        <w:gridCol w:w="1441"/>
        <w:gridCol w:w="1281"/>
        <w:gridCol w:w="940"/>
        <w:gridCol w:w="1067"/>
        <w:gridCol w:w="1020"/>
        <w:gridCol w:w="1137"/>
      </w:tblGrid>
      <w:tr w:rsidR="00C124B3" w:rsidRPr="00E224E1" w:rsidTr="00E4508E">
        <w:trPr>
          <w:trHeight w:val="60"/>
          <w:jc w:val="center"/>
        </w:trPr>
        <w:tc>
          <w:tcPr>
            <w:tcW w:w="9734" w:type="dxa"/>
            <w:gridSpan w:val="9"/>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C124B3" w:rsidRPr="008B01D4" w:rsidRDefault="00C124B3" w:rsidP="005145A8">
            <w:pPr>
              <w:pStyle w:val="TableHead"/>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Table </w:t>
            </w:r>
            <w:r w:rsidR="005145A8">
              <w:rPr>
                <w:rFonts w:ascii="Times New Roman" w:hAnsi="Times New Roman" w:cs="Times New Roman"/>
                <w:color w:val="auto"/>
                <w:sz w:val="24"/>
                <w:szCs w:val="24"/>
              </w:rPr>
              <w:t>4</w:t>
            </w:r>
            <w:r w:rsidRPr="008B01D4">
              <w:rPr>
                <w:rFonts w:ascii="Times New Roman" w:hAnsi="Times New Roman" w:cs="Times New Roman"/>
                <w:color w:val="auto"/>
                <w:sz w:val="24"/>
                <w:szCs w:val="24"/>
              </w:rPr>
              <w:t>-</w:t>
            </w:r>
            <w:r w:rsidR="005145A8">
              <w:rPr>
                <w:rFonts w:ascii="Times New Roman" w:hAnsi="Times New Roman" w:cs="Times New Roman"/>
                <w:color w:val="auto"/>
                <w:sz w:val="24"/>
                <w:szCs w:val="24"/>
              </w:rPr>
              <w:t>5</w:t>
            </w:r>
            <w:r w:rsidRPr="008B01D4">
              <w:rPr>
                <w:rFonts w:ascii="Times New Roman" w:hAnsi="Times New Roman" w:cs="Times New Roman"/>
                <w:color w:val="auto"/>
                <w:sz w:val="24"/>
                <w:szCs w:val="24"/>
              </w:rPr>
              <w:t>. Comparability Plan with Permitted Disparity (Class Allocation Plan)</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p>
          <w:p w:rsidR="00C124B3" w:rsidRPr="008B01D4" w:rsidRDefault="00C124B3" w:rsidP="00E826AF">
            <w:pPr>
              <w:jc w:val="cente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Salary</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Age</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Employer Contribution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Forfeitures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Future Value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4508E">
            <w:pPr>
              <w:jc w:val="center"/>
            </w:pPr>
            <w:r w:rsidRPr="008B01D4">
              <w:rPr>
                <w:b/>
                <w:bCs/>
                <w:i/>
                <w:iCs/>
              </w:rPr>
              <w:t>Accrua</w:t>
            </w:r>
            <w:r w:rsidR="00E4508E">
              <w:rPr>
                <w:b/>
                <w:bCs/>
                <w:i/>
                <w:iCs/>
              </w:rPr>
              <w:t>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Accrual Rate</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r w:rsidRPr="008B01D4">
              <w:rPr>
                <w:b/>
                <w:bCs/>
                <w:i/>
                <w:iCs/>
              </w:rPr>
              <w:t xml:space="preserve">Accrual W Perm </w:t>
            </w:r>
            <w:proofErr w:type="spellStart"/>
            <w:r w:rsidRPr="008B01D4">
              <w:rPr>
                <w:b/>
                <w:bCs/>
                <w:i/>
                <w:iCs/>
              </w:rPr>
              <w:t>Disp</w:t>
            </w:r>
            <w:proofErr w:type="spellEnd"/>
          </w:p>
        </w:tc>
      </w:tr>
      <w:tr w:rsidR="00E4508E" w:rsidRPr="00E224E1" w:rsidTr="00205E4F">
        <w:trPr>
          <w:trHeight w:val="289"/>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t>HCE #1</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4508E">
            <w:pPr>
              <w:pStyle w:val="TableBody"/>
              <w:ind w:right="90"/>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w:t>
            </w:r>
            <w:r w:rsidR="00E4508E">
              <w:rPr>
                <w:rFonts w:ascii="Times New Roman" w:hAnsi="Times New Roman" w:cs="Times New Roman"/>
                <w:color w:val="auto"/>
                <w:sz w:val="24"/>
                <w:szCs w:val="24"/>
              </w:rPr>
              <w:t>5</w:t>
            </w:r>
            <w:r w:rsidRPr="008B01D4">
              <w:rPr>
                <w:rFonts w:ascii="Times New Roman" w:hAnsi="Times New Roman" w:cs="Times New Roman"/>
                <w:color w:val="auto"/>
                <w:sz w:val="24"/>
                <w:szCs w:val="24"/>
              </w:rPr>
              <w:t>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60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4508E">
            <w:pPr>
              <w:pStyle w:val="TableBody"/>
              <w:ind w:right="90"/>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w:t>
            </w:r>
            <w:r w:rsidR="00E4508E">
              <w:rPr>
                <w:rFonts w:ascii="Times New Roman" w:hAnsi="Times New Roman" w:cs="Times New Roman"/>
                <w:color w:val="auto"/>
                <w:sz w:val="24"/>
                <w:szCs w:val="24"/>
              </w:rPr>
              <w:t>51</w:t>
            </w:r>
            <w:r w:rsidRPr="008B01D4">
              <w:rPr>
                <w:rFonts w:ascii="Times New Roman" w:hAnsi="Times New Roman" w:cs="Times New Roman"/>
                <w:color w:val="auto"/>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4508E">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$7</w:t>
            </w:r>
            <w:r w:rsidR="00E4508E">
              <w:rPr>
                <w:rFonts w:ascii="Times New Roman" w:hAnsi="Times New Roman" w:cs="Times New Roman"/>
                <w:color w:val="auto"/>
                <w:sz w:val="24"/>
                <w:szCs w:val="24"/>
              </w:rPr>
              <w:t>3</w:t>
            </w:r>
            <w:r w:rsidRPr="008B01D4">
              <w:rPr>
                <w:rFonts w:ascii="Times New Roman" w:hAnsi="Times New Roman" w:cs="Times New Roman"/>
                <w:color w:val="auto"/>
                <w:sz w:val="24"/>
                <w:szCs w:val="24"/>
              </w:rPr>
              <w:t>,</w:t>
            </w:r>
            <w:r w:rsidR="00E4508E">
              <w:rPr>
                <w:rFonts w:ascii="Times New Roman" w:hAnsi="Times New Roman" w:cs="Times New Roman"/>
                <w:color w:val="auto"/>
                <w:sz w:val="24"/>
                <w:szCs w:val="24"/>
              </w:rPr>
              <w:t>217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4508E">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$ 6,</w:t>
            </w:r>
            <w:r w:rsidR="00E4508E">
              <w:rPr>
                <w:rFonts w:ascii="Times New Roman" w:hAnsi="Times New Roman" w:cs="Times New Roman"/>
                <w:color w:val="auto"/>
                <w:sz w:val="24"/>
                <w:szCs w:val="24"/>
              </w:rPr>
              <w:t>38</w:t>
            </w:r>
            <w:r w:rsidRPr="008B01D4">
              <w:rPr>
                <w:rFonts w:ascii="Times New Roman" w:hAnsi="Times New Roman" w:cs="Times New Roman"/>
                <w:color w:val="auto"/>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2.505%</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2.632%</w:t>
            </w:r>
          </w:p>
        </w:tc>
      </w:tr>
      <w:tr w:rsidR="00E4508E" w:rsidRPr="00E224E1" w:rsidTr="00205E4F">
        <w:trPr>
          <w:trHeight w:val="289"/>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t>HCE #2</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CF765F">
            <w:pPr>
              <w:pStyle w:val="TableBody"/>
              <w:ind w:right="90"/>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w:t>
            </w:r>
            <w:r w:rsidR="00C124B3" w:rsidRPr="008B01D4">
              <w:rPr>
                <w:rFonts w:ascii="Times New Roman" w:hAnsi="Times New Roman" w:cs="Times New Roman"/>
                <w:color w:val="auto"/>
                <w:sz w:val="24"/>
                <w:szCs w:val="24"/>
                <w:u w:val="single"/>
              </w:rPr>
              <w:t>1</w:t>
            </w:r>
            <w:r w:rsidR="00CF765F">
              <w:rPr>
                <w:rFonts w:ascii="Times New Roman" w:hAnsi="Times New Roman" w:cs="Times New Roman"/>
                <w:color w:val="auto"/>
                <w:sz w:val="24"/>
                <w:szCs w:val="24"/>
                <w:u w:val="single"/>
              </w:rPr>
              <w:t>15</w:t>
            </w:r>
            <w:r w:rsidR="00C124B3" w:rsidRPr="008B01D4">
              <w:rPr>
                <w:rFonts w:ascii="Times New Roman" w:hAnsi="Times New Roman" w:cs="Times New Roman"/>
                <w:color w:val="auto"/>
                <w:sz w:val="24"/>
                <w:szCs w:val="24"/>
                <w:u w:val="single"/>
              </w:rPr>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45</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4508E">
            <w:pPr>
              <w:pStyle w:val="TableBody"/>
              <w:ind w:right="90"/>
              <w:jc w:val="right"/>
              <w:rPr>
                <w:rFonts w:ascii="Times New Roman" w:hAnsi="Times New Roman" w:cs="Times New Roman"/>
                <w:color w:val="auto"/>
                <w:sz w:val="24"/>
                <w:szCs w:val="24"/>
                <w:u w:val="single"/>
              </w:rPr>
            </w:pPr>
            <w:r w:rsidRPr="008B01D4">
              <w:rPr>
                <w:rFonts w:ascii="Times New Roman" w:hAnsi="Times New Roman" w:cs="Times New Roman"/>
                <w:color w:val="auto"/>
                <w:sz w:val="24"/>
                <w:szCs w:val="24"/>
                <w:u w:val="single"/>
              </w:rPr>
              <w:t xml:space="preserve"> </w:t>
            </w:r>
            <w:r w:rsidR="00E4508E">
              <w:rPr>
                <w:rFonts w:ascii="Times New Roman" w:hAnsi="Times New Roman" w:cs="Times New Roman"/>
                <w:color w:val="auto"/>
                <w:sz w:val="24"/>
                <w:szCs w:val="24"/>
                <w:u w:val="single"/>
              </w:rPr>
              <w:t>$</w:t>
            </w:r>
            <w:r w:rsidRPr="008B01D4">
              <w:rPr>
                <w:rFonts w:ascii="Times New Roman" w:hAnsi="Times New Roman" w:cs="Times New Roman"/>
                <w:color w:val="auto"/>
                <w:sz w:val="24"/>
                <w:szCs w:val="24"/>
                <w:u w:val="single"/>
              </w:rPr>
              <w:t>2</w:t>
            </w:r>
            <w:r w:rsidR="00CF765F">
              <w:rPr>
                <w:rFonts w:ascii="Times New Roman" w:hAnsi="Times New Roman" w:cs="Times New Roman"/>
                <w:color w:val="auto"/>
                <w:sz w:val="24"/>
                <w:szCs w:val="24"/>
                <w:u w:val="single"/>
              </w:rPr>
              <w:t>8</w:t>
            </w:r>
            <w:r w:rsidRPr="008B01D4">
              <w:rPr>
                <w:rFonts w:ascii="Times New Roman" w:hAnsi="Times New Roman" w:cs="Times New Roman"/>
                <w:color w:val="auto"/>
                <w:sz w:val="24"/>
                <w:szCs w:val="24"/>
                <w:u w:val="single"/>
              </w:rPr>
              <w:t>,</w:t>
            </w:r>
            <w:r w:rsidR="00CF765F">
              <w:rPr>
                <w:rFonts w:ascii="Times New Roman" w:hAnsi="Times New Roman" w:cs="Times New Roman"/>
                <w:color w:val="auto"/>
                <w:sz w:val="24"/>
                <w:szCs w:val="24"/>
                <w:u w:val="single"/>
              </w:rPr>
              <w:t>75</w:t>
            </w:r>
            <w:r w:rsidRPr="008B01D4">
              <w:rPr>
                <w:rFonts w:ascii="Times New Roman" w:hAnsi="Times New Roman" w:cs="Times New Roman"/>
                <w:color w:val="auto"/>
                <w:sz w:val="24"/>
                <w:szCs w:val="24"/>
                <w:u w:val="single"/>
              </w:rPr>
              <w:t>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19" w:type="dxa"/>
            </w:tcMar>
          </w:tcPr>
          <w:p w:rsidR="00C124B3" w:rsidRPr="008B01D4" w:rsidRDefault="00C124B3" w:rsidP="00E826AF">
            <w:pPr>
              <w:suppressAutoHyphens/>
              <w:jc w:val="right"/>
              <w:rPr>
                <w:u w:val="single"/>
              </w:rPr>
            </w:pPr>
            <w:r w:rsidRPr="008B01D4">
              <w:rPr>
                <w:u w:val="single"/>
              </w:rPr>
              <w:t xml:space="preserve">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CF765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$5</w:t>
            </w:r>
            <w:r w:rsidR="00CF765F">
              <w:rPr>
                <w:rFonts w:ascii="Times New Roman" w:hAnsi="Times New Roman" w:cs="Times New Roman"/>
                <w:color w:val="auto"/>
                <w:sz w:val="24"/>
                <w:szCs w:val="24"/>
              </w:rPr>
              <w:t>9</w:t>
            </w:r>
            <w:r w:rsidRPr="008B01D4">
              <w:rPr>
                <w:rFonts w:ascii="Times New Roman" w:hAnsi="Times New Roman" w:cs="Times New Roman"/>
                <w:color w:val="auto"/>
                <w:sz w:val="24"/>
                <w:szCs w:val="24"/>
              </w:rPr>
              <w:t>,</w:t>
            </w:r>
            <w:r w:rsidR="00CF765F">
              <w:rPr>
                <w:rFonts w:ascii="Times New Roman" w:hAnsi="Times New Roman" w:cs="Times New Roman"/>
                <w:color w:val="auto"/>
                <w:sz w:val="24"/>
                <w:szCs w:val="24"/>
              </w:rPr>
              <w:t>2</w:t>
            </w:r>
            <w:r w:rsidRPr="008B01D4">
              <w:rPr>
                <w:rFonts w:ascii="Times New Roman" w:hAnsi="Times New Roman" w:cs="Times New Roman"/>
                <w:color w:val="auto"/>
                <w:sz w:val="24"/>
                <w:szCs w:val="24"/>
              </w:rPr>
              <w:t>5</w:t>
            </w:r>
            <w:r w:rsidR="00CF765F">
              <w:rPr>
                <w:rFonts w:ascii="Times New Roman" w:hAnsi="Times New Roman" w:cs="Times New Roman"/>
                <w:color w:val="auto"/>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CF765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 </w:t>
            </w:r>
            <w:r w:rsidR="00CF765F">
              <w:rPr>
                <w:rFonts w:ascii="Times New Roman" w:hAnsi="Times New Roman" w:cs="Times New Roman"/>
                <w:color w:val="auto"/>
                <w:sz w:val="24"/>
                <w:szCs w:val="24"/>
              </w:rPr>
              <w:t>5</w:t>
            </w:r>
            <w:r w:rsidRPr="008B01D4">
              <w:rPr>
                <w:rFonts w:ascii="Times New Roman" w:hAnsi="Times New Roman" w:cs="Times New Roman"/>
                <w:color w:val="auto"/>
                <w:sz w:val="24"/>
                <w:szCs w:val="24"/>
              </w:rPr>
              <w:t>,</w:t>
            </w:r>
            <w:r w:rsidR="00CF765F">
              <w:rPr>
                <w:rFonts w:ascii="Times New Roman" w:hAnsi="Times New Roman" w:cs="Times New Roman"/>
                <w:color w:val="auto"/>
                <w:sz w:val="24"/>
                <w:szCs w:val="24"/>
              </w:rPr>
              <w:t>170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4.496%</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4.868%</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rPr>
                <w:b/>
              </w:rPr>
            </w:pPr>
            <w:r w:rsidRPr="0033241C">
              <w:rPr>
                <w:b/>
              </w:rPr>
              <w:t>S TOTAL</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4508E">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$3</w:t>
            </w:r>
            <w:r w:rsidR="00E4508E" w:rsidRPr="0033241C">
              <w:rPr>
                <w:rFonts w:ascii="Times New Roman" w:hAnsi="Times New Roman" w:cs="Times New Roman"/>
                <w:b/>
                <w:color w:val="auto"/>
                <w:sz w:val="24"/>
                <w:szCs w:val="24"/>
                <w:u w:val="single"/>
              </w:rPr>
              <w:t>7</w:t>
            </w:r>
            <w:r w:rsidR="00CF765F" w:rsidRPr="0033241C">
              <w:rPr>
                <w:rFonts w:ascii="Times New Roman" w:hAnsi="Times New Roman" w:cs="Times New Roman"/>
                <w:b/>
                <w:color w:val="auto"/>
                <w:sz w:val="24"/>
                <w:szCs w:val="24"/>
                <w:u w:val="single"/>
              </w:rPr>
              <w:t>0</w:t>
            </w:r>
            <w:r w:rsidRPr="0033241C">
              <w:rPr>
                <w:rFonts w:ascii="Times New Roman" w:hAnsi="Times New Roman" w:cs="Times New Roman"/>
                <w:b/>
                <w:color w:val="auto"/>
                <w:sz w:val="24"/>
                <w:szCs w:val="24"/>
                <w:u w:val="single"/>
              </w:rPr>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4508E">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$7</w:t>
            </w:r>
            <w:r w:rsidR="00E4508E" w:rsidRPr="0033241C">
              <w:rPr>
                <w:rFonts w:ascii="Times New Roman" w:hAnsi="Times New Roman" w:cs="Times New Roman"/>
                <w:b/>
                <w:color w:val="auto"/>
                <w:sz w:val="24"/>
                <w:szCs w:val="24"/>
                <w:u w:val="single"/>
              </w:rPr>
              <w:t>9</w:t>
            </w:r>
            <w:r w:rsidRPr="0033241C">
              <w:rPr>
                <w:rFonts w:ascii="Times New Roman" w:hAnsi="Times New Roman" w:cs="Times New Roman"/>
                <w:b/>
                <w:color w:val="auto"/>
                <w:sz w:val="24"/>
                <w:szCs w:val="24"/>
                <w:u w:val="single"/>
              </w:rPr>
              <w:t>,</w:t>
            </w:r>
            <w:r w:rsidR="00CF765F" w:rsidRPr="0033241C">
              <w:rPr>
                <w:rFonts w:ascii="Times New Roman" w:hAnsi="Times New Roman" w:cs="Times New Roman"/>
                <w:b/>
                <w:color w:val="auto"/>
                <w:sz w:val="24"/>
                <w:szCs w:val="24"/>
                <w:u w:val="single"/>
              </w:rPr>
              <w:t>75</w:t>
            </w:r>
            <w:r w:rsidRPr="0033241C">
              <w:rPr>
                <w:rFonts w:ascii="Times New Roman" w:hAnsi="Times New Roman" w:cs="Times New Roman"/>
                <w:b/>
                <w:color w:val="auto"/>
                <w:sz w:val="24"/>
                <w:szCs w:val="24"/>
                <w:u w:val="single"/>
              </w:rPr>
              <w:t>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19" w:type="dxa"/>
            </w:tcMar>
          </w:tcPr>
          <w:p w:rsidR="00C124B3" w:rsidRPr="0033241C" w:rsidRDefault="00C124B3" w:rsidP="00E826AF">
            <w:pPr>
              <w:suppressAutoHyphens/>
              <w:ind w:right="270"/>
              <w:jc w:val="right"/>
              <w:rPr>
                <w:b/>
                <w:u w:val="single"/>
              </w:rPr>
            </w:pPr>
            <w:r w:rsidRPr="0033241C">
              <w:rPr>
                <w:b/>
                <w:u w:val="single"/>
              </w:rPr>
              <w:t xml:space="preserve">$    -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t>NHCE #1</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ind w:right="90"/>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w:t>
            </w:r>
            <w:r w:rsidR="00E4508E">
              <w:rPr>
                <w:rFonts w:ascii="Times New Roman" w:hAnsi="Times New Roman" w:cs="Times New Roman"/>
                <w:color w:val="auto"/>
                <w:sz w:val="24"/>
                <w:szCs w:val="24"/>
              </w:rPr>
              <w:t xml:space="preserve"> </w:t>
            </w:r>
            <w:r w:rsidRPr="008B01D4">
              <w:rPr>
                <w:rFonts w:ascii="Times New Roman" w:hAnsi="Times New Roman" w:cs="Times New Roman"/>
                <w:color w:val="auto"/>
                <w:sz w:val="24"/>
                <w:szCs w:val="24"/>
              </w:rPr>
              <w:t xml:space="preserve"> 25,000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50</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ind w:right="90"/>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1,025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4508E">
            <w:pPr>
              <w:pStyle w:val="TableBody"/>
              <w:ind w:right="90"/>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625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4,882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 </w:t>
            </w:r>
            <w:r w:rsidR="00E4508E">
              <w:rPr>
                <w:rFonts w:ascii="Times New Roman" w:hAnsi="Times New Roman" w:cs="Times New Roman"/>
                <w:color w:val="auto"/>
                <w:sz w:val="24"/>
                <w:szCs w:val="24"/>
              </w:rPr>
              <w:t xml:space="preserve"> </w:t>
            </w:r>
            <w:r w:rsidRPr="008B01D4">
              <w:rPr>
                <w:rFonts w:ascii="Times New Roman" w:hAnsi="Times New Roman" w:cs="Times New Roman"/>
                <w:color w:val="auto"/>
                <w:sz w:val="24"/>
                <w:szCs w:val="24"/>
              </w:rPr>
              <w:t xml:space="preserve">  426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1.704%</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2.404%</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t>NHCE #2</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35,000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38</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1,435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875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$16,279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$ 1,421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4.059%</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4.709%</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t>NHCE #3</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28,000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29</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1,148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4508E">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700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$24,969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$ 2,179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7.782%</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8.432%</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t>NHCE #4</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18,000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25</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738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24B3" w:rsidRPr="008B01D4">
              <w:rPr>
                <w:rFonts w:ascii="Times New Roman" w:hAnsi="Times New Roman" w:cs="Times New Roman"/>
                <w:color w:val="auto"/>
                <w:sz w:val="24"/>
                <w:szCs w:val="24"/>
              </w:rPr>
              <w:t>450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$21,437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$ 1,871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10.392%</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11.042%</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r w:rsidRPr="008B01D4">
              <w:lastRenderedPageBreak/>
              <w:t>NHCE #5</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E4508E" w:rsidP="00E826AF">
            <w:pPr>
              <w:pStyle w:val="TableBody"/>
              <w:ind w:right="90"/>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w:t>
            </w:r>
            <w:r w:rsidR="00C124B3" w:rsidRPr="008B01D4">
              <w:rPr>
                <w:rFonts w:ascii="Times New Roman" w:hAnsi="Times New Roman" w:cs="Times New Roman"/>
                <w:color w:val="auto"/>
                <w:sz w:val="24"/>
                <w:szCs w:val="24"/>
                <w:u w:val="single"/>
              </w:rPr>
              <w:t>50,000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center"/>
              <w:rPr>
                <w:rFonts w:ascii="Times New Roman" w:hAnsi="Times New Roman" w:cs="Times New Roman"/>
                <w:color w:val="auto"/>
                <w:sz w:val="24"/>
                <w:szCs w:val="24"/>
              </w:rPr>
            </w:pPr>
            <w:r w:rsidRPr="008B01D4">
              <w:rPr>
                <w:rFonts w:ascii="Times New Roman" w:hAnsi="Times New Roman" w:cs="Times New Roman"/>
                <w:color w:val="auto"/>
                <w:sz w:val="24"/>
                <w:szCs w:val="24"/>
              </w:rPr>
              <w:t>48</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ind w:right="90"/>
              <w:jc w:val="right"/>
              <w:rPr>
                <w:rFonts w:ascii="Times New Roman" w:hAnsi="Times New Roman" w:cs="Times New Roman"/>
                <w:color w:val="auto"/>
                <w:sz w:val="24"/>
                <w:szCs w:val="24"/>
                <w:u w:val="single"/>
              </w:rPr>
            </w:pPr>
            <w:r w:rsidRPr="008B01D4">
              <w:rPr>
                <w:rFonts w:ascii="Times New Roman" w:hAnsi="Times New Roman" w:cs="Times New Roman"/>
                <w:color w:val="auto"/>
                <w:sz w:val="24"/>
                <w:szCs w:val="24"/>
                <w:u w:val="single"/>
              </w:rPr>
              <w:t xml:space="preserve">    </w:t>
            </w:r>
            <w:r w:rsidR="00E4508E">
              <w:rPr>
                <w:rFonts w:ascii="Times New Roman" w:hAnsi="Times New Roman" w:cs="Times New Roman"/>
                <w:color w:val="auto"/>
                <w:sz w:val="24"/>
                <w:szCs w:val="24"/>
                <w:u w:val="single"/>
              </w:rPr>
              <w:t xml:space="preserve">$  </w:t>
            </w:r>
            <w:r w:rsidRPr="008B01D4">
              <w:rPr>
                <w:rFonts w:ascii="Times New Roman" w:hAnsi="Times New Roman" w:cs="Times New Roman"/>
                <w:color w:val="auto"/>
                <w:sz w:val="24"/>
                <w:szCs w:val="24"/>
                <w:u w:val="single"/>
              </w:rPr>
              <w:t>2,050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ind w:right="90"/>
              <w:jc w:val="right"/>
              <w:rPr>
                <w:rFonts w:ascii="Times New Roman" w:hAnsi="Times New Roman" w:cs="Times New Roman"/>
                <w:color w:val="auto"/>
                <w:sz w:val="24"/>
                <w:szCs w:val="24"/>
                <w:u w:val="single"/>
              </w:rPr>
            </w:pPr>
            <w:r w:rsidRPr="008B01D4">
              <w:rPr>
                <w:rFonts w:ascii="Times New Roman" w:hAnsi="Times New Roman" w:cs="Times New Roman"/>
                <w:color w:val="auto"/>
                <w:sz w:val="24"/>
                <w:szCs w:val="24"/>
                <w:u w:val="single"/>
              </w:rPr>
              <w:t xml:space="preserve">  </w:t>
            </w:r>
            <w:r w:rsidR="00E4508E">
              <w:rPr>
                <w:rFonts w:ascii="Times New Roman" w:hAnsi="Times New Roman" w:cs="Times New Roman"/>
                <w:color w:val="auto"/>
                <w:sz w:val="24"/>
                <w:szCs w:val="24"/>
                <w:u w:val="single"/>
              </w:rPr>
              <w:t>$</w:t>
            </w:r>
            <w:r w:rsidRPr="008B01D4">
              <w:rPr>
                <w:rFonts w:ascii="Times New Roman" w:hAnsi="Times New Roman" w:cs="Times New Roman"/>
                <w:color w:val="auto"/>
                <w:sz w:val="24"/>
                <w:szCs w:val="24"/>
                <w:u w:val="single"/>
              </w:rPr>
              <w:t>1,250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$11,284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right"/>
            </w:pPr>
            <w:r w:rsidRPr="008B01D4">
              <w:t xml:space="preserve">$ </w:t>
            </w:r>
            <w:r w:rsidR="00E4508E">
              <w:t xml:space="preserve"> </w:t>
            </w:r>
            <w:r w:rsidRPr="008B01D4">
              <w:t xml:space="preserve">  985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1.969%</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8B01D4" w:rsidRDefault="00C124B3" w:rsidP="00E826AF">
            <w:pPr>
              <w:pStyle w:val="TableBody"/>
              <w:jc w:val="right"/>
              <w:rPr>
                <w:rFonts w:ascii="Times New Roman" w:hAnsi="Times New Roman" w:cs="Times New Roman"/>
                <w:color w:val="auto"/>
                <w:sz w:val="24"/>
                <w:szCs w:val="24"/>
              </w:rPr>
            </w:pPr>
            <w:r w:rsidRPr="008B01D4">
              <w:rPr>
                <w:rFonts w:ascii="Times New Roman" w:hAnsi="Times New Roman" w:cs="Times New Roman"/>
                <w:color w:val="auto"/>
                <w:sz w:val="24"/>
                <w:szCs w:val="24"/>
              </w:rPr>
              <w:t>2.669%</w:t>
            </w:r>
          </w:p>
        </w:tc>
      </w:tr>
      <w:tr w:rsidR="00E4508E" w:rsidRPr="00E224E1" w:rsidTr="00205E4F">
        <w:trPr>
          <w:trHeight w:val="60"/>
          <w:jc w:val="center"/>
        </w:trPr>
        <w:tc>
          <w:tcPr>
            <w:tcW w:w="1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rPr>
                <w:b/>
              </w:rPr>
            </w:pPr>
            <w:r w:rsidRPr="0033241C">
              <w:rPr>
                <w:b/>
              </w:rPr>
              <w:t>S TOTAL</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$156,000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  6,396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$3,900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r>
      <w:tr w:rsidR="00205E4F" w:rsidRPr="00E224E1" w:rsidTr="00205E4F">
        <w:trPr>
          <w:trHeight w:val="60"/>
          <w:jc w:val="center"/>
        </w:trPr>
        <w:tc>
          <w:tcPr>
            <w:tcW w:w="1318" w:type="dxa"/>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205E4F" w:rsidRPr="008B01D4" w:rsidRDefault="00205E4F" w:rsidP="00E826AF"/>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4508E">
            <w:pPr>
              <w:pStyle w:val="TableBody"/>
              <w:ind w:right="90"/>
              <w:jc w:val="right"/>
              <w:rPr>
                <w:rFonts w:ascii="Times New Roman" w:hAnsi="Times New Roman" w:cs="Times New Roman"/>
                <w:color w:val="auto"/>
                <w:sz w:val="24"/>
                <w:szCs w:val="24"/>
                <w:u w:val="single"/>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826AF">
            <w:pPr>
              <w:pStyle w:val="NoParagraphStyle"/>
              <w:spacing w:line="240" w:lineRule="auto"/>
              <w:textAlignment w:val="auto"/>
              <w:rPr>
                <w:rFonts w:ascii="Times New Roman" w:hAnsi="Times New Roman" w:cs="Times New Roman"/>
                <w:color w:val="auto"/>
              </w:rPr>
            </w:pP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4508E">
            <w:pPr>
              <w:pStyle w:val="TableBody"/>
              <w:ind w:right="90"/>
              <w:jc w:val="right"/>
              <w:rPr>
                <w:rFonts w:ascii="Times New Roman" w:hAnsi="Times New Roman" w:cs="Times New Roman"/>
                <w:color w:val="auto"/>
                <w:sz w:val="24"/>
                <w:szCs w:val="24"/>
                <w:u w:val="single"/>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826AF">
            <w:pPr>
              <w:pStyle w:val="TableBody"/>
              <w:ind w:right="90"/>
              <w:jc w:val="right"/>
              <w:rPr>
                <w:rFonts w:ascii="Times New Roman" w:hAnsi="Times New Roman" w:cs="Times New Roman"/>
                <w:color w:val="auto"/>
                <w:sz w:val="24"/>
                <w:szCs w:val="24"/>
                <w:u w:val="single"/>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05E4F" w:rsidRPr="008B01D4" w:rsidRDefault="00205E4F" w:rsidP="00E826AF">
            <w:pPr>
              <w:pStyle w:val="NoParagraphStyle"/>
              <w:spacing w:line="240" w:lineRule="auto"/>
              <w:textAlignment w:val="auto"/>
              <w:rPr>
                <w:rFonts w:ascii="Times New Roman" w:hAnsi="Times New Roman"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205E4F" w:rsidRPr="008B01D4" w:rsidRDefault="00205E4F" w:rsidP="00E826AF">
            <w:pPr>
              <w:pStyle w:val="NoParagraphStyle"/>
              <w:spacing w:line="240" w:lineRule="auto"/>
              <w:textAlignment w:val="auto"/>
              <w:rPr>
                <w:rFonts w:ascii="Times New Roman" w:hAnsi="Times New Roman" w:cs="Times New Roman"/>
                <w:color w:val="auto"/>
              </w:rPr>
            </w:pPr>
          </w:p>
        </w:tc>
      </w:tr>
      <w:tr w:rsidR="00E4508E" w:rsidRPr="00E224E1" w:rsidTr="00205E4F">
        <w:trPr>
          <w:trHeight w:val="60"/>
          <w:jc w:val="center"/>
        </w:trPr>
        <w:tc>
          <w:tcPr>
            <w:tcW w:w="1318" w:type="dxa"/>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C124B3" w:rsidRPr="0033241C" w:rsidRDefault="00C124B3" w:rsidP="00E826AF">
            <w:pPr>
              <w:rPr>
                <w:b/>
              </w:rPr>
            </w:pPr>
            <w:r w:rsidRPr="0033241C">
              <w:rPr>
                <w:b/>
              </w:rPr>
              <w:t>TOTAL</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4508E">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$5</w:t>
            </w:r>
            <w:r w:rsidR="00E4508E" w:rsidRPr="0033241C">
              <w:rPr>
                <w:rFonts w:ascii="Times New Roman" w:hAnsi="Times New Roman" w:cs="Times New Roman"/>
                <w:b/>
                <w:color w:val="auto"/>
                <w:sz w:val="24"/>
                <w:szCs w:val="24"/>
                <w:u w:val="single"/>
              </w:rPr>
              <w:t>2</w:t>
            </w:r>
            <w:r w:rsidR="00CF765F" w:rsidRPr="0033241C">
              <w:rPr>
                <w:rFonts w:ascii="Times New Roman" w:hAnsi="Times New Roman" w:cs="Times New Roman"/>
                <w:b/>
                <w:color w:val="auto"/>
                <w:sz w:val="24"/>
                <w:szCs w:val="24"/>
                <w:u w:val="single"/>
              </w:rPr>
              <w:t>6</w:t>
            </w:r>
            <w:r w:rsidRPr="0033241C">
              <w:rPr>
                <w:rFonts w:ascii="Times New Roman" w:hAnsi="Times New Roman" w:cs="Times New Roman"/>
                <w:b/>
                <w:color w:val="auto"/>
                <w:sz w:val="24"/>
                <w:szCs w:val="24"/>
                <w:u w:val="single"/>
              </w:rPr>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4508E">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$8</w:t>
            </w:r>
            <w:r w:rsidR="00E4508E" w:rsidRPr="0033241C">
              <w:rPr>
                <w:rFonts w:ascii="Times New Roman" w:hAnsi="Times New Roman" w:cs="Times New Roman"/>
                <w:b/>
                <w:color w:val="auto"/>
                <w:sz w:val="24"/>
                <w:szCs w:val="24"/>
                <w:u w:val="single"/>
              </w:rPr>
              <w:t>6</w:t>
            </w:r>
            <w:r w:rsidRPr="0033241C">
              <w:rPr>
                <w:rFonts w:ascii="Times New Roman" w:hAnsi="Times New Roman" w:cs="Times New Roman"/>
                <w:b/>
                <w:color w:val="auto"/>
                <w:sz w:val="24"/>
                <w:szCs w:val="24"/>
                <w:u w:val="single"/>
              </w:rPr>
              <w:t>,</w:t>
            </w:r>
            <w:r w:rsidR="00CF765F" w:rsidRPr="0033241C">
              <w:rPr>
                <w:rFonts w:ascii="Times New Roman" w:hAnsi="Times New Roman" w:cs="Times New Roman"/>
                <w:b/>
                <w:color w:val="auto"/>
                <w:sz w:val="24"/>
                <w:szCs w:val="24"/>
                <w:u w:val="single"/>
              </w:rPr>
              <w:t>146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TableBody"/>
              <w:ind w:right="90"/>
              <w:jc w:val="right"/>
              <w:rPr>
                <w:rFonts w:ascii="Times New Roman" w:hAnsi="Times New Roman" w:cs="Times New Roman"/>
                <w:b/>
                <w:color w:val="auto"/>
                <w:sz w:val="24"/>
                <w:szCs w:val="24"/>
                <w:u w:val="single"/>
              </w:rPr>
            </w:pPr>
            <w:r w:rsidRPr="0033241C">
              <w:rPr>
                <w:rFonts w:ascii="Times New Roman" w:hAnsi="Times New Roman" w:cs="Times New Roman"/>
                <w:b/>
                <w:color w:val="auto"/>
                <w:sz w:val="24"/>
                <w:szCs w:val="24"/>
                <w:u w:val="single"/>
              </w:rPr>
              <w:t>$3,900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C124B3" w:rsidRPr="0033241C" w:rsidRDefault="00C124B3" w:rsidP="00E826AF">
            <w:pPr>
              <w:pStyle w:val="NoParagraphStyle"/>
              <w:spacing w:line="240" w:lineRule="auto"/>
              <w:textAlignment w:val="auto"/>
              <w:rPr>
                <w:rFonts w:ascii="Times New Roman" w:hAnsi="Times New Roman" w:cs="Times New Roman"/>
                <w:b/>
                <w:color w:val="auto"/>
              </w:rPr>
            </w:pPr>
          </w:p>
        </w:tc>
      </w:tr>
      <w:tr w:rsidR="00C124B3" w:rsidRPr="00E224E1" w:rsidTr="00E4508E">
        <w:trPr>
          <w:trHeight w:val="60"/>
          <w:jc w:val="center"/>
        </w:trPr>
        <w:tc>
          <w:tcPr>
            <w:tcW w:w="9734" w:type="dxa"/>
            <w:gridSpan w:val="9"/>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pPr>
            <w:r w:rsidRPr="008B01D4">
              <w:t>*  Based on IAM83 mortality at 7.5 percent pre-retirement interest.</w:t>
            </w:r>
          </w:p>
        </w:tc>
      </w:tr>
    </w:tbl>
    <w:p w:rsidR="00C124B3" w:rsidRDefault="00C124B3" w:rsidP="00C124B3">
      <w:pPr>
        <w:pStyle w:val="PA"/>
      </w:pPr>
    </w:p>
    <w:p w:rsidR="00C124B3" w:rsidRDefault="00C124B3" w:rsidP="0058492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 xml:space="preserve">The first rate group consists of HCE 2, NHCE 3, and NHCE 4. The second rate group consists of HCE 2, HCE 1, NHCE 2, NHCE 3, NHCE 4, and NHCE 5. The breakdown of the rate groups is illustrated </w:t>
      </w:r>
      <w:r w:rsidR="0072344A">
        <w:rPr>
          <w:rFonts w:ascii="Times New Roman" w:hAnsi="Times New Roman" w:cs="Times New Roman"/>
          <w:sz w:val="24"/>
          <w:szCs w:val="24"/>
        </w:rPr>
        <w:t>in Table 4-6</w:t>
      </w:r>
      <w:r w:rsidRPr="008B01D4">
        <w:rPr>
          <w:rFonts w:ascii="Times New Roman" w:hAnsi="Times New Roman" w:cs="Times New Roman"/>
          <w:sz w:val="24"/>
          <w:szCs w:val="24"/>
        </w:rPr>
        <w:t>.</w:t>
      </w:r>
    </w:p>
    <w:p w:rsidR="008B01D4" w:rsidRPr="008B01D4" w:rsidRDefault="008B01D4" w:rsidP="008B01D4">
      <w:pPr>
        <w:pStyle w:val="NoSpacing"/>
        <w:ind w:left="108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94"/>
        <w:gridCol w:w="1020"/>
        <w:gridCol w:w="1073"/>
        <w:gridCol w:w="1101"/>
      </w:tblGrid>
      <w:tr w:rsidR="00C124B3" w:rsidRPr="008B01D4" w:rsidTr="00E826AF">
        <w:trPr>
          <w:trHeight w:val="60"/>
          <w:jc w:val="center"/>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5145A8">
            <w:pPr>
              <w:pStyle w:val="TableHead"/>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Table </w:t>
            </w:r>
            <w:r w:rsidR="005145A8">
              <w:rPr>
                <w:rFonts w:ascii="Times New Roman" w:hAnsi="Times New Roman" w:cs="Times New Roman"/>
                <w:color w:val="auto"/>
                <w:sz w:val="24"/>
                <w:szCs w:val="24"/>
              </w:rPr>
              <w:t>4</w:t>
            </w:r>
            <w:r w:rsidRPr="008B01D4">
              <w:rPr>
                <w:rFonts w:ascii="Times New Roman" w:hAnsi="Times New Roman" w:cs="Times New Roman"/>
                <w:color w:val="auto"/>
                <w:sz w:val="24"/>
                <w:szCs w:val="24"/>
              </w:rPr>
              <w:t>-</w:t>
            </w:r>
            <w:r w:rsidR="005145A8">
              <w:rPr>
                <w:rFonts w:ascii="Times New Roman" w:hAnsi="Times New Roman" w:cs="Times New Roman"/>
                <w:color w:val="auto"/>
                <w:sz w:val="24"/>
                <w:szCs w:val="24"/>
              </w:rPr>
              <w:t>6</w:t>
            </w:r>
            <w:r w:rsidRPr="008B01D4">
              <w:rPr>
                <w:rFonts w:ascii="Times New Roman" w:hAnsi="Times New Roman" w:cs="Times New Roman"/>
                <w:color w:val="auto"/>
                <w:sz w:val="24"/>
                <w:szCs w:val="24"/>
              </w:rPr>
              <w:t>. Ratio Percentage Test</w:t>
            </w:r>
          </w:p>
        </w:tc>
      </w:tr>
      <w:tr w:rsidR="00C124B3" w:rsidRPr="008B01D4" w:rsidTr="00E826AF">
        <w:trPr>
          <w:trHeight w:val="60"/>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center"/>
              <w:rPr>
                <w:u w:val="single"/>
              </w:rPr>
            </w:pPr>
            <w:r w:rsidRPr="008B01D4">
              <w:rPr>
                <w:b/>
                <w:bCs/>
                <w:i/>
                <w:iCs/>
                <w:u w:val="single"/>
              </w:rPr>
              <w:t>First Rate Group:</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center"/>
              <w:rPr>
                <w:u w:val="single"/>
              </w:rPr>
            </w:pPr>
            <w:r w:rsidRPr="008B01D4">
              <w:rPr>
                <w:b/>
                <w:bCs/>
                <w:i/>
                <w:iCs/>
                <w:u w:val="single"/>
              </w:rPr>
              <w:t>Second Rate Group:</w:t>
            </w:r>
          </w:p>
        </w:tc>
      </w:tr>
      <w:tr w:rsidR="00C124B3" w:rsidRPr="008B01D4" w:rsidTr="00E826AF">
        <w:trPr>
          <w:trHeight w:val="2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4.868%</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4.868%</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1</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2.640%</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4.709%</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3</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 xml:space="preserve"> 7.782%</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3</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8.432%</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10.392%</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11.042%</w:t>
            </w:r>
          </w:p>
        </w:tc>
      </w:tr>
      <w:tr w:rsidR="00C124B3" w:rsidRPr="008B01D4"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5</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2.669%</w:t>
            </w:r>
          </w:p>
        </w:tc>
      </w:tr>
    </w:tbl>
    <w:p w:rsidR="00C124B3" w:rsidRDefault="00C124B3" w:rsidP="00C124B3">
      <w:pPr>
        <w:pStyle w:val="PA"/>
      </w:pPr>
    </w:p>
    <w:p w:rsidR="00584924"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 xml:space="preserve">Using the same approach as in Table </w:t>
      </w:r>
      <w:r w:rsidR="0074138B">
        <w:rPr>
          <w:rFonts w:ascii="Times New Roman" w:hAnsi="Times New Roman" w:cs="Times New Roman"/>
          <w:sz w:val="24"/>
          <w:szCs w:val="24"/>
        </w:rPr>
        <w:t>4</w:t>
      </w:r>
      <w:r w:rsidRPr="008B01D4">
        <w:rPr>
          <w:rFonts w:ascii="Times New Roman" w:hAnsi="Times New Roman" w:cs="Times New Roman"/>
          <w:sz w:val="24"/>
          <w:szCs w:val="24"/>
        </w:rPr>
        <w:t>-</w:t>
      </w:r>
      <w:r w:rsidR="00A852FA">
        <w:rPr>
          <w:rFonts w:ascii="Times New Roman" w:hAnsi="Times New Roman" w:cs="Times New Roman"/>
          <w:sz w:val="24"/>
          <w:szCs w:val="24"/>
        </w:rPr>
        <w:t>4,</w:t>
      </w:r>
      <w:r w:rsidRPr="008B01D4">
        <w:rPr>
          <w:rFonts w:ascii="Times New Roman" w:hAnsi="Times New Roman" w:cs="Times New Roman"/>
          <w:sz w:val="24"/>
          <w:szCs w:val="24"/>
        </w:rPr>
        <w:t xml:space="preserve"> one out of two HCEs are in the first rate group</w:t>
      </w:r>
      <w:r w:rsidR="00EC5196">
        <w:rPr>
          <w:rFonts w:ascii="Times New Roman" w:hAnsi="Times New Roman" w:cs="Times New Roman"/>
          <w:sz w:val="24"/>
          <w:szCs w:val="24"/>
        </w:rPr>
        <w:t>,</w:t>
      </w:r>
      <w:r w:rsidRPr="008B01D4">
        <w:rPr>
          <w:rFonts w:ascii="Times New Roman" w:hAnsi="Times New Roman" w:cs="Times New Roman"/>
          <w:sz w:val="24"/>
          <w:szCs w:val="24"/>
        </w:rPr>
        <w:t xml:space="preserve"> </w:t>
      </w:r>
      <w:r w:rsidR="00EC5196">
        <w:rPr>
          <w:rFonts w:ascii="Times New Roman" w:hAnsi="Times New Roman" w:cs="Times New Roman"/>
          <w:sz w:val="24"/>
          <w:szCs w:val="24"/>
        </w:rPr>
        <w:t>which</w:t>
      </w:r>
      <w:r w:rsidR="00EC5196" w:rsidRPr="008B01D4">
        <w:rPr>
          <w:rFonts w:ascii="Times New Roman" w:hAnsi="Times New Roman" w:cs="Times New Roman"/>
          <w:sz w:val="24"/>
          <w:szCs w:val="24"/>
        </w:rPr>
        <w:t xml:space="preserve"> </w:t>
      </w:r>
      <w:r w:rsidRPr="008B01D4">
        <w:rPr>
          <w:rFonts w:ascii="Times New Roman" w:hAnsi="Times New Roman" w:cs="Times New Roman"/>
          <w:sz w:val="24"/>
          <w:szCs w:val="24"/>
        </w:rPr>
        <w:t>represents 50</w:t>
      </w:r>
      <w:r w:rsidR="00584924">
        <w:rPr>
          <w:rFonts w:ascii="Times New Roman" w:hAnsi="Times New Roman" w:cs="Times New Roman"/>
          <w:sz w:val="24"/>
          <w:szCs w:val="24"/>
        </w:rPr>
        <w:t xml:space="preserve"> percent</w:t>
      </w:r>
      <w:r w:rsidR="00584924" w:rsidRPr="008B01D4">
        <w:rPr>
          <w:rFonts w:ascii="Times New Roman" w:hAnsi="Times New Roman" w:cs="Times New Roman"/>
          <w:sz w:val="24"/>
          <w:szCs w:val="24"/>
        </w:rPr>
        <w:t xml:space="preserve"> </w:t>
      </w:r>
      <w:r w:rsidRPr="008B01D4">
        <w:rPr>
          <w:rFonts w:ascii="Times New Roman" w:hAnsi="Times New Roman" w:cs="Times New Roman"/>
          <w:sz w:val="24"/>
          <w:szCs w:val="24"/>
        </w:rPr>
        <w:t>of the HCEs.  Two out of five NHCEs are in the same rate group representing 40</w:t>
      </w:r>
      <w:r w:rsidR="00584924">
        <w:rPr>
          <w:rFonts w:ascii="Times New Roman" w:hAnsi="Times New Roman" w:cs="Times New Roman"/>
          <w:sz w:val="24"/>
          <w:szCs w:val="24"/>
        </w:rPr>
        <w:t xml:space="preserve"> percent</w:t>
      </w:r>
      <w:r w:rsidR="00584924" w:rsidRPr="008B01D4">
        <w:rPr>
          <w:rFonts w:ascii="Times New Roman" w:hAnsi="Times New Roman" w:cs="Times New Roman"/>
          <w:sz w:val="24"/>
          <w:szCs w:val="24"/>
        </w:rPr>
        <w:t xml:space="preserve"> </w:t>
      </w:r>
      <w:r w:rsidRPr="008B01D4">
        <w:rPr>
          <w:rFonts w:ascii="Times New Roman" w:hAnsi="Times New Roman" w:cs="Times New Roman"/>
          <w:sz w:val="24"/>
          <w:szCs w:val="24"/>
        </w:rPr>
        <w:t xml:space="preserve">of the NHCEs.  </w:t>
      </w:r>
    </w:p>
    <w:p w:rsidR="00584924" w:rsidRDefault="00584924" w:rsidP="008B01D4">
      <w:pPr>
        <w:pStyle w:val="NoSpacing"/>
        <w:ind w:left="1080"/>
        <w:rPr>
          <w:rFonts w:ascii="Times New Roman" w:hAnsi="Times New Roman" w:cs="Times New Roman"/>
          <w:sz w:val="24"/>
          <w:szCs w:val="24"/>
        </w:rPr>
      </w:pPr>
    </w:p>
    <w:p w:rsidR="00584924" w:rsidRDefault="00584924" w:rsidP="008B01D4">
      <w:pPr>
        <w:pStyle w:val="NoSpacing"/>
        <w:ind w:left="1080"/>
        <w:rPr>
          <w:rFonts w:ascii="Times New Roman" w:hAnsi="Times New Roman" w:cs="Times New Roman"/>
          <w:sz w:val="24"/>
          <w:szCs w:val="24"/>
        </w:rPr>
      </w:pPr>
    </w:p>
    <w:p w:rsidR="00584924" w:rsidRDefault="00584924" w:rsidP="00584924">
      <w:pPr>
        <w:pStyle w:val="NoSpacing"/>
        <w:ind w:left="1080"/>
        <w:rPr>
          <w:rFonts w:ascii="Times New Roman" w:hAnsi="Times New Roman" w:cs="Times New Roman"/>
          <w:sz w:val="24"/>
          <w:szCs w:val="24"/>
        </w:rPr>
      </w:pPr>
      <w:r>
        <w:rPr>
          <w:rFonts w:ascii="Times New Roman" w:hAnsi="Times New Roman" w:cs="Times New Roman"/>
          <w:sz w:val="24"/>
          <w:szCs w:val="24"/>
        </w:rPr>
        <w:t>40% / 50% = 80%</w:t>
      </w:r>
    </w:p>
    <w:p w:rsidR="00584924" w:rsidRDefault="00584924" w:rsidP="008B01D4">
      <w:pPr>
        <w:pStyle w:val="NoSpacing"/>
        <w:ind w:left="1080"/>
        <w:rPr>
          <w:rFonts w:ascii="Times New Roman" w:hAnsi="Times New Roman" w:cs="Times New Roman"/>
          <w:sz w:val="24"/>
          <w:szCs w:val="24"/>
        </w:rPr>
      </w:pPr>
    </w:p>
    <w:p w:rsidR="008F67C9" w:rsidRDefault="008F67C9" w:rsidP="008B01D4">
      <w:pPr>
        <w:pStyle w:val="NoSpacing"/>
        <w:ind w:left="1080"/>
        <w:rPr>
          <w:rFonts w:ascii="Times New Roman" w:hAnsi="Times New Roman" w:cs="Times New Roman"/>
          <w:sz w:val="24"/>
          <w:szCs w:val="24"/>
        </w:rPr>
      </w:pPr>
      <w:r>
        <w:rPr>
          <w:rFonts w:ascii="Times New Roman" w:hAnsi="Times New Roman" w:cs="Times New Roman"/>
          <w:sz w:val="24"/>
          <w:szCs w:val="24"/>
        </w:rPr>
        <w:t>Because</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the result is more than 70</w:t>
      </w:r>
      <w:r>
        <w:rPr>
          <w:rFonts w:ascii="Times New Roman" w:hAnsi="Times New Roman" w:cs="Times New Roman"/>
          <w:sz w:val="24"/>
          <w:szCs w:val="24"/>
        </w:rPr>
        <w:t xml:space="preserve"> percent,</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the test is passed for the first rate group.  The second rate group includes both HCEs so 100</w:t>
      </w:r>
      <w:r>
        <w:rPr>
          <w:rFonts w:ascii="Times New Roman" w:hAnsi="Times New Roman" w:cs="Times New Roman"/>
          <w:sz w:val="24"/>
          <w:szCs w:val="24"/>
        </w:rPr>
        <w:t xml:space="preserve"> percent</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 xml:space="preserve">of the HCEs are included.  Four of the NHCEs are included or </w:t>
      </w:r>
      <w:r>
        <w:rPr>
          <w:rFonts w:ascii="Times New Roman" w:hAnsi="Times New Roman" w:cs="Times New Roman"/>
          <w:sz w:val="24"/>
          <w:szCs w:val="24"/>
        </w:rPr>
        <w:t>80</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 xml:space="preserve">percent.  </w:t>
      </w:r>
    </w:p>
    <w:p w:rsidR="008F67C9" w:rsidRDefault="008F67C9" w:rsidP="008B01D4">
      <w:pPr>
        <w:pStyle w:val="NoSpacing"/>
        <w:ind w:left="1080"/>
        <w:rPr>
          <w:rFonts w:ascii="Times New Roman" w:hAnsi="Times New Roman" w:cs="Times New Roman"/>
          <w:sz w:val="24"/>
          <w:szCs w:val="24"/>
        </w:rPr>
      </w:pPr>
    </w:p>
    <w:p w:rsidR="008F67C9" w:rsidRDefault="008F67C9" w:rsidP="008B01D4">
      <w:pPr>
        <w:pStyle w:val="NoSpacing"/>
        <w:ind w:left="1080"/>
        <w:rPr>
          <w:rFonts w:ascii="Times New Roman" w:hAnsi="Times New Roman" w:cs="Times New Roman"/>
          <w:sz w:val="24"/>
          <w:szCs w:val="24"/>
        </w:rPr>
      </w:pPr>
    </w:p>
    <w:p w:rsidR="008F67C9" w:rsidRDefault="008F67C9" w:rsidP="008B01D4">
      <w:pPr>
        <w:pStyle w:val="NoSpacing"/>
        <w:ind w:left="1080"/>
        <w:rPr>
          <w:rFonts w:ascii="Times New Roman" w:hAnsi="Times New Roman" w:cs="Times New Roman"/>
          <w:sz w:val="24"/>
          <w:szCs w:val="24"/>
        </w:rPr>
      </w:pPr>
      <w:r>
        <w:rPr>
          <w:rFonts w:ascii="Times New Roman" w:hAnsi="Times New Roman" w:cs="Times New Roman"/>
          <w:sz w:val="24"/>
          <w:szCs w:val="24"/>
        </w:rPr>
        <w:t>80% / 100% = 80%</w:t>
      </w:r>
    </w:p>
    <w:p w:rsidR="008F67C9" w:rsidRDefault="008F67C9" w:rsidP="008B01D4">
      <w:pPr>
        <w:pStyle w:val="NoSpacing"/>
        <w:ind w:left="1080"/>
        <w:rPr>
          <w:rFonts w:ascii="Times New Roman" w:hAnsi="Times New Roman" w:cs="Times New Roman"/>
          <w:sz w:val="24"/>
          <w:szCs w:val="24"/>
        </w:rPr>
      </w:pPr>
    </w:p>
    <w:p w:rsidR="00C124B3" w:rsidRPr="008B01D4" w:rsidRDefault="008F67C9" w:rsidP="008B01D4">
      <w:pPr>
        <w:pStyle w:val="NoSpacing"/>
        <w:ind w:left="1080"/>
        <w:rPr>
          <w:rFonts w:ascii="Times New Roman" w:hAnsi="Times New Roman" w:cs="Times New Roman"/>
          <w:sz w:val="24"/>
          <w:szCs w:val="24"/>
        </w:rPr>
      </w:pPr>
      <w:r>
        <w:rPr>
          <w:rFonts w:ascii="Times New Roman" w:hAnsi="Times New Roman" w:cs="Times New Roman"/>
          <w:sz w:val="24"/>
          <w:szCs w:val="24"/>
        </w:rPr>
        <w:t>T</w:t>
      </w:r>
      <w:r w:rsidRPr="008B01D4">
        <w:rPr>
          <w:rFonts w:ascii="Times New Roman" w:hAnsi="Times New Roman" w:cs="Times New Roman"/>
          <w:sz w:val="24"/>
          <w:szCs w:val="24"/>
        </w:rPr>
        <w:t xml:space="preserve">he </w:t>
      </w:r>
      <w:r w:rsidR="00C124B3" w:rsidRPr="008B01D4">
        <w:rPr>
          <w:rFonts w:ascii="Times New Roman" w:hAnsi="Times New Roman" w:cs="Times New Roman"/>
          <w:sz w:val="24"/>
          <w:szCs w:val="24"/>
        </w:rPr>
        <w:t>second rate group passes.</w:t>
      </w:r>
    </w:p>
    <w:p w:rsidR="007E7D97" w:rsidRDefault="007E7D97" w:rsidP="008B01D4">
      <w:pPr>
        <w:pStyle w:val="NoSpacing"/>
        <w:ind w:left="1080"/>
        <w:rPr>
          <w:rFonts w:ascii="Times New Roman" w:hAnsi="Times New Roman" w:cs="Times New Roman"/>
          <w:sz w:val="24"/>
          <w:szCs w:val="24"/>
        </w:rPr>
      </w:pPr>
    </w:p>
    <w:p w:rsidR="00C124B3" w:rsidRPr="008B01D4"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 xml:space="preserve">The use of comparability in defined contribution plans is sensitive to the age of the HCEs. In Tables </w:t>
      </w:r>
      <w:r w:rsidR="007E7D97">
        <w:rPr>
          <w:rFonts w:ascii="Times New Roman" w:hAnsi="Times New Roman" w:cs="Times New Roman"/>
          <w:sz w:val="24"/>
          <w:szCs w:val="24"/>
        </w:rPr>
        <w:t>4</w:t>
      </w:r>
      <w:r w:rsidRPr="008B01D4">
        <w:rPr>
          <w:rFonts w:ascii="Times New Roman" w:hAnsi="Times New Roman" w:cs="Times New Roman"/>
          <w:sz w:val="24"/>
          <w:szCs w:val="24"/>
        </w:rPr>
        <w:t>-</w:t>
      </w:r>
      <w:r w:rsidR="007E7D97">
        <w:rPr>
          <w:rFonts w:ascii="Times New Roman" w:hAnsi="Times New Roman" w:cs="Times New Roman"/>
          <w:sz w:val="24"/>
          <w:szCs w:val="24"/>
        </w:rPr>
        <w:t>3</w:t>
      </w:r>
      <w:r w:rsidRPr="008B01D4">
        <w:rPr>
          <w:rFonts w:ascii="Times New Roman" w:hAnsi="Times New Roman" w:cs="Times New Roman"/>
          <w:sz w:val="24"/>
          <w:szCs w:val="24"/>
        </w:rPr>
        <w:t xml:space="preserve"> through </w:t>
      </w:r>
      <w:r w:rsidR="007E7D97">
        <w:rPr>
          <w:rFonts w:ascii="Times New Roman" w:hAnsi="Times New Roman" w:cs="Times New Roman"/>
          <w:sz w:val="24"/>
          <w:szCs w:val="24"/>
        </w:rPr>
        <w:t>4</w:t>
      </w:r>
      <w:r w:rsidRPr="008B01D4">
        <w:rPr>
          <w:rFonts w:ascii="Times New Roman" w:hAnsi="Times New Roman" w:cs="Times New Roman"/>
          <w:sz w:val="24"/>
          <w:szCs w:val="24"/>
        </w:rPr>
        <w:t>-</w:t>
      </w:r>
      <w:r w:rsidR="007E7D97">
        <w:rPr>
          <w:rFonts w:ascii="Times New Roman" w:hAnsi="Times New Roman" w:cs="Times New Roman"/>
          <w:sz w:val="24"/>
          <w:szCs w:val="24"/>
        </w:rPr>
        <w:t>6</w:t>
      </w:r>
      <w:r w:rsidRPr="008B01D4">
        <w:rPr>
          <w:rFonts w:ascii="Times New Roman" w:hAnsi="Times New Roman" w:cs="Times New Roman"/>
          <w:sz w:val="24"/>
          <w:szCs w:val="24"/>
        </w:rPr>
        <w:t xml:space="preserve">, the HCEs are </w:t>
      </w:r>
      <w:r w:rsidR="00EC5196">
        <w:rPr>
          <w:rFonts w:ascii="Times New Roman" w:hAnsi="Times New Roman" w:cs="Times New Roman"/>
          <w:sz w:val="24"/>
          <w:szCs w:val="24"/>
        </w:rPr>
        <w:t>fifty-five</w:t>
      </w:r>
      <w:r w:rsidR="00EC5196" w:rsidRPr="008B01D4">
        <w:rPr>
          <w:rFonts w:ascii="Times New Roman" w:hAnsi="Times New Roman" w:cs="Times New Roman"/>
          <w:sz w:val="24"/>
          <w:szCs w:val="24"/>
        </w:rPr>
        <w:t xml:space="preserve"> </w:t>
      </w:r>
      <w:r w:rsidRPr="008B01D4">
        <w:rPr>
          <w:rFonts w:ascii="Times New Roman" w:hAnsi="Times New Roman" w:cs="Times New Roman"/>
          <w:sz w:val="24"/>
          <w:szCs w:val="24"/>
        </w:rPr>
        <w:t xml:space="preserve">and </w:t>
      </w:r>
      <w:r w:rsidR="00EC5196">
        <w:rPr>
          <w:rFonts w:ascii="Times New Roman" w:hAnsi="Times New Roman" w:cs="Times New Roman"/>
          <w:sz w:val="24"/>
          <w:szCs w:val="24"/>
        </w:rPr>
        <w:t>sixty</w:t>
      </w:r>
      <w:r w:rsidRPr="008B01D4">
        <w:rPr>
          <w:rFonts w:ascii="Times New Roman" w:hAnsi="Times New Roman" w:cs="Times New Roman"/>
          <w:sz w:val="24"/>
          <w:szCs w:val="24"/>
        </w:rPr>
        <w:t xml:space="preserve">, giving the plan a great deal of leverage because the NHCEs are much younger.  Table </w:t>
      </w:r>
      <w:r w:rsidR="007E7D97">
        <w:rPr>
          <w:rFonts w:ascii="Times New Roman" w:hAnsi="Times New Roman" w:cs="Times New Roman"/>
          <w:sz w:val="24"/>
          <w:szCs w:val="24"/>
        </w:rPr>
        <w:t>4</w:t>
      </w:r>
      <w:r w:rsidRPr="008B01D4">
        <w:rPr>
          <w:rFonts w:ascii="Times New Roman" w:hAnsi="Times New Roman" w:cs="Times New Roman"/>
          <w:sz w:val="24"/>
          <w:szCs w:val="24"/>
        </w:rPr>
        <w:t>-</w:t>
      </w:r>
      <w:r w:rsidR="007E7D97">
        <w:rPr>
          <w:rFonts w:ascii="Times New Roman" w:hAnsi="Times New Roman" w:cs="Times New Roman"/>
          <w:sz w:val="24"/>
          <w:szCs w:val="24"/>
        </w:rPr>
        <w:t>7</w:t>
      </w:r>
      <w:r w:rsidRPr="008B01D4">
        <w:rPr>
          <w:rFonts w:ascii="Times New Roman" w:hAnsi="Times New Roman" w:cs="Times New Roman"/>
          <w:sz w:val="24"/>
          <w:szCs w:val="24"/>
        </w:rPr>
        <w:t xml:space="preserve"> shows the effect of a younger HCE.</w:t>
      </w:r>
      <w:r w:rsidRPr="008B01D4">
        <w:rPr>
          <w:rFonts w:ascii="Times New Roman" w:hAnsi="Times New Roman" w:cs="Times New Roman"/>
          <w:sz w:val="24"/>
          <w:szCs w:val="24"/>
        </w:rPr>
        <w:br/>
      </w:r>
    </w:p>
    <w:tbl>
      <w:tblPr>
        <w:tblW w:w="9857" w:type="dxa"/>
        <w:jc w:val="center"/>
        <w:tblCellMar>
          <w:left w:w="0" w:type="dxa"/>
          <w:right w:w="0" w:type="dxa"/>
        </w:tblCellMar>
        <w:tblLook w:val="0000" w:firstRow="0" w:lastRow="0" w:firstColumn="0" w:lastColumn="0" w:noHBand="0" w:noVBand="0"/>
      </w:tblPr>
      <w:tblGrid>
        <w:gridCol w:w="1216"/>
        <w:gridCol w:w="1060"/>
        <w:gridCol w:w="547"/>
        <w:gridCol w:w="1443"/>
        <w:gridCol w:w="1281"/>
        <w:gridCol w:w="1060"/>
        <w:gridCol w:w="947"/>
        <w:gridCol w:w="1078"/>
        <w:gridCol w:w="1225"/>
      </w:tblGrid>
      <w:tr w:rsidR="00C124B3" w:rsidRPr="008B01D4" w:rsidTr="008B01D4">
        <w:trPr>
          <w:trHeight w:val="60"/>
          <w:jc w:val="center"/>
        </w:trPr>
        <w:tc>
          <w:tcPr>
            <w:tcW w:w="9857" w:type="dxa"/>
            <w:gridSpan w:val="9"/>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C124B3" w:rsidRPr="008B01D4" w:rsidRDefault="00C124B3" w:rsidP="005145A8">
            <w:pPr>
              <w:pStyle w:val="TableHead"/>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Table </w:t>
            </w:r>
            <w:r w:rsidR="005145A8">
              <w:rPr>
                <w:rFonts w:ascii="Times New Roman" w:hAnsi="Times New Roman" w:cs="Times New Roman"/>
                <w:color w:val="auto"/>
                <w:sz w:val="24"/>
                <w:szCs w:val="24"/>
              </w:rPr>
              <w:t>4</w:t>
            </w:r>
            <w:r w:rsidRPr="008B01D4">
              <w:rPr>
                <w:rFonts w:ascii="Times New Roman" w:hAnsi="Times New Roman" w:cs="Times New Roman"/>
                <w:color w:val="auto"/>
                <w:sz w:val="24"/>
                <w:szCs w:val="24"/>
              </w:rPr>
              <w:t>-</w:t>
            </w:r>
            <w:r w:rsidR="005145A8">
              <w:rPr>
                <w:rFonts w:ascii="Times New Roman" w:hAnsi="Times New Roman" w:cs="Times New Roman"/>
                <w:color w:val="auto"/>
                <w:sz w:val="24"/>
                <w:szCs w:val="24"/>
              </w:rPr>
              <w:t>7</w:t>
            </w:r>
            <w:r w:rsidRPr="008B01D4">
              <w:rPr>
                <w:rFonts w:ascii="Times New Roman" w:hAnsi="Times New Roman" w:cs="Times New Roman"/>
                <w:color w:val="auto"/>
                <w:sz w:val="24"/>
                <w:szCs w:val="24"/>
              </w:rPr>
              <w:t>. Comparability Plan with Younger HCE</w:t>
            </w:r>
          </w:p>
        </w:tc>
      </w:tr>
      <w:tr w:rsidR="00FD6D4E"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jc w:val="center"/>
            </w:pPr>
          </w:p>
          <w:p w:rsidR="00C124B3" w:rsidRPr="008B01D4" w:rsidRDefault="00C124B3" w:rsidP="00E826AF">
            <w:pPr>
              <w:jc w:val="center"/>
            </w:pP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Salary</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Age</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Employer Contribution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Forfeitures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Future Value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Accrual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Accrual Rate</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24B3" w:rsidRPr="008B01D4" w:rsidRDefault="00C124B3" w:rsidP="00E826AF">
            <w:pPr>
              <w:suppressAutoHyphens/>
              <w:jc w:val="center"/>
            </w:pPr>
            <w:r w:rsidRPr="008B01D4">
              <w:rPr>
                <w:b/>
                <w:bCs/>
                <w:i/>
                <w:iCs/>
              </w:rPr>
              <w:t xml:space="preserve">Accrual W Perm </w:t>
            </w:r>
            <w:proofErr w:type="spellStart"/>
            <w:r w:rsidRPr="008B01D4">
              <w:rPr>
                <w:b/>
                <w:bCs/>
                <w:i/>
                <w:iCs/>
              </w:rPr>
              <w:t>Disp</w:t>
            </w:r>
            <w:proofErr w:type="spellEnd"/>
          </w:p>
        </w:tc>
      </w:tr>
      <w:tr w:rsidR="00FD6D4E" w:rsidRPr="008B01D4" w:rsidTr="00305D23">
        <w:trPr>
          <w:trHeight w:val="351"/>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pPr>
            <w:r w:rsidRPr="008B01D4">
              <w:t>HCE #1</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305D23">
            <w:pPr>
              <w:jc w:val="right"/>
            </w:pPr>
            <w:r w:rsidRPr="008B01D4">
              <w:t>$2</w:t>
            </w:r>
            <w:r w:rsidR="00305D23">
              <w:t>5</w:t>
            </w:r>
            <w:r w:rsidRPr="008B01D4">
              <w:t>5,000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center"/>
            </w:pPr>
            <w:r w:rsidRPr="008B01D4">
              <w:t>60</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305D23">
            <w:pPr>
              <w:ind w:right="157"/>
              <w:jc w:val="right"/>
            </w:pPr>
            <w:r w:rsidRPr="008B01D4">
              <w:t>$</w:t>
            </w:r>
            <w:r w:rsidR="00305D23">
              <w:t>51</w:t>
            </w:r>
            <w:r w:rsidRPr="008B01D4">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305D23">
            <w:r w:rsidRPr="008B01D4">
              <w:t xml:space="preserve">$ </w:t>
            </w:r>
            <w:r w:rsidRPr="008B01D4">
              <w:rPr>
                <w:spacing w:val="9"/>
              </w:rPr>
              <w:t>7</w:t>
            </w:r>
            <w:r w:rsidR="00305D23">
              <w:rPr>
                <w:spacing w:val="9"/>
              </w:rPr>
              <w:t>3</w:t>
            </w:r>
            <w:r w:rsidRPr="008B01D4">
              <w:rPr>
                <w:spacing w:val="9"/>
              </w:rPr>
              <w:t>,</w:t>
            </w:r>
            <w:r w:rsidR="00305D23">
              <w:rPr>
                <w:spacing w:val="9"/>
              </w:rPr>
              <w:t>217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305D23">
            <w:pPr>
              <w:jc w:val="right"/>
            </w:pPr>
            <w:r w:rsidRPr="008B01D4">
              <w:t>$ 6,3</w:t>
            </w:r>
            <w:r w:rsidR="00305D23">
              <w:t>8</w:t>
            </w:r>
            <w:r w:rsidRPr="008B01D4">
              <w:t>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ind w:right="58"/>
              <w:jc w:val="right"/>
            </w:pPr>
            <w:r w:rsidRPr="008B01D4">
              <w:t>2.505%</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ind w:right="58"/>
              <w:jc w:val="right"/>
            </w:pPr>
            <w:r w:rsidRPr="008B01D4">
              <w:t>2.632%</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suppressAutoHyphens/>
            </w:pPr>
            <w:r w:rsidRPr="008B01D4">
              <w:t>HCE #2</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C47B01">
            <w:pPr>
              <w:jc w:val="right"/>
              <w:rPr>
                <w:u w:val="single"/>
              </w:rPr>
            </w:pPr>
            <w:r>
              <w:rPr>
                <w:u w:val="single"/>
              </w:rPr>
              <w:t>$</w:t>
            </w:r>
            <w:r w:rsidRPr="008B01D4">
              <w:rPr>
                <w:u w:val="single"/>
              </w:rPr>
              <w:t>1</w:t>
            </w:r>
            <w:r>
              <w:rPr>
                <w:u w:val="single"/>
              </w:rPr>
              <w:t>15</w:t>
            </w:r>
            <w:r w:rsidRPr="008B01D4">
              <w:rPr>
                <w:u w:val="single"/>
              </w:rPr>
              <w:t>,000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center"/>
            </w:pPr>
            <w:r w:rsidRPr="008B01D4">
              <w:t>45</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C47B01">
            <w:pPr>
              <w:ind w:right="157"/>
              <w:jc w:val="right"/>
              <w:rPr>
                <w:u w:val="single"/>
              </w:rPr>
            </w:pPr>
            <w:r w:rsidRPr="008B01D4">
              <w:rPr>
                <w:u w:val="single"/>
              </w:rPr>
              <w:t xml:space="preserve">  </w:t>
            </w:r>
            <w:r>
              <w:rPr>
                <w:u w:val="single"/>
              </w:rPr>
              <w:t>$</w:t>
            </w:r>
            <w:r w:rsidRPr="008B01D4">
              <w:rPr>
                <w:u w:val="single"/>
              </w:rPr>
              <w:t>2</w:t>
            </w:r>
            <w:r>
              <w:rPr>
                <w:u w:val="single"/>
              </w:rPr>
              <w:t>8</w:t>
            </w:r>
            <w:r w:rsidRPr="008B01D4">
              <w:rPr>
                <w:u w:val="single"/>
              </w:rPr>
              <w:t>,</w:t>
            </w:r>
            <w:r>
              <w:rPr>
                <w:u w:val="single"/>
              </w:rPr>
              <w:t>75</w:t>
            </w:r>
            <w:r w:rsidRPr="008B01D4">
              <w:rPr>
                <w:u w:val="single"/>
              </w:rPr>
              <w:t>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305D23">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C47B01">
            <w:r w:rsidRPr="008B01D4">
              <w:t>$1</w:t>
            </w:r>
            <w:r>
              <w:t>22</w:t>
            </w:r>
            <w:r w:rsidRPr="008B01D4">
              <w:t>,1</w:t>
            </w:r>
            <w:r>
              <w:t>26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C47B01">
            <w:pPr>
              <w:jc w:val="right"/>
            </w:pPr>
            <w:r w:rsidRPr="008B01D4">
              <w:t>$</w:t>
            </w:r>
            <w:r>
              <w:t>10</w:t>
            </w:r>
            <w:r w:rsidRPr="008B01D4">
              <w:t>,</w:t>
            </w:r>
            <w:r>
              <w:t>657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9.267%</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9.639%</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suppressAutoHyphens/>
              <w:rPr>
                <w:b/>
              </w:rPr>
            </w:pPr>
            <w:r w:rsidRPr="0033241C">
              <w:rPr>
                <w:b/>
              </w:rPr>
              <w:t>S TOTAL</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305D23">
            <w:pPr>
              <w:jc w:val="right"/>
              <w:rPr>
                <w:b/>
                <w:u w:val="single"/>
              </w:rPr>
            </w:pPr>
            <w:r w:rsidRPr="0033241C">
              <w:rPr>
                <w:b/>
                <w:u w:val="single"/>
              </w:rPr>
              <w:t>$370,000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305D23">
            <w:pPr>
              <w:ind w:right="157"/>
              <w:jc w:val="right"/>
              <w:rPr>
                <w:b/>
                <w:u w:val="single"/>
              </w:rPr>
            </w:pPr>
            <w:r w:rsidRPr="0033241C">
              <w:rPr>
                <w:b/>
                <w:u w:val="single"/>
              </w:rPr>
              <w:t>$79,750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ind w:right="134"/>
              <w:jc w:val="right"/>
              <w:rPr>
                <w:b/>
                <w:u w:val="single"/>
              </w:rPr>
            </w:pPr>
            <w:r w:rsidRPr="0033241C">
              <w:rPr>
                <w:b/>
                <w:u w:val="single"/>
              </w:rPr>
              <w:t>$    -   _</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pStyle w:val="NoParagraphStyle"/>
              <w:spacing w:line="240" w:lineRule="auto"/>
              <w:textAlignment w:val="auto"/>
              <w:rPr>
                <w:rFonts w:ascii="Times New Roman" w:hAnsi="Times New Roman" w:cs="Times New Roman"/>
                <w:color w:val="auto"/>
              </w:rPr>
            </w:pP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suppressAutoHyphens/>
            </w:pPr>
            <w:r w:rsidRPr="008B01D4">
              <w:t>NHCE #1</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rsidRPr="008B01D4">
              <w:t>$  25,000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center"/>
            </w:pPr>
            <w:r w:rsidRPr="008B01D4">
              <w:t>50</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57"/>
              <w:jc w:val="right"/>
            </w:pPr>
            <w:r w:rsidRPr="008B01D4">
              <w:t>$  1,025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34"/>
              <w:jc w:val="right"/>
            </w:pPr>
            <w:r w:rsidRPr="008B01D4">
              <w:t>$   625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r w:rsidRPr="008B01D4">
              <w:t>$  4,882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rsidRPr="008B01D4">
              <w:t>$</w:t>
            </w:r>
            <w:r w:rsidR="00B5027C">
              <w:t xml:space="preserve"> </w:t>
            </w:r>
            <w:r w:rsidRPr="008B01D4">
              <w:t xml:space="preserve">   426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1.704%</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2.404%</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suppressAutoHyphens/>
            </w:pPr>
            <w:r w:rsidRPr="008B01D4">
              <w:t>NHCE #2</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t xml:space="preserve">$  </w:t>
            </w:r>
            <w:r w:rsidRPr="008B01D4">
              <w:t>35,000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center"/>
            </w:pPr>
            <w:r w:rsidRPr="008B01D4">
              <w:t>38</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57"/>
              <w:jc w:val="right"/>
            </w:pPr>
            <w:r>
              <w:t xml:space="preserve">$  </w:t>
            </w:r>
            <w:r w:rsidRPr="008B01D4">
              <w:t>1,435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B5027C" w:rsidP="00E826AF">
            <w:pPr>
              <w:ind w:right="134"/>
              <w:jc w:val="right"/>
            </w:pPr>
            <w:r>
              <w:t xml:space="preserve">$   </w:t>
            </w:r>
            <w:r w:rsidR="00305D23" w:rsidRPr="008B01D4">
              <w:t>875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r w:rsidRPr="008B01D4">
              <w:t>$16,279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rsidRPr="008B01D4">
              <w:t>$ 1,421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4.059%</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4.709%</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suppressAutoHyphens/>
            </w:pPr>
            <w:r w:rsidRPr="008B01D4">
              <w:t>NHCE #3</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t xml:space="preserve">$  </w:t>
            </w:r>
            <w:r w:rsidRPr="008B01D4">
              <w:t>28,000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center"/>
            </w:pPr>
            <w:r w:rsidRPr="008B01D4">
              <w:t>29</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57"/>
              <w:jc w:val="right"/>
            </w:pPr>
            <w:r>
              <w:t xml:space="preserve">$  </w:t>
            </w:r>
            <w:r w:rsidRPr="008B01D4">
              <w:t>1,148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B5027C" w:rsidP="00E826AF">
            <w:pPr>
              <w:ind w:right="134"/>
              <w:jc w:val="right"/>
            </w:pPr>
            <w:r>
              <w:t xml:space="preserve">$   </w:t>
            </w:r>
            <w:r w:rsidR="00305D23" w:rsidRPr="008B01D4">
              <w:t>700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r w:rsidRPr="008B01D4">
              <w:t>$24,969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rsidRPr="008B01D4">
              <w:t>$ 2,179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7.782%</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8.432%</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suppressAutoHyphens/>
            </w:pPr>
            <w:r w:rsidRPr="008B01D4">
              <w:t>NHCE #4</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t xml:space="preserve">$  </w:t>
            </w:r>
            <w:r w:rsidRPr="008B01D4">
              <w:t>18,000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center"/>
            </w:pPr>
            <w:r w:rsidRPr="008B01D4">
              <w:t>25</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57"/>
              <w:jc w:val="right"/>
            </w:pPr>
            <w:r>
              <w:t xml:space="preserve">$     </w:t>
            </w:r>
            <w:r w:rsidRPr="008B01D4">
              <w:t>738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B5027C" w:rsidP="00E826AF">
            <w:pPr>
              <w:ind w:right="134"/>
              <w:jc w:val="right"/>
            </w:pPr>
            <w:r>
              <w:t xml:space="preserve">$   </w:t>
            </w:r>
            <w:r w:rsidR="00305D23" w:rsidRPr="008B01D4">
              <w:t>450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r w:rsidRPr="008B01D4">
              <w:t>$21,437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rsidRPr="008B01D4">
              <w:t>$ 1,871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10.392%</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11.042%</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suppressAutoHyphens/>
            </w:pPr>
            <w:r w:rsidRPr="008B01D4">
              <w:t>NHCE #5</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rPr>
                <w:u w:val="single"/>
              </w:rPr>
            </w:pPr>
            <w:r>
              <w:rPr>
                <w:u w:val="single"/>
              </w:rPr>
              <w:t xml:space="preserve">$  </w:t>
            </w:r>
            <w:r w:rsidRPr="008B01D4">
              <w:rPr>
                <w:u w:val="single"/>
              </w:rPr>
              <w:t>50,000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center"/>
            </w:pPr>
            <w:r w:rsidRPr="008B01D4">
              <w:t>48</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57"/>
              <w:jc w:val="right"/>
              <w:rPr>
                <w:u w:val="single"/>
              </w:rPr>
            </w:pPr>
            <w:r w:rsidRPr="008B01D4">
              <w:rPr>
                <w:u w:val="single"/>
              </w:rPr>
              <w:t xml:space="preserve">    </w:t>
            </w:r>
            <w:r>
              <w:rPr>
                <w:u w:val="single"/>
              </w:rPr>
              <w:t xml:space="preserve">$  </w:t>
            </w:r>
            <w:r w:rsidRPr="008B01D4">
              <w:rPr>
                <w:u w:val="single"/>
              </w:rPr>
              <w:t>2,050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134"/>
              <w:jc w:val="right"/>
              <w:rPr>
                <w:u w:val="single"/>
              </w:rPr>
            </w:pPr>
            <w:r w:rsidRPr="008B01D4">
              <w:rPr>
                <w:u w:val="single"/>
              </w:rPr>
              <w:t xml:space="preserve">  </w:t>
            </w:r>
            <w:r w:rsidR="00B5027C">
              <w:rPr>
                <w:u w:val="single"/>
              </w:rPr>
              <w:t>$</w:t>
            </w:r>
            <w:r w:rsidRPr="008B01D4">
              <w:rPr>
                <w:u w:val="single"/>
              </w:rPr>
              <w:t>1,250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r w:rsidRPr="008B01D4">
              <w:t>$11,284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jc w:val="right"/>
            </w:pPr>
            <w:r w:rsidRPr="008B01D4">
              <w:t xml:space="preserve">$ </w:t>
            </w:r>
            <w:r w:rsidR="00B5027C">
              <w:t xml:space="preserve"> </w:t>
            </w:r>
            <w:r w:rsidRPr="008B01D4">
              <w:t xml:space="preserve">  985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1.969%</w:t>
            </w: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8B01D4" w:rsidRDefault="00305D23" w:rsidP="00E826AF">
            <w:pPr>
              <w:ind w:right="58"/>
              <w:jc w:val="right"/>
            </w:pPr>
            <w:r w:rsidRPr="008B01D4">
              <w:t>2.669%</w:t>
            </w: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suppressAutoHyphens/>
              <w:rPr>
                <w:b/>
              </w:rPr>
            </w:pPr>
            <w:r w:rsidRPr="0033241C">
              <w:rPr>
                <w:b/>
              </w:rPr>
              <w:t>S TOTAL</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jc w:val="right"/>
              <w:rPr>
                <w:b/>
                <w:u w:val="single"/>
              </w:rPr>
            </w:pPr>
            <w:r w:rsidRPr="0033241C">
              <w:rPr>
                <w:b/>
                <w:u w:val="single"/>
              </w:rPr>
              <w:t>$156,000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ind w:right="157"/>
              <w:jc w:val="right"/>
              <w:rPr>
                <w:b/>
                <w:u w:val="single"/>
              </w:rPr>
            </w:pPr>
            <w:r w:rsidRPr="0033241C">
              <w:rPr>
                <w:b/>
                <w:u w:val="single"/>
              </w:rPr>
              <w:t>$  6,396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ind w:right="134"/>
              <w:jc w:val="right"/>
              <w:rPr>
                <w:b/>
                <w:u w:val="single"/>
              </w:rPr>
            </w:pPr>
            <w:r w:rsidRPr="0033241C">
              <w:rPr>
                <w:b/>
                <w:u w:val="single"/>
              </w:rPr>
              <w:t>$3,900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r>
      <w:tr w:rsidR="008F67C9"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suppressAutoHyphens/>
            </w:pP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jc w:val="right"/>
              <w:rPr>
                <w:u w:val="single"/>
              </w:rPr>
            </w:pP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pStyle w:val="NoParagraphStyle"/>
              <w:spacing w:line="240" w:lineRule="auto"/>
              <w:textAlignment w:val="auto"/>
              <w:rPr>
                <w:rFonts w:ascii="Times New Roman" w:hAnsi="Times New Roman" w:cs="Times New Roman"/>
                <w:color w:val="auto"/>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ind w:right="157"/>
              <w:jc w:val="right"/>
              <w:rPr>
                <w:u w:val="single"/>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ind w:right="134"/>
              <w:jc w:val="right"/>
              <w:rPr>
                <w:u w:val="single"/>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pStyle w:val="NoParagraphStyle"/>
              <w:spacing w:line="240" w:lineRule="auto"/>
              <w:textAlignment w:val="auto"/>
              <w:rPr>
                <w:rFonts w:ascii="Times New Roman" w:hAnsi="Times New Roman" w:cs="Times New Roman"/>
                <w:color w:val="auto"/>
              </w:rPr>
            </w:pP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67C9" w:rsidRPr="008B01D4" w:rsidRDefault="008F67C9" w:rsidP="00E826AF">
            <w:pPr>
              <w:pStyle w:val="NoParagraphStyle"/>
              <w:spacing w:line="240" w:lineRule="auto"/>
              <w:textAlignment w:val="auto"/>
              <w:rPr>
                <w:rFonts w:ascii="Times New Roman" w:hAnsi="Times New Roman" w:cs="Times New Roman"/>
                <w:color w:val="auto"/>
              </w:rPr>
            </w:pPr>
          </w:p>
        </w:tc>
      </w:tr>
      <w:tr w:rsidR="00305D23" w:rsidRPr="008B01D4" w:rsidTr="00305D23">
        <w:trPr>
          <w:trHeight w:val="60"/>
          <w:jc w:val="center"/>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suppressAutoHyphens/>
              <w:rPr>
                <w:b/>
              </w:rPr>
            </w:pPr>
            <w:r w:rsidRPr="0033241C">
              <w:rPr>
                <w:b/>
              </w:rPr>
              <w:t>TOTAL</w:t>
            </w: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305D23">
            <w:pPr>
              <w:jc w:val="right"/>
              <w:rPr>
                <w:b/>
                <w:u w:val="single"/>
              </w:rPr>
            </w:pPr>
            <w:r w:rsidRPr="0033241C">
              <w:rPr>
                <w:b/>
                <w:u w:val="single"/>
              </w:rPr>
              <w:t>$526,000</w:t>
            </w:r>
          </w:p>
        </w:tc>
        <w:tc>
          <w:tcPr>
            <w:tcW w:w="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305D23">
            <w:pPr>
              <w:ind w:right="157"/>
              <w:jc w:val="right"/>
              <w:rPr>
                <w:b/>
                <w:u w:val="single"/>
              </w:rPr>
            </w:pPr>
            <w:r w:rsidRPr="0033241C">
              <w:rPr>
                <w:b/>
                <w:u w:val="single"/>
              </w:rPr>
              <w:t>$86,146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ind w:right="134"/>
              <w:jc w:val="right"/>
              <w:rPr>
                <w:b/>
                <w:u w:val="single"/>
              </w:rPr>
            </w:pPr>
            <w:r w:rsidRPr="0033241C">
              <w:rPr>
                <w:b/>
                <w:u w:val="single"/>
              </w:rPr>
              <w:t>$3,900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c>
          <w:tcPr>
            <w:tcW w:w="12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5D23" w:rsidRPr="0033241C" w:rsidRDefault="00305D23" w:rsidP="00E826AF">
            <w:pPr>
              <w:pStyle w:val="NoParagraphStyle"/>
              <w:spacing w:line="240" w:lineRule="auto"/>
              <w:textAlignment w:val="auto"/>
              <w:rPr>
                <w:rFonts w:ascii="Times New Roman" w:hAnsi="Times New Roman" w:cs="Times New Roman"/>
                <w:b/>
                <w:color w:val="auto"/>
              </w:rPr>
            </w:pPr>
          </w:p>
        </w:tc>
      </w:tr>
    </w:tbl>
    <w:p w:rsidR="00C124B3" w:rsidRDefault="00C124B3" w:rsidP="00C124B3">
      <w:pPr>
        <w:pStyle w:val="PA"/>
      </w:pPr>
    </w:p>
    <w:p w:rsidR="00C124B3"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 xml:space="preserve">In Table </w:t>
      </w:r>
      <w:r w:rsidR="005145A8">
        <w:rPr>
          <w:rFonts w:ascii="Times New Roman" w:hAnsi="Times New Roman" w:cs="Times New Roman"/>
          <w:sz w:val="24"/>
          <w:szCs w:val="24"/>
        </w:rPr>
        <w:t>4</w:t>
      </w:r>
      <w:r w:rsidRPr="008B01D4">
        <w:rPr>
          <w:rFonts w:ascii="Times New Roman" w:hAnsi="Times New Roman" w:cs="Times New Roman"/>
          <w:sz w:val="24"/>
          <w:szCs w:val="24"/>
        </w:rPr>
        <w:t>-</w:t>
      </w:r>
      <w:r w:rsidR="005145A8">
        <w:rPr>
          <w:rFonts w:ascii="Times New Roman" w:hAnsi="Times New Roman" w:cs="Times New Roman"/>
          <w:sz w:val="24"/>
          <w:szCs w:val="24"/>
        </w:rPr>
        <w:t>7</w:t>
      </w:r>
      <w:r w:rsidRPr="008B01D4">
        <w:rPr>
          <w:rFonts w:ascii="Times New Roman" w:hAnsi="Times New Roman" w:cs="Times New Roman"/>
          <w:sz w:val="24"/>
          <w:szCs w:val="24"/>
        </w:rPr>
        <w:t xml:space="preserve">, the two HCEs are age </w:t>
      </w:r>
      <w:r w:rsidR="00EC5196">
        <w:rPr>
          <w:rFonts w:ascii="Times New Roman" w:hAnsi="Times New Roman" w:cs="Times New Roman"/>
          <w:sz w:val="24"/>
          <w:szCs w:val="24"/>
        </w:rPr>
        <w:t>sixty</w:t>
      </w:r>
      <w:r w:rsidR="00EC5196" w:rsidRPr="008B01D4">
        <w:rPr>
          <w:rFonts w:ascii="Times New Roman" w:hAnsi="Times New Roman" w:cs="Times New Roman"/>
          <w:sz w:val="24"/>
          <w:szCs w:val="24"/>
        </w:rPr>
        <w:t xml:space="preserve"> </w:t>
      </w:r>
      <w:r w:rsidRPr="008B01D4">
        <w:rPr>
          <w:rFonts w:ascii="Times New Roman" w:hAnsi="Times New Roman" w:cs="Times New Roman"/>
          <w:sz w:val="24"/>
          <w:szCs w:val="24"/>
        </w:rPr>
        <w:t xml:space="preserve">and </w:t>
      </w:r>
      <w:r w:rsidR="00EC5196">
        <w:rPr>
          <w:rFonts w:ascii="Times New Roman" w:hAnsi="Times New Roman" w:cs="Times New Roman"/>
          <w:sz w:val="24"/>
          <w:szCs w:val="24"/>
        </w:rPr>
        <w:t>forty-five</w:t>
      </w:r>
      <w:r w:rsidRPr="008B01D4">
        <w:rPr>
          <w:rFonts w:ascii="Times New Roman" w:hAnsi="Times New Roman" w:cs="Times New Roman"/>
          <w:sz w:val="24"/>
          <w:szCs w:val="24"/>
        </w:rPr>
        <w:t>.  The results would be more favorable to the HCEs by using permitted disparity.</w:t>
      </w:r>
    </w:p>
    <w:p w:rsidR="005145A8" w:rsidRPr="008B01D4" w:rsidRDefault="005145A8" w:rsidP="008B01D4">
      <w:pPr>
        <w:pStyle w:val="NoSpacing"/>
        <w:ind w:left="1080"/>
        <w:rPr>
          <w:rFonts w:ascii="Times New Roman" w:hAnsi="Times New Roman" w:cs="Times New Roman"/>
          <w:sz w:val="24"/>
          <w:szCs w:val="24"/>
        </w:rPr>
      </w:pPr>
    </w:p>
    <w:p w:rsidR="00C124B3"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The first rate group consists of HCE 2 and NHCE 4. The second rate group consists of HCE 2, HCE 1, NHCE 2, NHCE 3, NHCE 4, and NHCE 5.</w:t>
      </w:r>
    </w:p>
    <w:p w:rsidR="008B01D4" w:rsidRPr="008B01D4" w:rsidRDefault="008B01D4" w:rsidP="008B01D4">
      <w:pPr>
        <w:pStyle w:val="NoSpacing"/>
        <w:ind w:left="108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94"/>
        <w:gridCol w:w="1020"/>
        <w:gridCol w:w="1073"/>
        <w:gridCol w:w="1101"/>
      </w:tblGrid>
      <w:tr w:rsidR="00C124B3" w:rsidRPr="00E224E1" w:rsidTr="00E826AF">
        <w:trPr>
          <w:trHeight w:val="60"/>
          <w:jc w:val="center"/>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5145A8">
            <w:pPr>
              <w:pStyle w:val="TableHead"/>
              <w:rPr>
                <w:rFonts w:ascii="Times New Roman" w:hAnsi="Times New Roman" w:cs="Times New Roman"/>
                <w:color w:val="auto"/>
                <w:sz w:val="24"/>
                <w:szCs w:val="24"/>
              </w:rPr>
            </w:pPr>
            <w:r w:rsidRPr="008B01D4">
              <w:rPr>
                <w:rFonts w:ascii="Times New Roman" w:hAnsi="Times New Roman" w:cs="Times New Roman"/>
                <w:color w:val="auto"/>
                <w:sz w:val="24"/>
                <w:szCs w:val="24"/>
              </w:rPr>
              <w:t xml:space="preserve">Table </w:t>
            </w:r>
            <w:r w:rsidR="005145A8">
              <w:rPr>
                <w:rFonts w:ascii="Times New Roman" w:hAnsi="Times New Roman" w:cs="Times New Roman"/>
                <w:color w:val="auto"/>
                <w:sz w:val="24"/>
                <w:szCs w:val="24"/>
              </w:rPr>
              <w:t>4</w:t>
            </w:r>
            <w:r w:rsidRPr="008B01D4">
              <w:rPr>
                <w:rFonts w:ascii="Times New Roman" w:hAnsi="Times New Roman" w:cs="Times New Roman"/>
                <w:color w:val="auto"/>
                <w:sz w:val="24"/>
                <w:szCs w:val="24"/>
              </w:rPr>
              <w:t>-</w:t>
            </w:r>
            <w:r w:rsidR="005145A8">
              <w:rPr>
                <w:rFonts w:ascii="Times New Roman" w:hAnsi="Times New Roman" w:cs="Times New Roman"/>
                <w:color w:val="auto"/>
                <w:sz w:val="24"/>
                <w:szCs w:val="24"/>
              </w:rPr>
              <w:t>8</w:t>
            </w:r>
            <w:r w:rsidRPr="008B01D4">
              <w:rPr>
                <w:rFonts w:ascii="Times New Roman" w:hAnsi="Times New Roman" w:cs="Times New Roman"/>
                <w:color w:val="auto"/>
                <w:sz w:val="24"/>
                <w:szCs w:val="24"/>
              </w:rPr>
              <w:t>. Ratio Percentage Test</w:t>
            </w:r>
          </w:p>
        </w:tc>
      </w:tr>
      <w:tr w:rsidR="00C124B3" w:rsidRPr="00E224E1" w:rsidTr="00E826AF">
        <w:trPr>
          <w:trHeight w:val="60"/>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center"/>
              <w:rPr>
                <w:u w:val="single"/>
              </w:rPr>
            </w:pPr>
            <w:r w:rsidRPr="008B01D4">
              <w:rPr>
                <w:b/>
                <w:bCs/>
                <w:i/>
                <w:iCs/>
                <w:u w:val="single"/>
              </w:rPr>
              <w:t>First Rate Group:</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suppressAutoHyphens/>
              <w:jc w:val="center"/>
              <w:rPr>
                <w:u w:val="single"/>
              </w:rPr>
            </w:pPr>
            <w:r w:rsidRPr="008B01D4">
              <w:rPr>
                <w:b/>
                <w:bCs/>
                <w:i/>
                <w:iCs/>
                <w:u w:val="single"/>
              </w:rPr>
              <w:t>Second Rate Group:</w:t>
            </w:r>
          </w:p>
        </w:tc>
      </w:tr>
      <w:tr w:rsidR="00C124B3" w:rsidRPr="00E224E1" w:rsidTr="00E826AF">
        <w:trPr>
          <w:trHeight w:val="2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9.639%</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9.639%</w:t>
            </w:r>
          </w:p>
        </w:tc>
      </w:tr>
      <w:tr w:rsidR="00C124B3" w:rsidRPr="00E224E1"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HCE 1</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2.640%</w:t>
            </w:r>
          </w:p>
        </w:tc>
      </w:tr>
      <w:tr w:rsidR="00C124B3" w:rsidRPr="00E224E1"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4.709%</w:t>
            </w:r>
          </w:p>
        </w:tc>
      </w:tr>
      <w:tr w:rsidR="00C124B3" w:rsidRPr="00E224E1"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3</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8.432%</w:t>
            </w:r>
          </w:p>
        </w:tc>
      </w:tr>
      <w:tr w:rsidR="00C124B3" w:rsidRPr="00E224E1"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11.042%</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11.042%</w:t>
            </w:r>
          </w:p>
        </w:tc>
      </w:tr>
      <w:tr w:rsidR="00C124B3" w:rsidRPr="00E224E1"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124B3" w:rsidRPr="008B01D4" w:rsidRDefault="00C124B3" w:rsidP="00E826AF">
            <w:r w:rsidRPr="008B01D4">
              <w:t>NHCE 5</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124B3" w:rsidRPr="008B01D4" w:rsidRDefault="00C124B3" w:rsidP="00E826AF">
            <w:pPr>
              <w:jc w:val="right"/>
            </w:pPr>
            <w:r w:rsidRPr="008B01D4">
              <w:t>2.669%</w:t>
            </w:r>
          </w:p>
        </w:tc>
      </w:tr>
    </w:tbl>
    <w:p w:rsidR="00C124B3" w:rsidRDefault="00C124B3" w:rsidP="00C124B3">
      <w:pPr>
        <w:pStyle w:val="PA"/>
      </w:pPr>
    </w:p>
    <w:p w:rsidR="0092091F" w:rsidRDefault="00C124B3" w:rsidP="008B01D4">
      <w:pPr>
        <w:pStyle w:val="NoSpacing"/>
        <w:ind w:left="1080"/>
        <w:rPr>
          <w:rFonts w:ascii="Times New Roman" w:hAnsi="Times New Roman" w:cs="Times New Roman"/>
          <w:sz w:val="24"/>
          <w:szCs w:val="24"/>
        </w:rPr>
      </w:pPr>
      <w:r w:rsidRPr="008B01D4">
        <w:rPr>
          <w:rFonts w:ascii="Times New Roman" w:hAnsi="Times New Roman" w:cs="Times New Roman"/>
          <w:sz w:val="24"/>
          <w:szCs w:val="24"/>
        </w:rPr>
        <w:t xml:space="preserve">Again, as in the prior two examples, one out of two HCEs </w:t>
      </w:r>
      <w:r w:rsidR="0092091F">
        <w:rPr>
          <w:rFonts w:ascii="Times New Roman" w:hAnsi="Times New Roman" w:cs="Times New Roman"/>
          <w:sz w:val="24"/>
          <w:szCs w:val="24"/>
        </w:rPr>
        <w:t>is</w:t>
      </w:r>
      <w:r w:rsidR="0092091F" w:rsidRPr="008B01D4">
        <w:rPr>
          <w:rFonts w:ascii="Times New Roman" w:hAnsi="Times New Roman" w:cs="Times New Roman"/>
          <w:sz w:val="24"/>
          <w:szCs w:val="24"/>
        </w:rPr>
        <w:t xml:space="preserve"> </w:t>
      </w:r>
      <w:r w:rsidRPr="008B01D4">
        <w:rPr>
          <w:rFonts w:ascii="Times New Roman" w:hAnsi="Times New Roman" w:cs="Times New Roman"/>
          <w:sz w:val="24"/>
          <w:szCs w:val="24"/>
        </w:rPr>
        <w:t>in the first rate group</w:t>
      </w:r>
      <w:r w:rsidR="00EC5196">
        <w:rPr>
          <w:rFonts w:ascii="Times New Roman" w:hAnsi="Times New Roman" w:cs="Times New Roman"/>
          <w:sz w:val="24"/>
          <w:szCs w:val="24"/>
        </w:rPr>
        <w:t>,</w:t>
      </w:r>
      <w:r w:rsidRPr="008B01D4">
        <w:rPr>
          <w:rFonts w:ascii="Times New Roman" w:hAnsi="Times New Roman" w:cs="Times New Roman"/>
          <w:sz w:val="24"/>
          <w:szCs w:val="24"/>
        </w:rPr>
        <w:t xml:space="preserve"> </w:t>
      </w:r>
      <w:r w:rsidR="00EC5196">
        <w:rPr>
          <w:rFonts w:ascii="Times New Roman" w:hAnsi="Times New Roman" w:cs="Times New Roman"/>
          <w:sz w:val="24"/>
          <w:szCs w:val="24"/>
        </w:rPr>
        <w:t>which</w:t>
      </w:r>
      <w:r w:rsidR="00EC5196" w:rsidRPr="008B01D4">
        <w:rPr>
          <w:rFonts w:ascii="Times New Roman" w:hAnsi="Times New Roman" w:cs="Times New Roman"/>
          <w:sz w:val="24"/>
          <w:szCs w:val="24"/>
        </w:rPr>
        <w:t xml:space="preserve"> </w:t>
      </w:r>
      <w:r w:rsidRPr="008B01D4">
        <w:rPr>
          <w:rFonts w:ascii="Times New Roman" w:hAnsi="Times New Roman" w:cs="Times New Roman"/>
          <w:sz w:val="24"/>
          <w:szCs w:val="24"/>
        </w:rPr>
        <w:t>represents 50</w:t>
      </w:r>
      <w:r w:rsidR="0092091F">
        <w:rPr>
          <w:rFonts w:ascii="Times New Roman" w:hAnsi="Times New Roman" w:cs="Times New Roman"/>
          <w:sz w:val="24"/>
          <w:szCs w:val="24"/>
        </w:rPr>
        <w:t xml:space="preserve"> percent</w:t>
      </w:r>
      <w:r w:rsidR="0092091F" w:rsidRPr="008B01D4">
        <w:rPr>
          <w:rFonts w:ascii="Times New Roman" w:hAnsi="Times New Roman" w:cs="Times New Roman"/>
          <w:sz w:val="24"/>
          <w:szCs w:val="24"/>
        </w:rPr>
        <w:t xml:space="preserve"> </w:t>
      </w:r>
      <w:r w:rsidRPr="008B01D4">
        <w:rPr>
          <w:rFonts w:ascii="Times New Roman" w:hAnsi="Times New Roman" w:cs="Times New Roman"/>
          <w:sz w:val="24"/>
          <w:szCs w:val="24"/>
        </w:rPr>
        <w:t xml:space="preserve">of the HCEs.  One out of five NHCEs </w:t>
      </w:r>
      <w:r w:rsidR="0092091F">
        <w:rPr>
          <w:rFonts w:ascii="Times New Roman" w:hAnsi="Times New Roman" w:cs="Times New Roman"/>
          <w:sz w:val="24"/>
          <w:szCs w:val="24"/>
        </w:rPr>
        <w:t>is</w:t>
      </w:r>
      <w:r w:rsidR="0092091F" w:rsidRPr="008B01D4">
        <w:rPr>
          <w:rFonts w:ascii="Times New Roman" w:hAnsi="Times New Roman" w:cs="Times New Roman"/>
          <w:sz w:val="24"/>
          <w:szCs w:val="24"/>
        </w:rPr>
        <w:t xml:space="preserve"> </w:t>
      </w:r>
      <w:r w:rsidRPr="008B01D4">
        <w:rPr>
          <w:rFonts w:ascii="Times New Roman" w:hAnsi="Times New Roman" w:cs="Times New Roman"/>
          <w:sz w:val="24"/>
          <w:szCs w:val="24"/>
        </w:rPr>
        <w:t>in the same rate group</w:t>
      </w:r>
      <w:r w:rsidR="00EC5196">
        <w:rPr>
          <w:rFonts w:ascii="Times New Roman" w:hAnsi="Times New Roman" w:cs="Times New Roman"/>
          <w:sz w:val="24"/>
          <w:szCs w:val="24"/>
        </w:rPr>
        <w:t>,</w:t>
      </w:r>
      <w:r w:rsidRPr="008B01D4">
        <w:rPr>
          <w:rFonts w:ascii="Times New Roman" w:hAnsi="Times New Roman" w:cs="Times New Roman"/>
          <w:sz w:val="24"/>
          <w:szCs w:val="24"/>
        </w:rPr>
        <w:t xml:space="preserve"> representing 20</w:t>
      </w:r>
      <w:r w:rsidR="0092091F">
        <w:rPr>
          <w:rFonts w:ascii="Times New Roman" w:hAnsi="Times New Roman" w:cs="Times New Roman"/>
          <w:sz w:val="24"/>
          <w:szCs w:val="24"/>
        </w:rPr>
        <w:t xml:space="preserve"> percent</w:t>
      </w:r>
      <w:r w:rsidR="0092091F" w:rsidRPr="008B01D4">
        <w:rPr>
          <w:rFonts w:ascii="Times New Roman" w:hAnsi="Times New Roman" w:cs="Times New Roman"/>
          <w:sz w:val="24"/>
          <w:szCs w:val="24"/>
        </w:rPr>
        <w:t xml:space="preserve"> </w:t>
      </w:r>
      <w:r w:rsidRPr="008B01D4">
        <w:rPr>
          <w:rFonts w:ascii="Times New Roman" w:hAnsi="Times New Roman" w:cs="Times New Roman"/>
          <w:sz w:val="24"/>
          <w:szCs w:val="24"/>
        </w:rPr>
        <w:t xml:space="preserve">of the NHCEs.  </w:t>
      </w:r>
    </w:p>
    <w:p w:rsidR="0092091F" w:rsidRDefault="0092091F" w:rsidP="008B01D4">
      <w:pPr>
        <w:pStyle w:val="NoSpacing"/>
        <w:ind w:left="1080"/>
        <w:rPr>
          <w:rFonts w:ascii="Times New Roman" w:hAnsi="Times New Roman" w:cs="Times New Roman"/>
          <w:sz w:val="24"/>
          <w:szCs w:val="24"/>
        </w:rPr>
      </w:pPr>
    </w:p>
    <w:p w:rsidR="0092091F" w:rsidRDefault="0092091F" w:rsidP="008B01D4">
      <w:pPr>
        <w:pStyle w:val="NoSpacing"/>
        <w:ind w:left="1080"/>
        <w:rPr>
          <w:rFonts w:ascii="Times New Roman" w:hAnsi="Times New Roman" w:cs="Times New Roman"/>
          <w:sz w:val="24"/>
          <w:szCs w:val="24"/>
        </w:rPr>
      </w:pPr>
    </w:p>
    <w:p w:rsidR="0092091F" w:rsidRDefault="0092091F" w:rsidP="008B01D4">
      <w:pPr>
        <w:pStyle w:val="NoSpacing"/>
        <w:ind w:left="1080"/>
        <w:rPr>
          <w:rFonts w:ascii="Times New Roman" w:hAnsi="Times New Roman" w:cs="Times New Roman"/>
          <w:sz w:val="24"/>
          <w:szCs w:val="24"/>
        </w:rPr>
      </w:pPr>
      <w:r>
        <w:rPr>
          <w:rFonts w:ascii="Times New Roman" w:hAnsi="Times New Roman" w:cs="Times New Roman"/>
          <w:sz w:val="24"/>
          <w:szCs w:val="24"/>
        </w:rPr>
        <w:t>20% / 50% = 40%</w:t>
      </w:r>
    </w:p>
    <w:p w:rsidR="0092091F" w:rsidRDefault="0092091F" w:rsidP="008B01D4">
      <w:pPr>
        <w:pStyle w:val="NoSpacing"/>
        <w:ind w:left="1080"/>
        <w:rPr>
          <w:rFonts w:ascii="Times New Roman" w:hAnsi="Times New Roman" w:cs="Times New Roman"/>
          <w:sz w:val="24"/>
          <w:szCs w:val="24"/>
        </w:rPr>
      </w:pPr>
    </w:p>
    <w:p w:rsidR="0092091F" w:rsidRDefault="0092091F" w:rsidP="008B01D4">
      <w:pPr>
        <w:pStyle w:val="NoSpacing"/>
        <w:ind w:left="1080"/>
        <w:rPr>
          <w:rFonts w:ascii="Times New Roman" w:hAnsi="Times New Roman" w:cs="Times New Roman"/>
          <w:sz w:val="24"/>
          <w:szCs w:val="24"/>
        </w:rPr>
      </w:pPr>
      <w:r>
        <w:rPr>
          <w:rFonts w:ascii="Times New Roman" w:hAnsi="Times New Roman" w:cs="Times New Roman"/>
          <w:sz w:val="24"/>
          <w:szCs w:val="24"/>
        </w:rPr>
        <w:t>Because</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the result is less than 70</w:t>
      </w:r>
      <w:r>
        <w:rPr>
          <w:rFonts w:ascii="Times New Roman" w:hAnsi="Times New Roman" w:cs="Times New Roman"/>
          <w:sz w:val="24"/>
          <w:szCs w:val="24"/>
        </w:rPr>
        <w:t xml:space="preserve"> percent,</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the test is not passed for the first rate group.  The second rate group includes both HCEs so 100</w:t>
      </w:r>
      <w:r>
        <w:rPr>
          <w:rFonts w:ascii="Times New Roman" w:hAnsi="Times New Roman" w:cs="Times New Roman"/>
          <w:sz w:val="24"/>
          <w:szCs w:val="24"/>
        </w:rPr>
        <w:t xml:space="preserve"> percent</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 xml:space="preserve">of the HCEs are included.  Four of the NHCEs are included or </w:t>
      </w:r>
      <w:r>
        <w:rPr>
          <w:rFonts w:ascii="Times New Roman" w:hAnsi="Times New Roman" w:cs="Times New Roman"/>
          <w:sz w:val="24"/>
          <w:szCs w:val="24"/>
        </w:rPr>
        <w:t>80</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 xml:space="preserve">percent.  </w:t>
      </w:r>
    </w:p>
    <w:p w:rsidR="0092091F" w:rsidRDefault="0092091F" w:rsidP="008B01D4">
      <w:pPr>
        <w:pStyle w:val="NoSpacing"/>
        <w:ind w:left="1080"/>
        <w:rPr>
          <w:rFonts w:ascii="Times New Roman" w:hAnsi="Times New Roman" w:cs="Times New Roman"/>
          <w:sz w:val="24"/>
          <w:szCs w:val="24"/>
        </w:rPr>
      </w:pPr>
    </w:p>
    <w:p w:rsidR="0092091F" w:rsidRDefault="0092091F" w:rsidP="008B01D4">
      <w:pPr>
        <w:pStyle w:val="NoSpacing"/>
        <w:ind w:left="1080"/>
        <w:rPr>
          <w:rFonts w:ascii="Times New Roman" w:hAnsi="Times New Roman" w:cs="Times New Roman"/>
          <w:sz w:val="24"/>
          <w:szCs w:val="24"/>
        </w:rPr>
      </w:pPr>
    </w:p>
    <w:p w:rsidR="0092091F" w:rsidRDefault="0092091F" w:rsidP="0092091F">
      <w:pPr>
        <w:pStyle w:val="NoSpacing"/>
        <w:ind w:left="1080"/>
        <w:rPr>
          <w:rFonts w:ascii="Times New Roman" w:hAnsi="Times New Roman" w:cs="Times New Roman"/>
          <w:sz w:val="24"/>
          <w:szCs w:val="24"/>
        </w:rPr>
      </w:pPr>
      <w:r>
        <w:rPr>
          <w:rFonts w:ascii="Times New Roman" w:hAnsi="Times New Roman" w:cs="Times New Roman"/>
          <w:sz w:val="24"/>
          <w:szCs w:val="24"/>
        </w:rPr>
        <w:t>80% / 100% = 80%</w:t>
      </w:r>
    </w:p>
    <w:p w:rsidR="0092091F" w:rsidRDefault="0092091F" w:rsidP="008B01D4">
      <w:pPr>
        <w:pStyle w:val="NoSpacing"/>
        <w:ind w:left="1080"/>
        <w:rPr>
          <w:rFonts w:ascii="Times New Roman" w:hAnsi="Times New Roman" w:cs="Times New Roman"/>
          <w:sz w:val="24"/>
          <w:szCs w:val="24"/>
        </w:rPr>
      </w:pPr>
    </w:p>
    <w:p w:rsidR="00C124B3" w:rsidRPr="008B01D4" w:rsidRDefault="0092091F" w:rsidP="008B01D4">
      <w:pPr>
        <w:pStyle w:val="NoSpacing"/>
        <w:ind w:left="1080"/>
        <w:rPr>
          <w:rFonts w:ascii="Times New Roman" w:hAnsi="Times New Roman" w:cs="Times New Roman"/>
          <w:sz w:val="24"/>
          <w:szCs w:val="24"/>
        </w:rPr>
      </w:pPr>
      <w:r>
        <w:rPr>
          <w:rFonts w:ascii="Times New Roman" w:hAnsi="Times New Roman" w:cs="Times New Roman"/>
          <w:sz w:val="24"/>
          <w:szCs w:val="24"/>
        </w:rPr>
        <w:t>T</w:t>
      </w:r>
      <w:r w:rsidR="00C124B3" w:rsidRPr="008B01D4">
        <w:rPr>
          <w:rFonts w:ascii="Times New Roman" w:hAnsi="Times New Roman" w:cs="Times New Roman"/>
          <w:sz w:val="24"/>
          <w:szCs w:val="24"/>
        </w:rPr>
        <w:t xml:space="preserve">he second rate group passes.  </w:t>
      </w:r>
      <w:r>
        <w:rPr>
          <w:rFonts w:ascii="Times New Roman" w:hAnsi="Times New Roman" w:cs="Times New Roman"/>
          <w:sz w:val="24"/>
          <w:szCs w:val="24"/>
        </w:rPr>
        <w:t>Because</w:t>
      </w:r>
      <w:r w:rsidRPr="008B01D4">
        <w:rPr>
          <w:rFonts w:ascii="Times New Roman" w:hAnsi="Times New Roman" w:cs="Times New Roman"/>
          <w:sz w:val="24"/>
          <w:szCs w:val="24"/>
        </w:rPr>
        <w:t xml:space="preserve"> </w:t>
      </w:r>
      <w:r w:rsidR="00C124B3" w:rsidRPr="008B01D4">
        <w:rPr>
          <w:rFonts w:ascii="Times New Roman" w:hAnsi="Times New Roman" w:cs="Times New Roman"/>
          <w:sz w:val="24"/>
          <w:szCs w:val="24"/>
        </w:rPr>
        <w:t>the first rate group does not pass</w:t>
      </w:r>
      <w:r w:rsidR="000E3760">
        <w:rPr>
          <w:rFonts w:ascii="Times New Roman" w:hAnsi="Times New Roman" w:cs="Times New Roman"/>
          <w:sz w:val="24"/>
          <w:szCs w:val="24"/>
        </w:rPr>
        <w:t>,</w:t>
      </w:r>
      <w:r w:rsidR="00C124B3" w:rsidRPr="008B01D4">
        <w:rPr>
          <w:rFonts w:ascii="Times New Roman" w:hAnsi="Times New Roman" w:cs="Times New Roman"/>
          <w:sz w:val="24"/>
          <w:szCs w:val="24"/>
        </w:rPr>
        <w:t xml:space="preserve"> the overall test is not passed.</w:t>
      </w:r>
    </w:p>
    <w:p w:rsidR="00C124B3" w:rsidRDefault="00C124B3" w:rsidP="00C124B3">
      <w:pPr>
        <w:pStyle w:val="NoSpacing"/>
        <w:ind w:left="1080"/>
        <w:rPr>
          <w:rFonts w:ascii="Times New Roman" w:hAnsi="Times New Roman" w:cs="Times New Roman"/>
          <w:sz w:val="24"/>
          <w:szCs w:val="24"/>
        </w:rPr>
      </w:pPr>
    </w:p>
    <w:p w:rsidR="003B56BE" w:rsidRPr="00E7323E" w:rsidRDefault="003B56BE" w:rsidP="003B56BE">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Pr>
          <w:rFonts w:ascii="Times New Roman" w:hAnsi="Times New Roman" w:cs="Times New Roman"/>
          <w:b/>
          <w:sz w:val="24"/>
          <w:szCs w:val="24"/>
        </w:rPr>
        <w:t>2</w:t>
      </w:r>
      <w:r w:rsidR="0074138B">
        <w:rPr>
          <w:rFonts w:ascii="Times New Roman" w:hAnsi="Times New Roman" w:cs="Times New Roman"/>
          <w:b/>
          <w:sz w:val="24"/>
          <w:szCs w:val="24"/>
        </w:rPr>
        <w:t>7</w:t>
      </w:r>
      <w:r w:rsidRPr="00E7323E">
        <w:rPr>
          <w:rFonts w:ascii="Times New Roman" w:hAnsi="Times New Roman" w:cs="Times New Roman"/>
          <w:b/>
          <w:sz w:val="24"/>
          <w:szCs w:val="24"/>
        </w:rPr>
        <w:t>:</w:t>
      </w:r>
      <w:r>
        <w:rPr>
          <w:rFonts w:ascii="Times New Roman" w:hAnsi="Times New Roman" w:cs="Times New Roman"/>
          <w:b/>
          <w:sz w:val="24"/>
          <w:szCs w:val="24"/>
        </w:rPr>
        <w:t xml:space="preserve">  </w:t>
      </w:r>
      <w:r w:rsidRPr="00B26B88">
        <w:rPr>
          <w:rFonts w:ascii="Times New Roman" w:hAnsi="Times New Roman" w:cs="Times New Roman"/>
          <w:b/>
          <w:sz w:val="24"/>
          <w:szCs w:val="24"/>
        </w:rPr>
        <w:t xml:space="preserve">How </w:t>
      </w:r>
      <w:r>
        <w:rPr>
          <w:rFonts w:ascii="Times New Roman" w:hAnsi="Times New Roman" w:cs="Times New Roman"/>
          <w:b/>
          <w:sz w:val="24"/>
          <w:szCs w:val="24"/>
        </w:rPr>
        <w:t>is the comparability plan approach applied for purposes of the average benefits test</w:t>
      </w:r>
      <w:r w:rsidR="00384A98">
        <w:rPr>
          <w:rFonts w:ascii="Times New Roman" w:hAnsi="Times New Roman" w:cs="Times New Roman"/>
          <w:b/>
          <w:sz w:val="24"/>
          <w:szCs w:val="24"/>
        </w:rPr>
        <w:t xml:space="preserve"> using the </w:t>
      </w:r>
      <w:r w:rsidR="00FA0ABA">
        <w:rPr>
          <w:rFonts w:ascii="Times New Roman" w:hAnsi="Times New Roman" w:cs="Times New Roman"/>
          <w:b/>
          <w:sz w:val="24"/>
          <w:szCs w:val="24"/>
        </w:rPr>
        <w:t xml:space="preserve">annual </w:t>
      </w:r>
      <w:r w:rsidR="00384A98">
        <w:rPr>
          <w:rFonts w:ascii="Times New Roman" w:hAnsi="Times New Roman" w:cs="Times New Roman"/>
          <w:b/>
          <w:sz w:val="24"/>
          <w:szCs w:val="24"/>
        </w:rPr>
        <w:t>accru</w:t>
      </w:r>
      <w:r w:rsidR="00FA0ABA">
        <w:rPr>
          <w:rFonts w:ascii="Times New Roman" w:hAnsi="Times New Roman" w:cs="Times New Roman"/>
          <w:b/>
          <w:sz w:val="24"/>
          <w:szCs w:val="24"/>
        </w:rPr>
        <w:t>al</w:t>
      </w:r>
      <w:r w:rsidR="00384A98">
        <w:rPr>
          <w:rFonts w:ascii="Times New Roman" w:hAnsi="Times New Roman" w:cs="Times New Roman"/>
          <w:b/>
          <w:sz w:val="24"/>
          <w:szCs w:val="24"/>
        </w:rPr>
        <w:t xml:space="preserve"> method</w:t>
      </w:r>
      <w:r w:rsidRPr="00B26B88">
        <w:rPr>
          <w:rFonts w:ascii="Times New Roman" w:hAnsi="Times New Roman" w:cs="Times New Roman"/>
          <w:b/>
          <w:sz w:val="24"/>
          <w:szCs w:val="24"/>
        </w:rPr>
        <w:t>?</w:t>
      </w:r>
    </w:p>
    <w:p w:rsidR="003B56BE" w:rsidRDefault="003B56BE" w:rsidP="003B56BE">
      <w:pPr>
        <w:pStyle w:val="NoSpacing"/>
        <w:ind w:left="1080"/>
        <w:rPr>
          <w:rFonts w:ascii="Times New Roman" w:hAnsi="Times New Roman" w:cs="Times New Roman"/>
          <w:sz w:val="24"/>
          <w:szCs w:val="24"/>
        </w:rPr>
      </w:pPr>
    </w:p>
    <w:p w:rsidR="003B56BE" w:rsidRDefault="003B56BE" w:rsidP="003B56BE">
      <w:pPr>
        <w:pStyle w:val="NoSpacing"/>
        <w:ind w:left="1080"/>
        <w:rPr>
          <w:rFonts w:ascii="Times New Roman" w:hAnsi="Times New Roman" w:cs="Times New Roman"/>
          <w:sz w:val="24"/>
          <w:szCs w:val="24"/>
        </w:rPr>
      </w:pPr>
      <w:r>
        <w:rPr>
          <w:rFonts w:ascii="Times New Roman" w:hAnsi="Times New Roman" w:cs="Times New Roman"/>
          <w:sz w:val="24"/>
          <w:szCs w:val="24"/>
        </w:rPr>
        <w:t>The following example demonstrates the application of the comparability plan approach for the average benefits test</w:t>
      </w:r>
      <w:r w:rsidR="00384A98">
        <w:rPr>
          <w:rFonts w:ascii="Times New Roman" w:hAnsi="Times New Roman" w:cs="Times New Roman"/>
          <w:sz w:val="24"/>
          <w:szCs w:val="24"/>
        </w:rPr>
        <w:t xml:space="preserve"> using the a</w:t>
      </w:r>
      <w:r w:rsidR="00FA0ABA">
        <w:rPr>
          <w:rFonts w:ascii="Times New Roman" w:hAnsi="Times New Roman" w:cs="Times New Roman"/>
          <w:sz w:val="24"/>
          <w:szCs w:val="24"/>
        </w:rPr>
        <w:t>nnual accrual</w:t>
      </w:r>
      <w:r w:rsidR="00384A98">
        <w:rPr>
          <w:rFonts w:ascii="Times New Roman" w:hAnsi="Times New Roman" w:cs="Times New Roman"/>
          <w:sz w:val="24"/>
          <w:szCs w:val="24"/>
        </w:rPr>
        <w:t xml:space="preserve"> method</w:t>
      </w:r>
      <w:r>
        <w:rPr>
          <w:rFonts w:ascii="Times New Roman" w:hAnsi="Times New Roman" w:cs="Times New Roman"/>
          <w:sz w:val="24"/>
          <w:szCs w:val="24"/>
        </w:rPr>
        <w:t>.</w:t>
      </w:r>
    </w:p>
    <w:p w:rsidR="003B56BE" w:rsidRDefault="003B56BE" w:rsidP="003B56BE">
      <w:pPr>
        <w:pStyle w:val="NoSpacing"/>
        <w:ind w:left="1080"/>
        <w:rPr>
          <w:rFonts w:ascii="Times New Roman" w:hAnsi="Times New Roman" w:cs="Times New Roman"/>
          <w:sz w:val="24"/>
          <w:szCs w:val="24"/>
        </w:rPr>
      </w:pPr>
    </w:p>
    <w:p w:rsidR="00A9232A" w:rsidRDefault="003B56BE" w:rsidP="003B56BE">
      <w:pPr>
        <w:pStyle w:val="NoSpacing"/>
        <w:ind w:left="1080"/>
        <w:rPr>
          <w:rFonts w:ascii="Times New Roman" w:hAnsi="Times New Roman" w:cs="Times New Roman"/>
          <w:sz w:val="24"/>
          <w:szCs w:val="24"/>
        </w:rPr>
      </w:pPr>
      <w:r w:rsidRPr="00E3560C">
        <w:rPr>
          <w:rFonts w:ascii="Times New Roman" w:hAnsi="Times New Roman" w:cs="Times New Roman"/>
          <w:b/>
          <w:sz w:val="24"/>
          <w:szCs w:val="24"/>
        </w:rPr>
        <w:t xml:space="preserve">Example </w:t>
      </w:r>
      <w:r>
        <w:rPr>
          <w:rFonts w:ascii="Times New Roman" w:hAnsi="Times New Roman" w:cs="Times New Roman"/>
          <w:b/>
          <w:sz w:val="24"/>
          <w:szCs w:val="24"/>
        </w:rPr>
        <w:t>8</w:t>
      </w:r>
      <w:r w:rsidRPr="00E3560C">
        <w:rPr>
          <w:rFonts w:ascii="Times New Roman" w:hAnsi="Times New Roman" w:cs="Times New Roman"/>
          <w:b/>
          <w:sz w:val="24"/>
          <w:szCs w:val="24"/>
        </w:rPr>
        <w:t>.</w:t>
      </w:r>
      <w:r>
        <w:rPr>
          <w:rFonts w:ascii="Times New Roman" w:hAnsi="Times New Roman" w:cs="Times New Roman"/>
          <w:sz w:val="24"/>
          <w:szCs w:val="24"/>
        </w:rPr>
        <w:t xml:space="preserve">  </w:t>
      </w:r>
      <w:r w:rsidR="00A9232A">
        <w:rPr>
          <w:rFonts w:ascii="Times New Roman" w:hAnsi="Times New Roman" w:cs="Times New Roman"/>
          <w:sz w:val="24"/>
          <w:szCs w:val="24"/>
        </w:rPr>
        <w:t>Because</w:t>
      </w:r>
      <w:r w:rsidR="00A9232A" w:rsidRPr="003B56BE">
        <w:rPr>
          <w:rFonts w:ascii="Times New Roman" w:hAnsi="Times New Roman" w:cs="Times New Roman"/>
          <w:sz w:val="24"/>
          <w:szCs w:val="24"/>
        </w:rPr>
        <w:t xml:space="preserve"> </w:t>
      </w:r>
      <w:r w:rsidRPr="003B56BE">
        <w:rPr>
          <w:rFonts w:ascii="Times New Roman" w:hAnsi="Times New Roman" w:cs="Times New Roman"/>
          <w:sz w:val="24"/>
          <w:szCs w:val="24"/>
        </w:rPr>
        <w:t xml:space="preserve">rate group 1 </w:t>
      </w:r>
      <w:r w:rsidR="00384A98">
        <w:rPr>
          <w:rFonts w:ascii="Times New Roman" w:hAnsi="Times New Roman" w:cs="Times New Roman"/>
          <w:sz w:val="24"/>
          <w:szCs w:val="24"/>
        </w:rPr>
        <w:t>in Table 4-8</w:t>
      </w:r>
      <w:r w:rsidR="00A9232A">
        <w:rPr>
          <w:rFonts w:ascii="Times New Roman" w:hAnsi="Times New Roman" w:cs="Times New Roman"/>
          <w:sz w:val="24"/>
          <w:szCs w:val="24"/>
        </w:rPr>
        <w:t xml:space="preserve"> (see Q. 4.26)</w:t>
      </w:r>
      <w:r w:rsidR="00384A98">
        <w:rPr>
          <w:rFonts w:ascii="Times New Roman" w:hAnsi="Times New Roman" w:cs="Times New Roman"/>
          <w:sz w:val="24"/>
          <w:szCs w:val="24"/>
        </w:rPr>
        <w:t xml:space="preserve"> </w:t>
      </w:r>
      <w:r w:rsidRPr="003B56BE">
        <w:rPr>
          <w:rFonts w:ascii="Times New Roman" w:hAnsi="Times New Roman" w:cs="Times New Roman"/>
          <w:sz w:val="24"/>
          <w:szCs w:val="24"/>
        </w:rPr>
        <w:t xml:space="preserve">fails the </w:t>
      </w:r>
      <w:r w:rsidR="00384A98">
        <w:rPr>
          <w:rFonts w:ascii="Times New Roman" w:hAnsi="Times New Roman" w:cs="Times New Roman"/>
          <w:sz w:val="24"/>
          <w:szCs w:val="24"/>
        </w:rPr>
        <w:t xml:space="preserve">ratio percentage </w:t>
      </w:r>
      <w:r w:rsidRPr="003B56BE">
        <w:rPr>
          <w:rFonts w:ascii="Times New Roman" w:hAnsi="Times New Roman" w:cs="Times New Roman"/>
          <w:sz w:val="24"/>
          <w:szCs w:val="24"/>
        </w:rPr>
        <w:t xml:space="preserve">coverage test, the plan fails nondiscrimination testing. </w:t>
      </w:r>
      <w:r w:rsidR="000E3760">
        <w:rPr>
          <w:rFonts w:ascii="Times New Roman" w:hAnsi="Times New Roman" w:cs="Times New Roman"/>
          <w:sz w:val="24"/>
          <w:szCs w:val="24"/>
        </w:rPr>
        <w:t>Fortunately</w:t>
      </w:r>
      <w:r w:rsidRPr="003B56BE">
        <w:rPr>
          <w:rFonts w:ascii="Times New Roman" w:hAnsi="Times New Roman" w:cs="Times New Roman"/>
          <w:sz w:val="24"/>
          <w:szCs w:val="24"/>
        </w:rPr>
        <w:t xml:space="preserve">, there is one more option in the comparability plan approach. Rate groups that do not pass the ratio </w:t>
      </w:r>
      <w:r w:rsidR="00384A98">
        <w:rPr>
          <w:rFonts w:ascii="Times New Roman" w:hAnsi="Times New Roman" w:cs="Times New Roman"/>
          <w:sz w:val="24"/>
          <w:szCs w:val="24"/>
        </w:rPr>
        <w:t xml:space="preserve">percentage </w:t>
      </w:r>
      <w:r w:rsidRPr="003B56BE">
        <w:rPr>
          <w:rFonts w:ascii="Times New Roman" w:hAnsi="Times New Roman" w:cs="Times New Roman"/>
          <w:sz w:val="24"/>
          <w:szCs w:val="24"/>
        </w:rPr>
        <w:t>test can then be tested under the average benefits test.</w:t>
      </w:r>
      <w:r w:rsidR="00384A98">
        <w:rPr>
          <w:rFonts w:ascii="Times New Roman" w:hAnsi="Times New Roman" w:cs="Times New Roman"/>
          <w:sz w:val="24"/>
          <w:szCs w:val="24"/>
        </w:rPr>
        <w:t xml:space="preserve">  T</w:t>
      </w:r>
      <w:r w:rsidRPr="003B56BE">
        <w:rPr>
          <w:rFonts w:ascii="Times New Roman" w:hAnsi="Times New Roman" w:cs="Times New Roman"/>
          <w:sz w:val="24"/>
          <w:szCs w:val="24"/>
        </w:rPr>
        <w:t>his test has two parts to it</w:t>
      </w:r>
      <w:r w:rsidR="00A9232A">
        <w:rPr>
          <w:rFonts w:ascii="Times New Roman" w:hAnsi="Times New Roman" w:cs="Times New Roman"/>
          <w:sz w:val="24"/>
          <w:szCs w:val="24"/>
        </w:rPr>
        <w:t>:</w:t>
      </w:r>
      <w:r w:rsidR="00A9232A" w:rsidRPr="003B56BE">
        <w:rPr>
          <w:rFonts w:ascii="Times New Roman" w:hAnsi="Times New Roman" w:cs="Times New Roman"/>
          <w:sz w:val="24"/>
          <w:szCs w:val="24"/>
        </w:rPr>
        <w:t xml:space="preserve"> </w:t>
      </w:r>
      <w:r w:rsidRPr="003B56BE">
        <w:rPr>
          <w:rFonts w:ascii="Times New Roman" w:hAnsi="Times New Roman" w:cs="Times New Roman"/>
          <w:sz w:val="24"/>
          <w:szCs w:val="24"/>
        </w:rPr>
        <w:t xml:space="preserve">the nondiscriminatory classification test and the average benefit ratio test. </w:t>
      </w:r>
    </w:p>
    <w:p w:rsidR="00A9232A" w:rsidRDefault="00A9232A" w:rsidP="003B56BE">
      <w:pPr>
        <w:pStyle w:val="NoSpacing"/>
        <w:ind w:left="1080"/>
        <w:rPr>
          <w:rFonts w:ascii="Times New Roman" w:hAnsi="Times New Roman" w:cs="Times New Roman"/>
          <w:sz w:val="24"/>
          <w:szCs w:val="24"/>
        </w:rPr>
      </w:pPr>
    </w:p>
    <w:p w:rsidR="003B56BE" w:rsidRPr="003B56BE" w:rsidRDefault="003B56BE" w:rsidP="003B56BE">
      <w:pPr>
        <w:pStyle w:val="NoSpacing"/>
        <w:ind w:left="1080"/>
        <w:rPr>
          <w:rFonts w:ascii="Times New Roman" w:hAnsi="Times New Roman" w:cs="Times New Roman"/>
          <w:sz w:val="24"/>
          <w:szCs w:val="24"/>
        </w:rPr>
      </w:pPr>
      <w:r w:rsidRPr="003B56BE">
        <w:rPr>
          <w:rFonts w:ascii="Times New Roman" w:hAnsi="Times New Roman" w:cs="Times New Roman"/>
          <w:sz w:val="24"/>
          <w:szCs w:val="24"/>
        </w:rPr>
        <w:t xml:space="preserve">Under the classification test, the coverage ratio of the rate group must be at least at the midpoint between the safe harbor percentage and the unsafe harbor percentage (see </w:t>
      </w:r>
      <w:r w:rsidR="00EA40AD">
        <w:rPr>
          <w:rFonts w:ascii="Times New Roman" w:hAnsi="Times New Roman" w:cs="Times New Roman"/>
          <w:sz w:val="24"/>
          <w:szCs w:val="24"/>
        </w:rPr>
        <w:t>Appendix 4-1</w:t>
      </w:r>
      <w:r w:rsidRPr="003B56BE">
        <w:rPr>
          <w:rFonts w:ascii="Times New Roman" w:hAnsi="Times New Roman" w:cs="Times New Roman"/>
          <w:sz w:val="24"/>
          <w:szCs w:val="24"/>
        </w:rPr>
        <w:t>).</w:t>
      </w:r>
      <w:r w:rsidR="00384A98">
        <w:rPr>
          <w:rFonts w:ascii="Times New Roman" w:hAnsi="Times New Roman" w:cs="Times New Roman"/>
          <w:sz w:val="24"/>
          <w:szCs w:val="24"/>
        </w:rPr>
        <w:t xml:space="preserve">  </w:t>
      </w:r>
      <w:r w:rsidRPr="003B56BE">
        <w:rPr>
          <w:rFonts w:ascii="Times New Roman" w:hAnsi="Times New Roman" w:cs="Times New Roman"/>
          <w:sz w:val="24"/>
          <w:szCs w:val="24"/>
        </w:rPr>
        <w:t xml:space="preserve">Under the average benefit ratio test, the average accrual or allocation rates of the NHCEs must be equal to at least 70 percent of the average accrual or allocation rates of the HCEs. These rules as applied to rate group 1 as described in Table </w:t>
      </w:r>
      <w:r w:rsidR="00384A98">
        <w:rPr>
          <w:rFonts w:ascii="Times New Roman" w:hAnsi="Times New Roman" w:cs="Times New Roman"/>
          <w:sz w:val="24"/>
          <w:szCs w:val="24"/>
        </w:rPr>
        <w:t>4</w:t>
      </w:r>
      <w:r w:rsidRPr="003B56BE">
        <w:rPr>
          <w:rFonts w:ascii="Times New Roman" w:hAnsi="Times New Roman" w:cs="Times New Roman"/>
          <w:sz w:val="24"/>
          <w:szCs w:val="24"/>
        </w:rPr>
        <w:t>-</w:t>
      </w:r>
      <w:r w:rsidR="00384A98">
        <w:rPr>
          <w:rFonts w:ascii="Times New Roman" w:hAnsi="Times New Roman" w:cs="Times New Roman"/>
          <w:sz w:val="24"/>
          <w:szCs w:val="24"/>
        </w:rPr>
        <w:t>8</w:t>
      </w:r>
      <w:r w:rsidRPr="003B56BE">
        <w:rPr>
          <w:rFonts w:ascii="Times New Roman" w:hAnsi="Times New Roman" w:cs="Times New Roman"/>
          <w:sz w:val="24"/>
          <w:szCs w:val="24"/>
        </w:rPr>
        <w:t xml:space="preserve"> are as follows:</w:t>
      </w:r>
    </w:p>
    <w:p w:rsidR="003B56BE" w:rsidRPr="003B56BE" w:rsidRDefault="003B56BE" w:rsidP="003B56BE">
      <w:pPr>
        <w:pStyle w:val="PC"/>
        <w:numPr>
          <w:ilvl w:val="0"/>
          <w:numId w:val="41"/>
        </w:numPr>
        <w:rPr>
          <w:rFonts w:ascii="Times New Roman" w:hAnsi="Times New Roman"/>
          <w:sz w:val="24"/>
          <w:szCs w:val="24"/>
        </w:rPr>
      </w:pPr>
      <w:r w:rsidRPr="003B56BE">
        <w:rPr>
          <w:rFonts w:ascii="Times New Roman" w:hAnsi="Times New Roman"/>
          <w:i/>
          <w:iCs/>
          <w:sz w:val="24"/>
          <w:szCs w:val="24"/>
        </w:rPr>
        <w:t>Determine the concentration percentage.</w:t>
      </w:r>
      <w:r w:rsidRPr="003B56BE">
        <w:rPr>
          <w:rFonts w:ascii="Times New Roman" w:hAnsi="Times New Roman"/>
          <w:sz w:val="24"/>
          <w:szCs w:val="24"/>
        </w:rPr>
        <w:t xml:space="preserve"> Divide </w:t>
      </w:r>
      <w:r w:rsidR="00EC5196">
        <w:rPr>
          <w:rFonts w:ascii="Times New Roman" w:hAnsi="Times New Roman"/>
          <w:sz w:val="24"/>
          <w:szCs w:val="24"/>
        </w:rPr>
        <w:t xml:space="preserve">the </w:t>
      </w:r>
      <w:r w:rsidRPr="003B56BE">
        <w:rPr>
          <w:rFonts w:ascii="Times New Roman" w:hAnsi="Times New Roman"/>
          <w:sz w:val="24"/>
          <w:szCs w:val="24"/>
        </w:rPr>
        <w:t xml:space="preserve">total </w:t>
      </w:r>
      <w:r w:rsidR="00EC5196">
        <w:rPr>
          <w:rFonts w:ascii="Times New Roman" w:hAnsi="Times New Roman"/>
          <w:sz w:val="24"/>
          <w:szCs w:val="24"/>
        </w:rPr>
        <w:t xml:space="preserve">number of </w:t>
      </w:r>
      <w:r w:rsidRPr="003B56BE">
        <w:rPr>
          <w:rFonts w:ascii="Times New Roman" w:hAnsi="Times New Roman"/>
          <w:sz w:val="24"/>
          <w:szCs w:val="24"/>
        </w:rPr>
        <w:t xml:space="preserve">NHCEs by </w:t>
      </w:r>
      <w:r w:rsidR="00EC5196">
        <w:rPr>
          <w:rFonts w:ascii="Times New Roman" w:hAnsi="Times New Roman"/>
          <w:sz w:val="24"/>
          <w:szCs w:val="24"/>
        </w:rPr>
        <w:t xml:space="preserve">the </w:t>
      </w:r>
      <w:r w:rsidRPr="003B56BE">
        <w:rPr>
          <w:rFonts w:ascii="Times New Roman" w:hAnsi="Times New Roman"/>
          <w:sz w:val="24"/>
          <w:szCs w:val="24"/>
        </w:rPr>
        <w:t xml:space="preserve">total </w:t>
      </w:r>
      <w:r w:rsidR="00EC5196">
        <w:rPr>
          <w:rFonts w:ascii="Times New Roman" w:hAnsi="Times New Roman"/>
          <w:sz w:val="24"/>
          <w:szCs w:val="24"/>
        </w:rPr>
        <w:t xml:space="preserve">number of </w:t>
      </w:r>
      <w:r w:rsidRPr="003B56BE">
        <w:rPr>
          <w:rFonts w:ascii="Times New Roman" w:hAnsi="Times New Roman"/>
          <w:sz w:val="24"/>
          <w:szCs w:val="24"/>
        </w:rPr>
        <w:t xml:space="preserve">employees (five divided by seven); </w:t>
      </w:r>
      <w:r w:rsidR="00E86D0C">
        <w:rPr>
          <w:rFonts w:ascii="Times New Roman" w:hAnsi="Times New Roman"/>
          <w:sz w:val="24"/>
          <w:szCs w:val="24"/>
        </w:rPr>
        <w:t xml:space="preserve">the </w:t>
      </w:r>
      <w:r w:rsidRPr="003B56BE">
        <w:rPr>
          <w:rFonts w:ascii="Times New Roman" w:hAnsi="Times New Roman"/>
          <w:sz w:val="24"/>
          <w:szCs w:val="24"/>
        </w:rPr>
        <w:t>percentage equals 71.4 percent.</w:t>
      </w:r>
    </w:p>
    <w:p w:rsidR="003B56BE" w:rsidRPr="003B56BE" w:rsidRDefault="003B56BE" w:rsidP="003B56BE">
      <w:pPr>
        <w:pStyle w:val="PC"/>
        <w:numPr>
          <w:ilvl w:val="0"/>
          <w:numId w:val="41"/>
        </w:numPr>
        <w:rPr>
          <w:rFonts w:ascii="Times New Roman" w:hAnsi="Times New Roman"/>
          <w:sz w:val="24"/>
          <w:szCs w:val="24"/>
        </w:rPr>
      </w:pPr>
      <w:r w:rsidRPr="003B56BE">
        <w:rPr>
          <w:rFonts w:ascii="Times New Roman" w:hAnsi="Times New Roman"/>
          <w:sz w:val="24"/>
          <w:szCs w:val="24"/>
        </w:rPr>
        <w:lastRenderedPageBreak/>
        <w:t xml:space="preserve">Determine the midpoint from </w:t>
      </w:r>
      <w:r w:rsidR="00EA40AD">
        <w:rPr>
          <w:rFonts w:ascii="Times New Roman" w:hAnsi="Times New Roman"/>
          <w:sz w:val="24"/>
          <w:szCs w:val="24"/>
        </w:rPr>
        <w:t>Appendix 4-1</w:t>
      </w:r>
      <w:r w:rsidRPr="003B56BE">
        <w:rPr>
          <w:rFonts w:ascii="Times New Roman" w:hAnsi="Times New Roman"/>
          <w:sz w:val="24"/>
          <w:szCs w:val="24"/>
        </w:rPr>
        <w:t>.</w:t>
      </w:r>
      <w:r>
        <w:rPr>
          <w:rFonts w:ascii="Times New Roman" w:hAnsi="Times New Roman"/>
          <w:sz w:val="24"/>
          <w:szCs w:val="24"/>
        </w:rPr>
        <w:t xml:space="preserve">  </w:t>
      </w:r>
      <w:r w:rsidRPr="003B56BE">
        <w:rPr>
          <w:rFonts w:ascii="Times New Roman" w:hAnsi="Times New Roman"/>
          <w:sz w:val="24"/>
          <w:szCs w:val="24"/>
        </w:rPr>
        <w:t xml:space="preserve">If the midpoint percentage is less than or equal to the coverage percentage (ratio percentage) in the failed rate group, the first part of the average benefit test is passed. </w:t>
      </w:r>
      <w:r w:rsidR="00F804F2">
        <w:rPr>
          <w:rFonts w:ascii="Times New Roman" w:hAnsi="Times New Roman"/>
          <w:sz w:val="24"/>
          <w:szCs w:val="24"/>
        </w:rPr>
        <w:t>Because</w:t>
      </w:r>
      <w:r w:rsidR="00F804F2" w:rsidRPr="003B56BE">
        <w:rPr>
          <w:rFonts w:ascii="Times New Roman" w:hAnsi="Times New Roman"/>
          <w:sz w:val="24"/>
          <w:szCs w:val="24"/>
        </w:rPr>
        <w:t xml:space="preserve"> </w:t>
      </w:r>
      <w:r w:rsidRPr="003B56BE">
        <w:rPr>
          <w:rFonts w:ascii="Times New Roman" w:hAnsi="Times New Roman"/>
          <w:sz w:val="24"/>
          <w:szCs w:val="24"/>
        </w:rPr>
        <w:t>the coverage percentage in the failed rate group 1 is 40 percent ((1 NHCE / 5 NHCEs) / (1 HCE / 2 HCEs)), this part of the test is passed.</w:t>
      </w:r>
    </w:p>
    <w:tbl>
      <w:tblPr>
        <w:tblW w:w="0" w:type="auto"/>
        <w:jc w:val="center"/>
        <w:tblCellMar>
          <w:left w:w="0" w:type="dxa"/>
          <w:right w:w="0" w:type="dxa"/>
        </w:tblCellMar>
        <w:tblLook w:val="0000" w:firstRow="0" w:lastRow="0" w:firstColumn="0" w:lastColumn="0" w:noHBand="0" w:noVBand="0"/>
      </w:tblPr>
      <w:tblGrid>
        <w:gridCol w:w="2827"/>
        <w:gridCol w:w="900"/>
      </w:tblGrid>
      <w:tr w:rsidR="003B56BE" w:rsidRPr="003B56BE" w:rsidTr="00E826AF">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rPr>
                <w:b/>
                <w:bCs/>
              </w:rPr>
              <w:t>Safe harbor percentage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41.75%</w:t>
            </w:r>
          </w:p>
        </w:tc>
      </w:tr>
      <w:tr w:rsidR="003B56BE" w:rsidRPr="003B56BE" w:rsidTr="00E826AF">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rPr>
                <w:b/>
                <w:bCs/>
              </w:rPr>
              <w:t>Midpoint percentage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36.75%</w:t>
            </w:r>
          </w:p>
        </w:tc>
      </w:tr>
      <w:tr w:rsidR="003B56BE" w:rsidRPr="003B56BE" w:rsidTr="00E826AF">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rPr>
                <w:b/>
                <w:bCs/>
              </w:rPr>
              <w:t>Unsafe harbor percentage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31.75%</w:t>
            </w:r>
          </w:p>
        </w:tc>
      </w:tr>
    </w:tbl>
    <w:p w:rsidR="003B56BE" w:rsidRDefault="003B56BE" w:rsidP="003B56BE">
      <w:pPr>
        <w:pStyle w:val="PC"/>
        <w:rPr>
          <w:rFonts w:ascii="Times New Roman" w:hAnsi="Times New Roman"/>
          <w:sz w:val="24"/>
          <w:szCs w:val="24"/>
        </w:rPr>
      </w:pPr>
    </w:p>
    <w:p w:rsidR="003B56BE" w:rsidRPr="003B56BE" w:rsidRDefault="003B56BE" w:rsidP="003B56BE">
      <w:pPr>
        <w:pStyle w:val="PC"/>
        <w:numPr>
          <w:ilvl w:val="0"/>
          <w:numId w:val="41"/>
        </w:numPr>
        <w:rPr>
          <w:rFonts w:ascii="Times New Roman" w:hAnsi="Times New Roman"/>
          <w:sz w:val="24"/>
          <w:szCs w:val="24"/>
        </w:rPr>
      </w:pPr>
      <w:r w:rsidRPr="003B56BE">
        <w:rPr>
          <w:rFonts w:ascii="Times New Roman" w:hAnsi="Times New Roman"/>
          <w:i/>
          <w:iCs/>
          <w:sz w:val="24"/>
          <w:szCs w:val="24"/>
        </w:rPr>
        <w:t>Compare the average accrual or allocation rate of the NHCEs to that of the HCEs.</w:t>
      </w:r>
      <w:r w:rsidRPr="003B56BE">
        <w:rPr>
          <w:rFonts w:ascii="Times New Roman" w:hAnsi="Times New Roman"/>
          <w:sz w:val="24"/>
          <w:szCs w:val="24"/>
        </w:rPr>
        <w:t xml:space="preserve"> If the ratio of the NHCE average to the HCE average is equal to or more than 70 percent, the second part of the average benefits test is passed.</w:t>
      </w:r>
    </w:p>
    <w:tbl>
      <w:tblPr>
        <w:tblW w:w="0" w:type="auto"/>
        <w:jc w:val="center"/>
        <w:tblCellMar>
          <w:left w:w="0" w:type="dxa"/>
          <w:right w:w="0" w:type="dxa"/>
        </w:tblCellMar>
        <w:tblLook w:val="0000" w:firstRow="0" w:lastRow="0" w:firstColumn="0" w:lastColumn="0" w:noHBand="0" w:noVBand="0"/>
      </w:tblPr>
      <w:tblGrid>
        <w:gridCol w:w="947"/>
        <w:gridCol w:w="6335"/>
      </w:tblGrid>
      <w:tr w:rsidR="003B56BE" w:rsidRPr="003B56BE" w:rsidTr="00E826AF">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rPr>
                <w:b/>
                <w:bCs/>
              </w:rPr>
              <w:t>NHCEs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(2.404 + 4.709 + 8.432 + 11.042 + 2.669) ÷ 5 NHCEs = 5.851%</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rPr>
                <w:b/>
                <w:bCs/>
              </w:rPr>
              <w:t>HCEs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(2.640 + 9.639) ÷ 2 HCEs = 6.140%</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rPr>
                <w:b/>
                <w:bCs/>
              </w:rPr>
              <w:t>Ratio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 ÷ HCE %</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5.851% ÷ 6.140% = 95.29%</w:t>
            </w:r>
          </w:p>
        </w:tc>
      </w:tr>
    </w:tbl>
    <w:p w:rsidR="003B56BE" w:rsidRPr="003B56BE" w:rsidRDefault="003B56BE" w:rsidP="003B56BE">
      <w:pPr>
        <w:pStyle w:val="PA"/>
        <w:spacing w:after="0"/>
        <w:rPr>
          <w:rFonts w:ascii="Times New Roman" w:hAnsi="Times New Roman"/>
          <w:sz w:val="24"/>
          <w:szCs w:val="24"/>
        </w:rPr>
      </w:pPr>
      <w:r w:rsidRPr="003B56BE">
        <w:rPr>
          <w:rFonts w:ascii="Times New Roman" w:hAnsi="Times New Roman"/>
          <w:sz w:val="24"/>
          <w:szCs w:val="24"/>
        </w:rPr>
        <w:tab/>
      </w:r>
    </w:p>
    <w:p w:rsidR="003B56BE" w:rsidRDefault="003B56BE" w:rsidP="003B56BE">
      <w:pPr>
        <w:pStyle w:val="NoSpacing"/>
        <w:ind w:left="1080"/>
        <w:rPr>
          <w:rFonts w:ascii="Times New Roman" w:hAnsi="Times New Roman" w:cs="Times New Roman"/>
          <w:sz w:val="24"/>
          <w:szCs w:val="24"/>
        </w:rPr>
      </w:pPr>
      <w:r w:rsidRPr="003B56BE">
        <w:rPr>
          <w:rFonts w:ascii="Times New Roman" w:hAnsi="Times New Roman" w:cs="Times New Roman"/>
          <w:sz w:val="24"/>
          <w:szCs w:val="24"/>
        </w:rPr>
        <w:t>The average benefit test is passed and the plan qualifies.</w:t>
      </w:r>
      <w:r w:rsidR="00384A98">
        <w:rPr>
          <w:rFonts w:ascii="Times New Roman" w:hAnsi="Times New Roman" w:cs="Times New Roman"/>
          <w:sz w:val="24"/>
          <w:szCs w:val="24"/>
        </w:rPr>
        <w:t xml:space="preserve">  </w:t>
      </w:r>
      <w:r w:rsidRPr="003B56BE">
        <w:rPr>
          <w:rFonts w:ascii="Times New Roman" w:hAnsi="Times New Roman" w:cs="Times New Roman"/>
          <w:sz w:val="24"/>
          <w:szCs w:val="24"/>
        </w:rPr>
        <w:t>This is certainly a lot of work for a seven-person plan, but as a result of the extra work, the two HCEs have been allocated a total contribution of $7</w:t>
      </w:r>
      <w:r w:rsidR="000E3760">
        <w:rPr>
          <w:rFonts w:ascii="Times New Roman" w:hAnsi="Times New Roman" w:cs="Times New Roman"/>
          <w:sz w:val="24"/>
          <w:szCs w:val="24"/>
        </w:rPr>
        <w:t>9</w:t>
      </w:r>
      <w:r w:rsidRPr="003B56BE">
        <w:rPr>
          <w:rFonts w:ascii="Times New Roman" w:hAnsi="Times New Roman" w:cs="Times New Roman"/>
          <w:sz w:val="24"/>
          <w:szCs w:val="24"/>
        </w:rPr>
        <w:t>,</w:t>
      </w:r>
      <w:r w:rsidR="000E3760">
        <w:rPr>
          <w:rFonts w:ascii="Times New Roman" w:hAnsi="Times New Roman" w:cs="Times New Roman"/>
          <w:sz w:val="24"/>
          <w:szCs w:val="24"/>
        </w:rPr>
        <w:t>75</w:t>
      </w:r>
      <w:r w:rsidRPr="003B56BE">
        <w:rPr>
          <w:rFonts w:ascii="Times New Roman" w:hAnsi="Times New Roman" w:cs="Times New Roman"/>
          <w:sz w:val="24"/>
          <w:szCs w:val="24"/>
        </w:rPr>
        <w:t xml:space="preserve">0 at a cost for the employees of $6,396. Even if the administrative cost to maintain this plan were $2,000 annually—which is on the high end of the likely fees—the result is highly favorable. Although the approach is similar and the basis for testing is the same, the initial steps for the </w:t>
      </w:r>
      <w:r w:rsidR="00F804F2" w:rsidRPr="003B56BE">
        <w:rPr>
          <w:rFonts w:ascii="Times New Roman" w:hAnsi="Times New Roman" w:cs="Times New Roman"/>
          <w:sz w:val="24"/>
          <w:szCs w:val="24"/>
        </w:rPr>
        <w:t>accrued</w:t>
      </w:r>
      <w:r w:rsidR="00F804F2">
        <w:rPr>
          <w:rFonts w:ascii="Times New Roman" w:hAnsi="Times New Roman" w:cs="Times New Roman"/>
          <w:sz w:val="24"/>
          <w:szCs w:val="24"/>
        </w:rPr>
        <w:t>-</w:t>
      </w:r>
      <w:r w:rsidR="00F804F2" w:rsidRPr="003B56BE">
        <w:rPr>
          <w:rFonts w:ascii="Times New Roman" w:hAnsi="Times New Roman" w:cs="Times New Roman"/>
          <w:sz w:val="24"/>
          <w:szCs w:val="24"/>
        </w:rPr>
        <w:t>to</w:t>
      </w:r>
      <w:r w:rsidR="00F804F2">
        <w:rPr>
          <w:rFonts w:ascii="Times New Roman" w:hAnsi="Times New Roman" w:cs="Times New Roman"/>
          <w:sz w:val="24"/>
          <w:szCs w:val="24"/>
        </w:rPr>
        <w:t>-</w:t>
      </w:r>
      <w:r w:rsidRPr="003B56BE">
        <w:rPr>
          <w:rFonts w:ascii="Times New Roman" w:hAnsi="Times New Roman" w:cs="Times New Roman"/>
          <w:sz w:val="24"/>
          <w:szCs w:val="24"/>
        </w:rPr>
        <w:t>date method are somewhat different.</w:t>
      </w:r>
    </w:p>
    <w:p w:rsidR="003B56BE" w:rsidRDefault="003B56BE" w:rsidP="003B56BE">
      <w:pPr>
        <w:pStyle w:val="NoSpacing"/>
        <w:ind w:left="1080"/>
        <w:rPr>
          <w:rFonts w:ascii="Times New Roman" w:hAnsi="Times New Roman" w:cs="Times New Roman"/>
          <w:sz w:val="24"/>
          <w:szCs w:val="24"/>
        </w:rPr>
      </w:pPr>
    </w:p>
    <w:p w:rsidR="00FA0ABA" w:rsidRPr="00E7323E" w:rsidRDefault="00FA0ABA" w:rsidP="00FA0ABA">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Pr>
          <w:rFonts w:ascii="Times New Roman" w:hAnsi="Times New Roman" w:cs="Times New Roman"/>
          <w:b/>
          <w:sz w:val="24"/>
          <w:szCs w:val="24"/>
        </w:rPr>
        <w:t>2</w:t>
      </w:r>
      <w:r w:rsidR="0074138B">
        <w:rPr>
          <w:rFonts w:ascii="Times New Roman" w:hAnsi="Times New Roman" w:cs="Times New Roman"/>
          <w:b/>
          <w:sz w:val="24"/>
          <w:szCs w:val="24"/>
        </w:rPr>
        <w:t>8</w:t>
      </w:r>
      <w:r w:rsidRPr="00E7323E">
        <w:rPr>
          <w:rFonts w:ascii="Times New Roman" w:hAnsi="Times New Roman" w:cs="Times New Roman"/>
          <w:b/>
          <w:sz w:val="24"/>
          <w:szCs w:val="24"/>
        </w:rPr>
        <w:t>:</w:t>
      </w:r>
      <w:r>
        <w:rPr>
          <w:rFonts w:ascii="Times New Roman" w:hAnsi="Times New Roman" w:cs="Times New Roman"/>
          <w:b/>
          <w:sz w:val="24"/>
          <w:szCs w:val="24"/>
        </w:rPr>
        <w:t xml:space="preserve">  </w:t>
      </w:r>
      <w:r w:rsidRPr="00B26B88">
        <w:rPr>
          <w:rFonts w:ascii="Times New Roman" w:hAnsi="Times New Roman" w:cs="Times New Roman"/>
          <w:b/>
          <w:sz w:val="24"/>
          <w:szCs w:val="24"/>
        </w:rPr>
        <w:t xml:space="preserve">How </w:t>
      </w:r>
      <w:r>
        <w:rPr>
          <w:rFonts w:ascii="Times New Roman" w:hAnsi="Times New Roman" w:cs="Times New Roman"/>
          <w:b/>
          <w:sz w:val="24"/>
          <w:szCs w:val="24"/>
        </w:rPr>
        <w:t xml:space="preserve">is the comparability plan approach applied for purposes of the average benefits test using the </w:t>
      </w:r>
      <w:r w:rsidR="00F804F2">
        <w:rPr>
          <w:rFonts w:ascii="Times New Roman" w:hAnsi="Times New Roman" w:cs="Times New Roman"/>
          <w:b/>
          <w:sz w:val="24"/>
          <w:szCs w:val="24"/>
        </w:rPr>
        <w:t>accrued-to-</w:t>
      </w:r>
      <w:r>
        <w:rPr>
          <w:rFonts w:ascii="Times New Roman" w:hAnsi="Times New Roman" w:cs="Times New Roman"/>
          <w:b/>
          <w:sz w:val="24"/>
          <w:szCs w:val="24"/>
        </w:rPr>
        <w:t>date method</w:t>
      </w:r>
      <w:r w:rsidRPr="00B26B88">
        <w:rPr>
          <w:rFonts w:ascii="Times New Roman" w:hAnsi="Times New Roman" w:cs="Times New Roman"/>
          <w:b/>
          <w:sz w:val="24"/>
          <w:szCs w:val="24"/>
        </w:rPr>
        <w:t>?</w:t>
      </w:r>
    </w:p>
    <w:p w:rsidR="00FA0ABA" w:rsidRDefault="00FA0ABA" w:rsidP="00FA0ABA">
      <w:pPr>
        <w:pStyle w:val="NoSpacing"/>
        <w:ind w:left="1080"/>
        <w:rPr>
          <w:rFonts w:ascii="Times New Roman" w:hAnsi="Times New Roman" w:cs="Times New Roman"/>
          <w:sz w:val="24"/>
          <w:szCs w:val="24"/>
        </w:rPr>
      </w:pPr>
    </w:p>
    <w:p w:rsidR="00FA0ABA" w:rsidRDefault="00FA0ABA" w:rsidP="00FA0AB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following example demonstrates the application of the comparability plan approach for the average benefits test using the </w:t>
      </w:r>
      <w:r w:rsidR="00F804F2">
        <w:rPr>
          <w:rFonts w:ascii="Times New Roman" w:hAnsi="Times New Roman" w:cs="Times New Roman"/>
          <w:sz w:val="24"/>
          <w:szCs w:val="24"/>
        </w:rPr>
        <w:t>accrued-to-</w:t>
      </w:r>
      <w:r>
        <w:rPr>
          <w:rFonts w:ascii="Times New Roman" w:hAnsi="Times New Roman" w:cs="Times New Roman"/>
          <w:sz w:val="24"/>
          <w:szCs w:val="24"/>
        </w:rPr>
        <w:t>date method.</w:t>
      </w:r>
    </w:p>
    <w:p w:rsidR="00FA0ABA" w:rsidRDefault="00FA0ABA" w:rsidP="00FA0ABA">
      <w:pPr>
        <w:pStyle w:val="NoSpacing"/>
        <w:ind w:left="1080"/>
        <w:rPr>
          <w:rFonts w:ascii="Times New Roman" w:hAnsi="Times New Roman" w:cs="Times New Roman"/>
          <w:sz w:val="24"/>
          <w:szCs w:val="24"/>
        </w:rPr>
      </w:pPr>
    </w:p>
    <w:p w:rsidR="00296C59" w:rsidRDefault="00FA0ABA" w:rsidP="00857624">
      <w:pPr>
        <w:pStyle w:val="NoSpacing"/>
        <w:ind w:left="1080"/>
        <w:rPr>
          <w:rFonts w:ascii="Times New Roman" w:hAnsi="Times New Roman" w:cs="Times New Roman"/>
          <w:sz w:val="24"/>
          <w:szCs w:val="24"/>
        </w:rPr>
      </w:pPr>
      <w:r w:rsidRPr="00E3560C">
        <w:rPr>
          <w:rFonts w:ascii="Times New Roman" w:hAnsi="Times New Roman" w:cs="Times New Roman"/>
          <w:b/>
          <w:sz w:val="24"/>
          <w:szCs w:val="24"/>
        </w:rPr>
        <w:t xml:space="preserve">Example </w:t>
      </w:r>
      <w:r>
        <w:rPr>
          <w:rFonts w:ascii="Times New Roman" w:hAnsi="Times New Roman" w:cs="Times New Roman"/>
          <w:b/>
          <w:sz w:val="24"/>
          <w:szCs w:val="24"/>
        </w:rPr>
        <w:t>9</w:t>
      </w:r>
      <w:r w:rsidRPr="00E3560C">
        <w:rPr>
          <w:rFonts w:ascii="Times New Roman" w:hAnsi="Times New Roman" w:cs="Times New Roman"/>
          <w:b/>
          <w:sz w:val="24"/>
          <w:szCs w:val="24"/>
        </w:rPr>
        <w:t>.</w:t>
      </w:r>
      <w:r>
        <w:rPr>
          <w:rFonts w:ascii="Times New Roman" w:hAnsi="Times New Roman" w:cs="Times New Roman"/>
          <w:sz w:val="24"/>
          <w:szCs w:val="24"/>
        </w:rPr>
        <w:t xml:space="preserve">  </w:t>
      </w:r>
      <w:r w:rsidR="003B56BE" w:rsidRPr="003B56BE">
        <w:rPr>
          <w:rFonts w:ascii="Times New Roman" w:hAnsi="Times New Roman" w:cs="Times New Roman"/>
          <w:sz w:val="24"/>
          <w:szCs w:val="24"/>
        </w:rPr>
        <w:t xml:space="preserve">The </w:t>
      </w:r>
      <w:r w:rsidR="00F804F2" w:rsidRPr="003B56BE">
        <w:rPr>
          <w:rFonts w:ascii="Times New Roman" w:hAnsi="Times New Roman" w:cs="Times New Roman"/>
          <w:sz w:val="24"/>
          <w:szCs w:val="24"/>
        </w:rPr>
        <w:t>accrued</w:t>
      </w:r>
      <w:r w:rsidR="00F804F2">
        <w:rPr>
          <w:rFonts w:ascii="Times New Roman" w:hAnsi="Times New Roman" w:cs="Times New Roman"/>
          <w:sz w:val="24"/>
          <w:szCs w:val="24"/>
        </w:rPr>
        <w:t>-</w:t>
      </w:r>
      <w:r w:rsidR="00F804F2" w:rsidRPr="003B56BE">
        <w:rPr>
          <w:rFonts w:ascii="Times New Roman" w:hAnsi="Times New Roman" w:cs="Times New Roman"/>
          <w:sz w:val="24"/>
          <w:szCs w:val="24"/>
        </w:rPr>
        <w:t>to</w:t>
      </w:r>
      <w:r w:rsidR="00F804F2">
        <w:rPr>
          <w:rFonts w:ascii="Times New Roman" w:hAnsi="Times New Roman" w:cs="Times New Roman"/>
          <w:sz w:val="24"/>
          <w:szCs w:val="24"/>
        </w:rPr>
        <w:t>-</w:t>
      </w:r>
      <w:r w:rsidR="003B56BE" w:rsidRPr="003B56BE">
        <w:rPr>
          <w:rFonts w:ascii="Times New Roman" w:hAnsi="Times New Roman" w:cs="Times New Roman"/>
          <w:sz w:val="24"/>
          <w:szCs w:val="24"/>
        </w:rPr>
        <w:t xml:space="preserve">date method takes into consideration prior benefits that have been accumulated as a result of prior years’ employer contributions, forfeitures, and investment earnings. </w:t>
      </w:r>
      <w:r w:rsidR="00296C59">
        <w:rPr>
          <w:rFonts w:ascii="Times New Roman" w:hAnsi="Times New Roman" w:cs="Times New Roman"/>
          <w:sz w:val="24"/>
          <w:szCs w:val="24"/>
        </w:rPr>
        <w:t>T</w:t>
      </w:r>
      <w:r w:rsidR="003B56BE" w:rsidRPr="003B56BE">
        <w:rPr>
          <w:rFonts w:ascii="Times New Roman" w:hAnsi="Times New Roman" w:cs="Times New Roman"/>
          <w:sz w:val="24"/>
          <w:szCs w:val="24"/>
        </w:rPr>
        <w:t xml:space="preserve">he original data </w:t>
      </w:r>
      <w:r w:rsidR="00296C59">
        <w:rPr>
          <w:rFonts w:ascii="Times New Roman" w:hAnsi="Times New Roman" w:cs="Times New Roman"/>
          <w:sz w:val="24"/>
          <w:szCs w:val="24"/>
        </w:rPr>
        <w:t xml:space="preserve">from </w:t>
      </w:r>
      <w:r w:rsidR="0074138B">
        <w:rPr>
          <w:rFonts w:ascii="Times New Roman" w:hAnsi="Times New Roman" w:cs="Times New Roman"/>
          <w:sz w:val="24"/>
          <w:szCs w:val="24"/>
        </w:rPr>
        <w:t>Table</w:t>
      </w:r>
      <w:r w:rsidR="00296C59">
        <w:rPr>
          <w:rFonts w:ascii="Times New Roman" w:hAnsi="Times New Roman" w:cs="Times New Roman"/>
          <w:sz w:val="24"/>
          <w:szCs w:val="24"/>
        </w:rPr>
        <w:t xml:space="preserve"> 4-7</w:t>
      </w:r>
      <w:r w:rsidR="00F804F2">
        <w:rPr>
          <w:rFonts w:ascii="Times New Roman" w:hAnsi="Times New Roman" w:cs="Times New Roman"/>
          <w:sz w:val="24"/>
          <w:szCs w:val="24"/>
        </w:rPr>
        <w:t xml:space="preserve"> (see Q. 4.26)</w:t>
      </w:r>
      <w:r w:rsidR="00296C59">
        <w:rPr>
          <w:rFonts w:ascii="Times New Roman" w:hAnsi="Times New Roman" w:cs="Times New Roman"/>
          <w:sz w:val="24"/>
          <w:szCs w:val="24"/>
        </w:rPr>
        <w:t xml:space="preserve"> is used</w:t>
      </w:r>
      <w:r w:rsidR="0074138B">
        <w:rPr>
          <w:rFonts w:ascii="Times New Roman" w:hAnsi="Times New Roman" w:cs="Times New Roman"/>
          <w:sz w:val="24"/>
          <w:szCs w:val="24"/>
        </w:rPr>
        <w:t>, but</w:t>
      </w:r>
      <w:r w:rsidR="00296C59">
        <w:rPr>
          <w:rFonts w:ascii="Times New Roman" w:hAnsi="Times New Roman" w:cs="Times New Roman"/>
          <w:sz w:val="24"/>
          <w:szCs w:val="24"/>
        </w:rPr>
        <w:t xml:space="preserve"> </w:t>
      </w:r>
      <w:r w:rsidR="003B56BE" w:rsidRPr="003B56BE">
        <w:rPr>
          <w:rFonts w:ascii="Times New Roman" w:hAnsi="Times New Roman" w:cs="Times New Roman"/>
          <w:sz w:val="24"/>
          <w:szCs w:val="24"/>
        </w:rPr>
        <w:t xml:space="preserve">the account balance </w:t>
      </w:r>
      <w:r w:rsidR="00296C59">
        <w:rPr>
          <w:rFonts w:ascii="Times New Roman" w:hAnsi="Times New Roman" w:cs="Times New Roman"/>
          <w:sz w:val="24"/>
          <w:szCs w:val="24"/>
        </w:rPr>
        <w:t xml:space="preserve">is substituted </w:t>
      </w:r>
      <w:r w:rsidR="003B56BE" w:rsidRPr="003B56BE">
        <w:rPr>
          <w:rFonts w:ascii="Times New Roman" w:hAnsi="Times New Roman" w:cs="Times New Roman"/>
          <w:sz w:val="24"/>
          <w:szCs w:val="24"/>
        </w:rPr>
        <w:t>for the employer contributions</w:t>
      </w:r>
      <w:r w:rsidR="00296C59">
        <w:rPr>
          <w:rFonts w:ascii="Times New Roman" w:hAnsi="Times New Roman" w:cs="Times New Roman"/>
          <w:sz w:val="24"/>
          <w:szCs w:val="24"/>
        </w:rPr>
        <w:t xml:space="preserve">. </w:t>
      </w:r>
      <w:r w:rsidR="00296C59" w:rsidRPr="003B56BE">
        <w:rPr>
          <w:rFonts w:ascii="Times New Roman" w:hAnsi="Times New Roman" w:cs="Times New Roman"/>
          <w:sz w:val="24"/>
          <w:szCs w:val="24"/>
        </w:rPr>
        <w:t xml:space="preserve"> </w:t>
      </w:r>
      <w:r w:rsidR="003B56BE" w:rsidRPr="003B56BE">
        <w:rPr>
          <w:rFonts w:ascii="Times New Roman" w:hAnsi="Times New Roman" w:cs="Times New Roman"/>
          <w:sz w:val="24"/>
          <w:szCs w:val="24"/>
        </w:rPr>
        <w:t xml:space="preserve">The account balance is divided by years of service, and the result </w:t>
      </w:r>
      <w:commentRangeStart w:id="3"/>
      <w:r w:rsidR="003B56BE" w:rsidRPr="003B56BE">
        <w:rPr>
          <w:rFonts w:ascii="Times New Roman" w:hAnsi="Times New Roman" w:cs="Times New Roman"/>
          <w:sz w:val="24"/>
          <w:szCs w:val="24"/>
        </w:rPr>
        <w:t>(column 6)</w:t>
      </w:r>
      <w:commentRangeEnd w:id="3"/>
      <w:r w:rsidR="00B8554F">
        <w:rPr>
          <w:rStyle w:val="CommentReference"/>
          <w:rFonts w:ascii="Times New Roman" w:eastAsia="Times New Roman" w:hAnsi="Times New Roman" w:cs="Times New Roman"/>
        </w:rPr>
        <w:commentReference w:id="3"/>
      </w:r>
      <w:r w:rsidR="003B56BE" w:rsidRPr="003B56BE">
        <w:rPr>
          <w:rFonts w:ascii="Times New Roman" w:hAnsi="Times New Roman" w:cs="Times New Roman"/>
          <w:sz w:val="24"/>
          <w:szCs w:val="24"/>
        </w:rPr>
        <w:t xml:space="preserve"> is</w:t>
      </w:r>
      <w:r w:rsidR="0074138B">
        <w:rPr>
          <w:rFonts w:ascii="Times New Roman" w:hAnsi="Times New Roman" w:cs="Times New Roman"/>
          <w:sz w:val="24"/>
          <w:szCs w:val="24"/>
        </w:rPr>
        <w:t xml:space="preserve"> projected to the future value and the subsequent accrual</w:t>
      </w:r>
      <w:r w:rsidR="003B56BE" w:rsidRPr="003B56BE">
        <w:rPr>
          <w:rFonts w:ascii="Times New Roman" w:hAnsi="Times New Roman" w:cs="Times New Roman"/>
          <w:sz w:val="24"/>
          <w:szCs w:val="24"/>
        </w:rPr>
        <w:t>. The rate groups</w:t>
      </w:r>
      <w:r w:rsidR="00296C59">
        <w:rPr>
          <w:rFonts w:ascii="Times New Roman" w:hAnsi="Times New Roman" w:cs="Times New Roman"/>
          <w:sz w:val="24"/>
          <w:szCs w:val="24"/>
        </w:rPr>
        <w:t>,</w:t>
      </w:r>
      <w:r w:rsidR="003B56BE" w:rsidRPr="003B56BE">
        <w:rPr>
          <w:rFonts w:ascii="Times New Roman" w:hAnsi="Times New Roman" w:cs="Times New Roman"/>
          <w:sz w:val="24"/>
          <w:szCs w:val="24"/>
        </w:rPr>
        <w:t xml:space="preserve"> including permitted disparity</w:t>
      </w:r>
      <w:r w:rsidR="00296C59">
        <w:rPr>
          <w:rFonts w:ascii="Times New Roman" w:hAnsi="Times New Roman" w:cs="Times New Roman"/>
          <w:sz w:val="24"/>
          <w:szCs w:val="24"/>
        </w:rPr>
        <w:t>,</w:t>
      </w:r>
      <w:r w:rsidR="003B56BE" w:rsidRPr="003B56BE">
        <w:rPr>
          <w:rFonts w:ascii="Times New Roman" w:hAnsi="Times New Roman" w:cs="Times New Roman"/>
          <w:sz w:val="24"/>
          <w:szCs w:val="24"/>
        </w:rPr>
        <w:t xml:space="preserve"> </w:t>
      </w:r>
      <w:r w:rsidR="00296C59">
        <w:rPr>
          <w:rFonts w:ascii="Times New Roman" w:hAnsi="Times New Roman" w:cs="Times New Roman"/>
          <w:sz w:val="24"/>
          <w:szCs w:val="24"/>
        </w:rPr>
        <w:t xml:space="preserve">are illustrated in Table 4-10.  </w:t>
      </w:r>
      <w:r w:rsidR="003B56BE" w:rsidRPr="003B56BE">
        <w:rPr>
          <w:rFonts w:ascii="Times New Roman" w:hAnsi="Times New Roman" w:cs="Times New Roman"/>
          <w:sz w:val="24"/>
          <w:szCs w:val="24"/>
        </w:rPr>
        <w:t xml:space="preserve">The first rate group consists of HCE 2, NHCE </w:t>
      </w:r>
      <w:r w:rsidR="003B56BE" w:rsidRPr="003B56BE">
        <w:rPr>
          <w:rFonts w:ascii="Times New Roman" w:hAnsi="Times New Roman" w:cs="Times New Roman"/>
          <w:sz w:val="24"/>
          <w:szCs w:val="24"/>
        </w:rPr>
        <w:lastRenderedPageBreak/>
        <w:t>1, and NHCE 4. The second rate group consists of HCE 2, HCE 1, NHCE</w:t>
      </w:r>
      <w:r w:rsidR="00296C59">
        <w:rPr>
          <w:rFonts w:ascii="Times New Roman" w:hAnsi="Times New Roman" w:cs="Times New Roman"/>
          <w:sz w:val="24"/>
          <w:szCs w:val="24"/>
        </w:rPr>
        <w:t xml:space="preserve"> 1, NHCE 2, NHCE 3, and NHCE 4.</w:t>
      </w:r>
    </w:p>
    <w:p w:rsidR="00296C59" w:rsidRPr="003B56BE" w:rsidRDefault="00296C59" w:rsidP="00857624">
      <w:pPr>
        <w:pStyle w:val="NoSpacing"/>
        <w:ind w:left="1080"/>
        <w:rPr>
          <w:rFonts w:ascii="Times New Roman" w:hAnsi="Times New Roman" w:cs="Times New Roman"/>
          <w:sz w:val="24"/>
          <w:szCs w:val="24"/>
        </w:rPr>
      </w:pPr>
    </w:p>
    <w:tbl>
      <w:tblPr>
        <w:tblW w:w="9000" w:type="dxa"/>
        <w:tblInd w:w="80" w:type="dxa"/>
        <w:tblLayout w:type="fixed"/>
        <w:tblCellMar>
          <w:left w:w="0" w:type="dxa"/>
          <w:right w:w="0" w:type="dxa"/>
        </w:tblCellMar>
        <w:tblLook w:val="0000" w:firstRow="0" w:lastRow="0" w:firstColumn="0" w:lastColumn="0" w:noHBand="0" w:noVBand="0"/>
      </w:tblPr>
      <w:tblGrid>
        <w:gridCol w:w="1436"/>
        <w:gridCol w:w="1436"/>
        <w:gridCol w:w="1436"/>
        <w:gridCol w:w="1542"/>
        <w:gridCol w:w="1436"/>
        <w:gridCol w:w="1714"/>
      </w:tblGrid>
      <w:tr w:rsidR="003B56BE" w:rsidRPr="003B56BE" w:rsidTr="00E826AF">
        <w:trPr>
          <w:trHeight w:val="60"/>
        </w:trPr>
        <w:tc>
          <w:tcPr>
            <w:tcW w:w="9000" w:type="dxa"/>
            <w:gridSpan w:val="6"/>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3B56BE" w:rsidRPr="003B56BE" w:rsidRDefault="003B56BE" w:rsidP="00F804F2">
            <w:pPr>
              <w:pStyle w:val="TableHead"/>
              <w:rPr>
                <w:rFonts w:ascii="Times New Roman" w:hAnsi="Times New Roman" w:cs="Times New Roman"/>
                <w:color w:val="auto"/>
                <w:sz w:val="24"/>
                <w:szCs w:val="24"/>
              </w:rPr>
            </w:pPr>
            <w:r w:rsidRPr="003B56BE">
              <w:rPr>
                <w:rFonts w:ascii="Times New Roman" w:hAnsi="Times New Roman" w:cs="Times New Roman"/>
                <w:color w:val="auto"/>
                <w:sz w:val="24"/>
                <w:szCs w:val="24"/>
              </w:rPr>
              <w:t xml:space="preserve">Table </w:t>
            </w:r>
            <w:r w:rsidR="00296C59">
              <w:rPr>
                <w:rFonts w:ascii="Times New Roman" w:hAnsi="Times New Roman" w:cs="Times New Roman"/>
                <w:color w:val="auto"/>
                <w:sz w:val="24"/>
                <w:szCs w:val="24"/>
              </w:rPr>
              <w:t>4</w:t>
            </w:r>
            <w:r w:rsidRPr="003B56BE">
              <w:rPr>
                <w:rFonts w:ascii="Times New Roman" w:hAnsi="Times New Roman" w:cs="Times New Roman"/>
                <w:color w:val="auto"/>
                <w:sz w:val="24"/>
                <w:szCs w:val="24"/>
              </w:rPr>
              <w:t>-</w:t>
            </w:r>
            <w:r w:rsidR="00296C59">
              <w:rPr>
                <w:rFonts w:ascii="Times New Roman" w:hAnsi="Times New Roman" w:cs="Times New Roman"/>
                <w:color w:val="auto"/>
                <w:sz w:val="24"/>
                <w:szCs w:val="24"/>
              </w:rPr>
              <w:t>9</w:t>
            </w:r>
            <w:r w:rsidRPr="003B56BE">
              <w:rPr>
                <w:rFonts w:ascii="Times New Roman" w:hAnsi="Times New Roman" w:cs="Times New Roman"/>
                <w:color w:val="auto"/>
                <w:sz w:val="24"/>
                <w:szCs w:val="24"/>
              </w:rPr>
              <w:t>. </w:t>
            </w:r>
            <w:r w:rsidR="00F804F2" w:rsidRPr="003B56BE">
              <w:rPr>
                <w:rFonts w:ascii="Times New Roman" w:hAnsi="Times New Roman" w:cs="Times New Roman"/>
                <w:color w:val="auto"/>
                <w:sz w:val="24"/>
                <w:szCs w:val="24"/>
              </w:rPr>
              <w:t>Accrued</w:t>
            </w:r>
            <w:r w:rsidR="00F804F2">
              <w:rPr>
                <w:rFonts w:ascii="Times New Roman" w:hAnsi="Times New Roman" w:cs="Times New Roman"/>
                <w:color w:val="auto"/>
                <w:sz w:val="24"/>
                <w:szCs w:val="24"/>
              </w:rPr>
              <w:t>-</w:t>
            </w:r>
            <w:r w:rsidR="00F804F2" w:rsidRPr="003B56BE">
              <w:rPr>
                <w:rFonts w:ascii="Times New Roman" w:hAnsi="Times New Roman" w:cs="Times New Roman"/>
                <w:color w:val="auto"/>
                <w:sz w:val="24"/>
                <w:szCs w:val="24"/>
              </w:rPr>
              <w:t>to</w:t>
            </w:r>
            <w:r w:rsidR="00F804F2">
              <w:rPr>
                <w:rFonts w:ascii="Times New Roman" w:hAnsi="Times New Roman" w:cs="Times New Roman"/>
                <w:color w:val="auto"/>
                <w:sz w:val="24"/>
                <w:szCs w:val="24"/>
              </w:rPr>
              <w:t>-</w:t>
            </w:r>
            <w:r w:rsidRPr="003B56BE">
              <w:rPr>
                <w:rFonts w:ascii="Times New Roman" w:hAnsi="Times New Roman" w:cs="Times New Roman"/>
                <w:color w:val="auto"/>
                <w:sz w:val="24"/>
                <w:szCs w:val="24"/>
              </w:rPr>
              <w:t>Date Method of Nondiscrimination Testing</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1</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2</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3</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4</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5</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i/>
                <w:iCs/>
              </w:rPr>
              <w:t>Salary</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i/>
                <w:iCs/>
              </w:rPr>
              <w:t>Age</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i/>
                <w:iCs/>
              </w:rPr>
              <w:t xml:space="preserve">Employer </w:t>
            </w:r>
            <w:r w:rsidRPr="003B56BE">
              <w:rPr>
                <w:b/>
                <w:bCs/>
                <w:i/>
                <w:iCs/>
              </w:rPr>
              <w:br/>
              <w:t>Contributions</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i/>
                <w:iCs/>
              </w:rPr>
              <w:t xml:space="preserve">Current </w:t>
            </w:r>
            <w:r w:rsidRPr="003B56BE">
              <w:rPr>
                <w:b/>
                <w:bCs/>
                <w:i/>
                <w:iCs/>
              </w:rPr>
              <w:br/>
              <w:t>Account Balance</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i/>
                <w:iCs/>
              </w:rPr>
              <w:t>Service</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HCE #1</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0E3760">
            <w:pPr>
              <w:ind w:right="120"/>
              <w:jc w:val="right"/>
            </w:pPr>
            <w:r w:rsidRPr="003B56BE">
              <w:t>$2</w:t>
            </w:r>
            <w:r w:rsidR="000E3760">
              <w:t>5</w:t>
            </w:r>
            <w:r w:rsidRPr="003B56BE">
              <w:t>5,000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60</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0E3760">
            <w:pPr>
              <w:ind w:right="300"/>
              <w:jc w:val="right"/>
            </w:pPr>
            <w:r w:rsidRPr="003B56BE">
              <w:t>$</w:t>
            </w:r>
            <w:r w:rsidR="000E3760">
              <w:t>51</w:t>
            </w:r>
            <w:r w:rsidRPr="003B56BE">
              <w:t>,000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ind w:right="77"/>
              <w:jc w:val="right"/>
            </w:pPr>
            <w:r w:rsidRPr="003B56BE">
              <w:t>$1,</w:t>
            </w:r>
            <w:r w:rsidR="000C30C2">
              <w:t>301</w:t>
            </w:r>
            <w:r w:rsidRPr="003B56BE">
              <w:t>,</w:t>
            </w:r>
            <w:r w:rsidR="00EF433D">
              <w:t>10</w:t>
            </w:r>
            <w:r w:rsidRPr="003B56BE">
              <w:t>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15</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HCE #2</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0E3760">
            <w:pPr>
              <w:ind w:right="120"/>
              <w:jc w:val="right"/>
              <w:rPr>
                <w:u w:val="single"/>
              </w:rPr>
            </w:pPr>
            <w:r w:rsidRPr="003B56BE">
              <w:rPr>
                <w:u w:val="single"/>
              </w:rPr>
              <w:t xml:space="preserve">  </w:t>
            </w:r>
            <w:r w:rsidR="000E3760">
              <w:rPr>
                <w:u w:val="single"/>
              </w:rPr>
              <w:t>$</w:t>
            </w:r>
            <w:r w:rsidRPr="003B56BE">
              <w:rPr>
                <w:u w:val="single"/>
              </w:rPr>
              <w:t>1</w:t>
            </w:r>
            <w:r w:rsidR="000E3760">
              <w:rPr>
                <w:u w:val="single"/>
              </w:rPr>
              <w:t>15</w:t>
            </w:r>
            <w:r w:rsidRPr="003B56BE">
              <w:rPr>
                <w:u w:val="single"/>
              </w:rPr>
              <w:t>,000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55</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0E3760">
            <w:pPr>
              <w:ind w:right="300"/>
              <w:jc w:val="right"/>
              <w:rPr>
                <w:u w:val="single"/>
              </w:rPr>
            </w:pPr>
            <w:r w:rsidRPr="003B56BE">
              <w:rPr>
                <w:u w:val="single"/>
              </w:rPr>
              <w:t xml:space="preserve">  </w:t>
            </w:r>
            <w:r w:rsidR="000E3760">
              <w:rPr>
                <w:u w:val="single"/>
              </w:rPr>
              <w:t>$</w:t>
            </w:r>
            <w:r w:rsidRPr="003B56BE">
              <w:rPr>
                <w:u w:val="single"/>
              </w:rPr>
              <w:t>2</w:t>
            </w:r>
            <w:r w:rsidR="000E3760">
              <w:rPr>
                <w:u w:val="single"/>
              </w:rPr>
              <w:t>8</w:t>
            </w:r>
            <w:r w:rsidRPr="003B56BE">
              <w:rPr>
                <w:u w:val="single"/>
              </w:rPr>
              <w:t>,</w:t>
            </w:r>
            <w:r w:rsidR="000E3760">
              <w:rPr>
                <w:u w:val="single"/>
              </w:rPr>
              <w:t>750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ind w:right="77"/>
              <w:jc w:val="right"/>
            </w:pPr>
            <w:r w:rsidRPr="003B56BE">
              <w:t xml:space="preserve">$   </w:t>
            </w:r>
            <w:r w:rsidR="00EF433D">
              <w:t>431</w:t>
            </w:r>
            <w:r w:rsidRPr="003B56BE">
              <w:t>,</w:t>
            </w:r>
            <w:r w:rsidR="00EF433D">
              <w:t>25</w:t>
            </w:r>
            <w:r w:rsidRPr="003B56BE">
              <w:t>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10</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rPr>
                <w:b/>
              </w:rPr>
            </w:pPr>
            <w:r w:rsidRPr="0033241C">
              <w:rPr>
                <w:b/>
              </w:rPr>
              <w:t>S TOTAL</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0E3760">
            <w:pPr>
              <w:ind w:right="120"/>
              <w:jc w:val="right"/>
              <w:rPr>
                <w:b/>
                <w:u w:val="single"/>
              </w:rPr>
            </w:pPr>
            <w:r w:rsidRPr="0033241C">
              <w:rPr>
                <w:b/>
                <w:u w:val="single"/>
              </w:rPr>
              <w:t>$3</w:t>
            </w:r>
            <w:r w:rsidR="000E3760" w:rsidRPr="0033241C">
              <w:rPr>
                <w:b/>
                <w:u w:val="single"/>
              </w:rPr>
              <w:t>70</w:t>
            </w:r>
            <w:r w:rsidRPr="0033241C">
              <w:rPr>
                <w:b/>
                <w:u w:val="single"/>
              </w:rPr>
              <w:t>,000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0E3760">
            <w:pPr>
              <w:ind w:right="300"/>
              <w:jc w:val="right"/>
              <w:rPr>
                <w:b/>
                <w:u w:val="single"/>
              </w:rPr>
            </w:pPr>
            <w:r w:rsidRPr="0033241C">
              <w:rPr>
                <w:b/>
                <w:u w:val="single"/>
              </w:rPr>
              <w:t>$7</w:t>
            </w:r>
            <w:r w:rsidR="000E3760" w:rsidRPr="0033241C">
              <w:rPr>
                <w:b/>
                <w:u w:val="single"/>
              </w:rPr>
              <w:t>9</w:t>
            </w:r>
            <w:r w:rsidRPr="0033241C">
              <w:rPr>
                <w:b/>
                <w:u w:val="single"/>
              </w:rPr>
              <w:t>,</w:t>
            </w:r>
            <w:r w:rsidR="000E3760" w:rsidRPr="0033241C">
              <w:rPr>
                <w:b/>
                <w:u w:val="single"/>
              </w:rPr>
              <w:t>75</w:t>
            </w:r>
            <w:r w:rsidRPr="0033241C">
              <w:rPr>
                <w:b/>
                <w:u w:val="single"/>
              </w:rPr>
              <w:t>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#1</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pPr>
            <w:r w:rsidRPr="003B56BE">
              <w:t>$  25,000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50</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pPr>
            <w:r w:rsidRPr="003B56BE">
              <w:t>$  1,025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    82,000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12</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#2</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0E3760" w:rsidP="00E826AF">
            <w:pPr>
              <w:ind w:right="120"/>
              <w:jc w:val="right"/>
            </w:pPr>
            <w:r>
              <w:t xml:space="preserve">$  </w:t>
            </w:r>
            <w:r w:rsidR="003B56BE" w:rsidRPr="003B56BE">
              <w:t>35,000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38</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0E3760" w:rsidP="00E826AF">
            <w:pPr>
              <w:ind w:right="300"/>
              <w:jc w:val="right"/>
            </w:pPr>
            <w:r>
              <w:t xml:space="preserve">$  </w:t>
            </w:r>
            <w:r w:rsidR="003B56BE" w:rsidRPr="003B56BE">
              <w:t>1,435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    22,000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6</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#3</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0E3760" w:rsidP="00E826AF">
            <w:pPr>
              <w:ind w:right="120"/>
              <w:jc w:val="right"/>
            </w:pPr>
            <w:r>
              <w:t xml:space="preserve">$  </w:t>
            </w:r>
            <w:r w:rsidR="003B56BE" w:rsidRPr="003B56BE">
              <w:t>28,000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29</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0E3760" w:rsidP="00E826AF">
            <w:pPr>
              <w:ind w:right="300"/>
              <w:jc w:val="right"/>
            </w:pPr>
            <w:r>
              <w:t xml:space="preserve">$  </w:t>
            </w:r>
            <w:r w:rsidR="003B56BE" w:rsidRPr="003B56BE">
              <w:t>1,148</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      3,000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2</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#4</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0E3760" w:rsidP="00E826AF">
            <w:pPr>
              <w:ind w:right="120"/>
              <w:jc w:val="right"/>
            </w:pPr>
            <w:r>
              <w:t xml:space="preserve">$  </w:t>
            </w:r>
            <w:r w:rsidR="003B56BE" w:rsidRPr="003B56BE">
              <w:t>18,000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25</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0E3760" w:rsidP="00E826AF">
            <w:pPr>
              <w:ind w:right="300"/>
              <w:jc w:val="right"/>
            </w:pPr>
            <w:r>
              <w:t xml:space="preserve">$     </w:t>
            </w:r>
            <w:r w:rsidR="003B56BE" w:rsidRPr="003B56BE">
              <w:t>738</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    11,000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6</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rPr>
                <w:u w:val="single"/>
              </w:rPr>
            </w:pPr>
            <w:r w:rsidRPr="003B56BE">
              <w:rPr>
                <w:u w:val="single"/>
              </w:rPr>
              <w:t xml:space="preserve">   </w:t>
            </w:r>
            <w:r w:rsidR="000E3760">
              <w:rPr>
                <w:u w:val="single"/>
              </w:rPr>
              <w:t xml:space="preserve">$  </w:t>
            </w:r>
            <w:r w:rsidRPr="003B56BE">
              <w:rPr>
                <w:u w:val="single"/>
              </w:rPr>
              <w:t>50,000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48</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rPr>
                <w:u w:val="single"/>
              </w:rPr>
            </w:pPr>
            <w:r w:rsidRPr="003B56BE">
              <w:rPr>
                <w:u w:val="single"/>
              </w:rPr>
              <w:t xml:space="preserve">    </w:t>
            </w:r>
            <w:r w:rsidR="000E3760">
              <w:rPr>
                <w:u w:val="single"/>
              </w:rPr>
              <w:t xml:space="preserve">$  </w:t>
            </w:r>
            <w:r w:rsidRPr="003B56BE">
              <w:rPr>
                <w:u w:val="single"/>
              </w:rPr>
              <w:t>2,050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      9,000</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5</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rPr>
                <w:b/>
              </w:rPr>
            </w:pPr>
            <w:r w:rsidRPr="0033241C">
              <w:rPr>
                <w:b/>
              </w:rPr>
              <w:t>S TOTAL</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ind w:right="120"/>
              <w:jc w:val="right"/>
              <w:rPr>
                <w:b/>
                <w:u w:val="single"/>
              </w:rPr>
            </w:pPr>
            <w:r w:rsidRPr="0033241C">
              <w:rPr>
                <w:b/>
                <w:u w:val="single"/>
              </w:rPr>
              <w:t>$156,000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ind w:right="300"/>
              <w:jc w:val="right"/>
              <w:rPr>
                <w:b/>
                <w:u w:val="single"/>
              </w:rPr>
            </w:pPr>
            <w:r w:rsidRPr="0033241C">
              <w:rPr>
                <w:b/>
                <w:u w:val="single"/>
              </w:rPr>
              <w:t>$  6,396</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r>
      <w:tr w:rsidR="00F804F2"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04F2" w:rsidRPr="003B56BE" w:rsidRDefault="00F804F2" w:rsidP="00E826AF"/>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04F2" w:rsidRPr="003B56BE" w:rsidRDefault="00F804F2" w:rsidP="00E826AF">
            <w:pPr>
              <w:ind w:right="120"/>
              <w:jc w:val="right"/>
              <w:rPr>
                <w:u w:val="single"/>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04F2" w:rsidRPr="003B56BE" w:rsidRDefault="00F804F2" w:rsidP="00E826AF">
            <w:pPr>
              <w:pStyle w:val="NoParagraphStyle"/>
              <w:spacing w:line="240" w:lineRule="auto"/>
              <w:textAlignment w:val="auto"/>
              <w:rPr>
                <w:rFonts w:ascii="Times New Roman" w:hAnsi="Times New Roman" w:cs="Times New Roman"/>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04F2" w:rsidRPr="003B56BE" w:rsidRDefault="00F804F2" w:rsidP="00E826AF">
            <w:pPr>
              <w:ind w:right="300"/>
              <w:jc w:val="right"/>
              <w:rPr>
                <w:u w:val="single"/>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04F2" w:rsidRPr="003B56BE" w:rsidRDefault="00F804F2" w:rsidP="00E826AF">
            <w:pPr>
              <w:pStyle w:val="NoParagraphStyle"/>
              <w:spacing w:line="240" w:lineRule="auto"/>
              <w:textAlignment w:val="auto"/>
              <w:rPr>
                <w:rFonts w:ascii="Times New Roman" w:hAnsi="Times New Roman" w:cs="Times New Roman"/>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04F2" w:rsidRPr="003B56BE" w:rsidRDefault="00F804F2" w:rsidP="00E826AF">
            <w:pPr>
              <w:pStyle w:val="NoParagraphStyle"/>
              <w:spacing w:line="240" w:lineRule="auto"/>
              <w:textAlignment w:val="auto"/>
              <w:rPr>
                <w:rFonts w:ascii="Times New Roman" w:hAnsi="Times New Roman" w:cs="Times New Roman"/>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rPr>
                <w:b/>
              </w:rPr>
            </w:pPr>
            <w:r w:rsidRPr="0033241C">
              <w:rPr>
                <w:b/>
              </w:rPr>
              <w:t>TOTAL</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F804F2">
            <w:pPr>
              <w:ind w:right="120"/>
              <w:jc w:val="right"/>
              <w:rPr>
                <w:b/>
                <w:u w:val="single"/>
              </w:rPr>
            </w:pPr>
            <w:r w:rsidRPr="0033241C">
              <w:rPr>
                <w:b/>
                <w:u w:val="single"/>
              </w:rPr>
              <w:t>$</w:t>
            </w:r>
            <w:r w:rsidR="00F804F2">
              <w:rPr>
                <w:b/>
                <w:u w:val="single"/>
              </w:rPr>
              <w:t>526,000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F804F2">
            <w:pPr>
              <w:ind w:right="300"/>
              <w:jc w:val="right"/>
              <w:rPr>
                <w:b/>
                <w:u w:val="single"/>
              </w:rPr>
            </w:pPr>
            <w:r w:rsidRPr="0033241C">
              <w:rPr>
                <w:b/>
                <w:u w:val="single"/>
              </w:rPr>
              <w:t>$</w:t>
            </w:r>
            <w:r w:rsidR="00F804F2">
              <w:rPr>
                <w:b/>
                <w:u w:val="single"/>
              </w:rPr>
              <w:t>86,146</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3241C" w:rsidRDefault="003B56BE" w:rsidP="00E826AF">
            <w:pPr>
              <w:pStyle w:val="NoParagraphStyle"/>
              <w:spacing w:line="240" w:lineRule="auto"/>
              <w:textAlignment w:val="auto"/>
              <w:rPr>
                <w:rFonts w:ascii="Times New Roman" w:hAnsi="Times New Roman" w:cs="Times New Roman"/>
                <w:b/>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6</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7</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8</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9</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B56BE" w:rsidRDefault="003B56BE" w:rsidP="00E826AF">
            <w:pPr>
              <w:jc w:val="center"/>
            </w:pPr>
            <w:r w:rsidRPr="003B56BE">
              <w:rPr>
                <w:b/>
                <w:bCs/>
              </w:rPr>
              <w:t>10</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3241C" w:rsidRDefault="003B56BE" w:rsidP="00E826AF">
            <w:pPr>
              <w:pStyle w:val="NoParagraphStyle"/>
              <w:spacing w:line="240" w:lineRule="auto"/>
              <w:textAlignment w:val="auto"/>
              <w:rPr>
                <w:rFonts w:ascii="Times New Roman" w:hAnsi="Times New Roman" w:cs="Times New Roman"/>
                <w:color w:val="auto"/>
                <w:highlight w:val="yellow"/>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3241C" w:rsidRDefault="003B56BE" w:rsidP="00E826AF">
            <w:pPr>
              <w:jc w:val="center"/>
              <w:rPr>
                <w:highlight w:val="yellow"/>
              </w:rPr>
            </w:pPr>
            <w:r w:rsidRPr="0033241C">
              <w:rPr>
                <w:b/>
                <w:bCs/>
                <w:i/>
                <w:iCs/>
                <w:highlight w:val="yellow"/>
              </w:rPr>
              <w:t>Column 4 Divided By Column 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3241C" w:rsidRDefault="003B56BE" w:rsidP="00E826AF">
            <w:pPr>
              <w:jc w:val="center"/>
              <w:rPr>
                <w:highlight w:val="yellow"/>
              </w:rPr>
            </w:pPr>
            <w:r w:rsidRPr="0033241C">
              <w:rPr>
                <w:b/>
                <w:bCs/>
                <w:i/>
                <w:iCs/>
                <w:highlight w:val="yellow"/>
              </w:rPr>
              <w:t>Future value</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3241C" w:rsidRDefault="003B56BE" w:rsidP="00E826AF">
            <w:pPr>
              <w:jc w:val="center"/>
              <w:rPr>
                <w:highlight w:val="yellow"/>
              </w:rPr>
            </w:pPr>
            <w:r w:rsidRPr="0033241C">
              <w:rPr>
                <w:b/>
                <w:bCs/>
                <w:i/>
                <w:iCs/>
                <w:highlight w:val="yellow"/>
              </w:rPr>
              <w:t>Accrual</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3241C" w:rsidRDefault="003B56BE" w:rsidP="00E826AF">
            <w:pPr>
              <w:jc w:val="center"/>
              <w:rPr>
                <w:highlight w:val="yellow"/>
              </w:rPr>
            </w:pPr>
            <w:r w:rsidRPr="0033241C">
              <w:rPr>
                <w:b/>
                <w:bCs/>
                <w:i/>
                <w:iCs/>
                <w:highlight w:val="yellow"/>
              </w:rPr>
              <w:t>Accrual Rate</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B56BE" w:rsidRPr="0033241C" w:rsidRDefault="003B56BE" w:rsidP="00E826AF">
            <w:pPr>
              <w:jc w:val="center"/>
              <w:rPr>
                <w:highlight w:val="yellow"/>
              </w:rPr>
            </w:pPr>
            <w:r w:rsidRPr="0033241C">
              <w:rPr>
                <w:b/>
                <w:bCs/>
                <w:i/>
                <w:iCs/>
                <w:highlight w:val="yellow"/>
              </w:rPr>
              <w:t>Accrual With Social Security</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HCE #1</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ind w:right="120"/>
              <w:jc w:val="right"/>
            </w:pPr>
            <w:r w:rsidRPr="003B56BE">
              <w:t>$8</w:t>
            </w:r>
            <w:r w:rsidR="00EF433D">
              <w:t>6</w:t>
            </w:r>
            <w:r w:rsidRPr="003B56BE">
              <w:t>,</w:t>
            </w:r>
            <w:r w:rsidR="00EF433D">
              <w:t>740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jc w:val="center"/>
            </w:pPr>
            <w:r w:rsidRPr="003B56BE">
              <w:t>$1</w:t>
            </w:r>
            <w:r w:rsidR="00EF433D">
              <w:t>24</w:t>
            </w:r>
            <w:r w:rsidRPr="003B56BE">
              <w:t>,</w:t>
            </w:r>
            <w:r w:rsidR="00EF433D">
              <w:t>526</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ind w:right="300"/>
              <w:jc w:val="right"/>
            </w:pPr>
            <w:r w:rsidRPr="003B56BE">
              <w:t>$ 10,</w:t>
            </w:r>
            <w:r w:rsidR="00EF433D">
              <w:t>865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4.261%</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4.388%</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HCE #2</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ind w:right="120"/>
              <w:jc w:val="right"/>
            </w:pPr>
            <w:r w:rsidRPr="003B56BE">
              <w:t>$</w:t>
            </w:r>
            <w:r w:rsidR="00EF433D">
              <w:t>43</w:t>
            </w:r>
            <w:r w:rsidRPr="003B56BE">
              <w:t>,</w:t>
            </w:r>
            <w:r w:rsidR="00EF433D">
              <w:t>125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jc w:val="center"/>
            </w:pPr>
            <w:r w:rsidRPr="003B56BE">
              <w:t xml:space="preserve">$  </w:t>
            </w:r>
            <w:r w:rsidR="00EF433D">
              <w:t>88</w:t>
            </w:r>
            <w:r w:rsidRPr="003B56BE">
              <w:t>,</w:t>
            </w:r>
            <w:r w:rsidR="00EF433D">
              <w:t>882</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F433D">
            <w:pPr>
              <w:ind w:right="300"/>
              <w:jc w:val="right"/>
            </w:pPr>
            <w:r w:rsidRPr="003B56BE">
              <w:t xml:space="preserve">  $  </w:t>
            </w:r>
            <w:r w:rsidR="00EF433D">
              <w:t>7</w:t>
            </w:r>
            <w:r w:rsidRPr="003B56BE">
              <w:t>,7</w:t>
            </w:r>
            <w:r w:rsidR="00EF433D">
              <w:t>55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6.744%</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7.116%</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#1</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pPr>
            <w:r w:rsidRPr="003B56BE">
              <w:t>$ 6,833</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$ 20,219</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pPr>
            <w:r w:rsidRPr="003B56BE">
              <w:t>$   1,764</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7.057%</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7.757%</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lastRenderedPageBreak/>
              <w:t>NHCE #2</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pPr>
            <w:r w:rsidRPr="003B56BE">
              <w:t>$ 3,667</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$ 25,840</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pPr>
            <w:r w:rsidRPr="003B56BE">
              <w:t>$   2,255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6.442%</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7.092%</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#3</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pPr>
            <w:r w:rsidRPr="003B56BE">
              <w:t>$ 1,500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$ 20,267</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pPr>
            <w:r w:rsidRPr="003B56BE">
              <w:t>$   1,769</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6.316%</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6.966%</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#4</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pPr>
            <w:r w:rsidRPr="003B56BE">
              <w:t>$ 1,833</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$ 33,081</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pPr>
            <w:r w:rsidRPr="003B56BE">
              <w:t>$   2,887</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16.037%</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16.687%</w:t>
            </w:r>
          </w:p>
        </w:tc>
      </w:tr>
      <w:tr w:rsidR="003B56BE" w:rsidRPr="003B56BE" w:rsidTr="00E826AF">
        <w:trPr>
          <w:trHeight w:val="60"/>
        </w:trPr>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r w:rsidRPr="003B56BE">
              <w:t>NHCE #5</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120"/>
              <w:jc w:val="right"/>
            </w:pPr>
            <w:r w:rsidRPr="003B56BE">
              <w:t>$ 1,800</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   6,155</w:t>
            </w:r>
          </w:p>
        </w:tc>
        <w:tc>
          <w:tcPr>
            <w:tcW w:w="1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300"/>
              <w:jc w:val="right"/>
            </w:pPr>
            <w:r w:rsidRPr="003B56BE">
              <w:t>$      537</w:t>
            </w:r>
          </w:p>
        </w:tc>
        <w:tc>
          <w:tcPr>
            <w:tcW w:w="1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ind w:right="77"/>
              <w:jc w:val="right"/>
            </w:pPr>
            <w:r w:rsidRPr="003B56BE">
              <w:t>1.074%</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center"/>
            </w:pPr>
            <w:r w:rsidRPr="003B56BE">
              <w:t>1.774%</w:t>
            </w:r>
          </w:p>
        </w:tc>
      </w:tr>
    </w:tbl>
    <w:p w:rsidR="003B56BE" w:rsidRPr="003B56BE" w:rsidRDefault="003B56BE" w:rsidP="003B56BE">
      <w:pPr>
        <w:pStyle w:val="PA"/>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94"/>
        <w:gridCol w:w="1020"/>
        <w:gridCol w:w="1073"/>
        <w:gridCol w:w="1101"/>
      </w:tblGrid>
      <w:tr w:rsidR="003B56BE" w:rsidRPr="003B56BE" w:rsidTr="00E826AF">
        <w:trPr>
          <w:trHeight w:val="60"/>
          <w:jc w:val="center"/>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296C59">
            <w:pPr>
              <w:pStyle w:val="TableHead"/>
              <w:rPr>
                <w:rFonts w:ascii="Times New Roman" w:hAnsi="Times New Roman" w:cs="Times New Roman"/>
                <w:color w:val="auto"/>
                <w:sz w:val="24"/>
                <w:szCs w:val="24"/>
              </w:rPr>
            </w:pPr>
            <w:r w:rsidRPr="003B56BE">
              <w:rPr>
                <w:rFonts w:ascii="Times New Roman" w:hAnsi="Times New Roman" w:cs="Times New Roman"/>
                <w:color w:val="auto"/>
                <w:sz w:val="24"/>
                <w:szCs w:val="24"/>
              </w:rPr>
              <w:t xml:space="preserve">Table </w:t>
            </w:r>
            <w:r w:rsidR="00296C59">
              <w:rPr>
                <w:rFonts w:ascii="Times New Roman" w:hAnsi="Times New Roman" w:cs="Times New Roman"/>
                <w:color w:val="auto"/>
                <w:sz w:val="24"/>
                <w:szCs w:val="24"/>
              </w:rPr>
              <w:t>4</w:t>
            </w:r>
            <w:r w:rsidRPr="003B56BE">
              <w:rPr>
                <w:rFonts w:ascii="Times New Roman" w:hAnsi="Times New Roman" w:cs="Times New Roman"/>
                <w:color w:val="auto"/>
                <w:sz w:val="24"/>
                <w:szCs w:val="24"/>
              </w:rPr>
              <w:t>-</w:t>
            </w:r>
            <w:r w:rsidR="00296C59">
              <w:rPr>
                <w:rFonts w:ascii="Times New Roman" w:hAnsi="Times New Roman" w:cs="Times New Roman"/>
                <w:color w:val="auto"/>
                <w:sz w:val="24"/>
                <w:szCs w:val="24"/>
              </w:rPr>
              <w:t>10</w:t>
            </w:r>
            <w:r w:rsidRPr="003B56BE">
              <w:rPr>
                <w:rFonts w:ascii="Times New Roman" w:hAnsi="Times New Roman" w:cs="Times New Roman"/>
                <w:color w:val="auto"/>
                <w:sz w:val="24"/>
                <w:szCs w:val="24"/>
              </w:rPr>
              <w:t>. Ratio Percentage Test</w:t>
            </w:r>
          </w:p>
        </w:tc>
      </w:tr>
      <w:tr w:rsidR="003B56BE" w:rsidRPr="003B56BE" w:rsidTr="00E826AF">
        <w:trPr>
          <w:trHeight w:val="60"/>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suppressAutoHyphens/>
              <w:jc w:val="center"/>
              <w:rPr>
                <w:u w:val="single"/>
              </w:rPr>
            </w:pPr>
            <w:r w:rsidRPr="003B56BE">
              <w:rPr>
                <w:b/>
                <w:bCs/>
                <w:i/>
                <w:iCs/>
                <w:u w:val="single"/>
              </w:rPr>
              <w:t>First Rate Group:</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suppressAutoHyphens/>
              <w:jc w:val="center"/>
              <w:rPr>
                <w:u w:val="single"/>
              </w:rPr>
            </w:pPr>
            <w:r w:rsidRPr="003B56BE">
              <w:rPr>
                <w:b/>
                <w:bCs/>
                <w:i/>
                <w:iCs/>
                <w:u w:val="single"/>
              </w:rPr>
              <w:t>Second Rate Group:</w:t>
            </w:r>
          </w:p>
        </w:tc>
      </w:tr>
      <w:tr w:rsidR="003B56BE" w:rsidRPr="003B56BE" w:rsidTr="00E826AF">
        <w:trPr>
          <w:trHeight w:val="2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7.116%</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7.116%</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HCE 1</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4.674%</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NHCE 1</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7.757%</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NHCE 2</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7.757%</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16.687%</w:t>
            </w: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NHCE 3</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7.092%</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NHCE 4</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6.966%</w:t>
            </w:r>
          </w:p>
        </w:tc>
      </w:tr>
      <w:tr w:rsidR="003B56BE" w:rsidRPr="003B56BE" w:rsidTr="00E826AF">
        <w:trPr>
          <w:trHeight w:val="60"/>
          <w:jc w:val="center"/>
        </w:trPr>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B56BE" w:rsidRPr="003B56BE" w:rsidRDefault="003B56BE" w:rsidP="00E826AF">
            <w:r w:rsidRPr="003B56BE">
              <w:t>NHCE 5</w:t>
            </w:r>
          </w:p>
        </w:tc>
        <w:tc>
          <w:tcPr>
            <w:tcW w:w="0" w:type="auto"/>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B56BE" w:rsidRPr="003B56BE" w:rsidRDefault="003B56BE" w:rsidP="00E826AF">
            <w:pPr>
              <w:jc w:val="right"/>
            </w:pPr>
            <w:r w:rsidRPr="003B56BE">
              <w:t>16.687%</w:t>
            </w:r>
          </w:p>
        </w:tc>
      </w:tr>
    </w:tbl>
    <w:p w:rsidR="003B56BE" w:rsidRPr="003B56BE" w:rsidRDefault="003B56BE" w:rsidP="003B56BE">
      <w:pPr>
        <w:pStyle w:val="PA"/>
        <w:rPr>
          <w:rFonts w:ascii="Times New Roman" w:hAnsi="Times New Roman"/>
          <w:sz w:val="24"/>
          <w:szCs w:val="24"/>
        </w:rPr>
      </w:pPr>
    </w:p>
    <w:p w:rsidR="00C353FE" w:rsidRDefault="003B56BE" w:rsidP="00857624">
      <w:pPr>
        <w:pStyle w:val="NoSpacing"/>
        <w:ind w:left="1080"/>
        <w:rPr>
          <w:rFonts w:ascii="Times New Roman" w:hAnsi="Times New Roman" w:cs="Times New Roman"/>
          <w:sz w:val="24"/>
          <w:szCs w:val="24"/>
        </w:rPr>
      </w:pPr>
      <w:r w:rsidRPr="003B56BE">
        <w:rPr>
          <w:rFonts w:ascii="Times New Roman" w:hAnsi="Times New Roman" w:cs="Times New Roman"/>
          <w:sz w:val="24"/>
          <w:szCs w:val="24"/>
        </w:rPr>
        <w:t xml:space="preserve">Following the same approach as </w:t>
      </w:r>
      <w:r w:rsidR="00E337CF">
        <w:rPr>
          <w:rFonts w:ascii="Times New Roman" w:hAnsi="Times New Roman" w:cs="Times New Roman"/>
          <w:sz w:val="24"/>
          <w:szCs w:val="24"/>
        </w:rPr>
        <w:t xml:space="preserve">in </w:t>
      </w:r>
      <w:r w:rsidRPr="003B56BE">
        <w:rPr>
          <w:rFonts w:ascii="Times New Roman" w:hAnsi="Times New Roman" w:cs="Times New Roman"/>
          <w:sz w:val="24"/>
          <w:szCs w:val="24"/>
        </w:rPr>
        <w:t>the prior two examples</w:t>
      </w:r>
      <w:r w:rsidR="00296C59">
        <w:rPr>
          <w:rFonts w:ascii="Times New Roman" w:hAnsi="Times New Roman" w:cs="Times New Roman"/>
          <w:sz w:val="24"/>
          <w:szCs w:val="24"/>
        </w:rPr>
        <w:t>,</w:t>
      </w:r>
      <w:r w:rsidRPr="003B56BE">
        <w:rPr>
          <w:rFonts w:ascii="Times New Roman" w:hAnsi="Times New Roman" w:cs="Times New Roman"/>
          <w:sz w:val="24"/>
          <w:szCs w:val="24"/>
        </w:rPr>
        <w:t xml:space="preserve"> one out of two HCEs </w:t>
      </w:r>
      <w:r w:rsidR="00B8554F">
        <w:rPr>
          <w:rFonts w:ascii="Times New Roman" w:hAnsi="Times New Roman" w:cs="Times New Roman"/>
          <w:sz w:val="24"/>
          <w:szCs w:val="24"/>
        </w:rPr>
        <w:t>is</w:t>
      </w:r>
      <w:r w:rsidR="00B8554F" w:rsidRPr="003B56BE">
        <w:rPr>
          <w:rFonts w:ascii="Times New Roman" w:hAnsi="Times New Roman" w:cs="Times New Roman"/>
          <w:sz w:val="24"/>
          <w:szCs w:val="24"/>
        </w:rPr>
        <w:t xml:space="preserve"> </w:t>
      </w:r>
      <w:r w:rsidRPr="003B56BE">
        <w:rPr>
          <w:rFonts w:ascii="Times New Roman" w:hAnsi="Times New Roman" w:cs="Times New Roman"/>
          <w:sz w:val="24"/>
          <w:szCs w:val="24"/>
        </w:rPr>
        <w:t>in the first rate group that represents 50</w:t>
      </w:r>
      <w:r w:rsidR="00C353FE">
        <w:rPr>
          <w:rFonts w:ascii="Times New Roman" w:hAnsi="Times New Roman" w:cs="Times New Roman"/>
          <w:sz w:val="24"/>
          <w:szCs w:val="24"/>
        </w:rPr>
        <w:t xml:space="preserve"> percent</w:t>
      </w:r>
      <w:r w:rsidR="00C353FE" w:rsidRPr="003B56BE">
        <w:rPr>
          <w:rFonts w:ascii="Times New Roman" w:hAnsi="Times New Roman" w:cs="Times New Roman"/>
          <w:sz w:val="24"/>
          <w:szCs w:val="24"/>
        </w:rPr>
        <w:t xml:space="preserve"> </w:t>
      </w:r>
      <w:r w:rsidRPr="003B56BE">
        <w:rPr>
          <w:rFonts w:ascii="Times New Roman" w:hAnsi="Times New Roman" w:cs="Times New Roman"/>
          <w:sz w:val="24"/>
          <w:szCs w:val="24"/>
        </w:rPr>
        <w:t>of the HCEs.  Two out of five NHCEs are in the same rate group representing 40</w:t>
      </w:r>
      <w:r w:rsidR="00C353FE">
        <w:rPr>
          <w:rFonts w:ascii="Times New Roman" w:hAnsi="Times New Roman" w:cs="Times New Roman"/>
          <w:sz w:val="24"/>
          <w:szCs w:val="24"/>
        </w:rPr>
        <w:t xml:space="preserve"> percent</w:t>
      </w:r>
      <w:r w:rsidR="00C353FE" w:rsidRPr="003B56BE">
        <w:rPr>
          <w:rFonts w:ascii="Times New Roman" w:hAnsi="Times New Roman" w:cs="Times New Roman"/>
          <w:sz w:val="24"/>
          <w:szCs w:val="24"/>
        </w:rPr>
        <w:t xml:space="preserve"> </w:t>
      </w:r>
      <w:r w:rsidRPr="003B56BE">
        <w:rPr>
          <w:rFonts w:ascii="Times New Roman" w:hAnsi="Times New Roman" w:cs="Times New Roman"/>
          <w:sz w:val="24"/>
          <w:szCs w:val="24"/>
        </w:rPr>
        <w:t xml:space="preserve">of the NHCEs.  </w:t>
      </w:r>
    </w:p>
    <w:p w:rsidR="00C353FE" w:rsidRDefault="00C353FE" w:rsidP="00857624">
      <w:pPr>
        <w:pStyle w:val="NoSpacing"/>
        <w:ind w:left="1080"/>
        <w:rPr>
          <w:rFonts w:ascii="Times New Roman" w:hAnsi="Times New Roman" w:cs="Times New Roman"/>
          <w:sz w:val="24"/>
          <w:szCs w:val="24"/>
        </w:rPr>
      </w:pPr>
    </w:p>
    <w:p w:rsidR="00C353FE" w:rsidRDefault="00C353FE" w:rsidP="00857624">
      <w:pPr>
        <w:pStyle w:val="NoSpacing"/>
        <w:ind w:left="1080"/>
        <w:rPr>
          <w:rFonts w:ascii="Times New Roman" w:hAnsi="Times New Roman" w:cs="Times New Roman"/>
          <w:sz w:val="24"/>
          <w:szCs w:val="24"/>
        </w:rPr>
      </w:pPr>
    </w:p>
    <w:p w:rsidR="00C353FE" w:rsidRDefault="00C353FE" w:rsidP="00857624">
      <w:pPr>
        <w:pStyle w:val="NoSpacing"/>
        <w:ind w:left="1080"/>
        <w:rPr>
          <w:rFonts w:ascii="Times New Roman" w:hAnsi="Times New Roman" w:cs="Times New Roman"/>
          <w:sz w:val="24"/>
          <w:szCs w:val="24"/>
        </w:rPr>
      </w:pPr>
      <w:r>
        <w:rPr>
          <w:rFonts w:ascii="Times New Roman" w:hAnsi="Times New Roman" w:cs="Times New Roman"/>
          <w:sz w:val="24"/>
          <w:szCs w:val="24"/>
        </w:rPr>
        <w:t>40% / 50% = 80%</w:t>
      </w:r>
    </w:p>
    <w:p w:rsidR="00C353FE" w:rsidRDefault="00C353FE" w:rsidP="00857624">
      <w:pPr>
        <w:pStyle w:val="NoSpacing"/>
        <w:ind w:left="1080"/>
        <w:rPr>
          <w:rFonts w:ascii="Times New Roman" w:hAnsi="Times New Roman" w:cs="Times New Roman"/>
          <w:sz w:val="24"/>
          <w:szCs w:val="24"/>
        </w:rPr>
      </w:pPr>
    </w:p>
    <w:p w:rsidR="00C353FE" w:rsidRDefault="00C353FE" w:rsidP="00857624">
      <w:pPr>
        <w:pStyle w:val="NoSpacing"/>
        <w:ind w:left="1080"/>
        <w:rPr>
          <w:rFonts w:ascii="Times New Roman" w:hAnsi="Times New Roman" w:cs="Times New Roman"/>
          <w:sz w:val="24"/>
          <w:szCs w:val="24"/>
        </w:rPr>
      </w:pPr>
      <w:r>
        <w:rPr>
          <w:rFonts w:ascii="Times New Roman" w:hAnsi="Times New Roman" w:cs="Times New Roman"/>
          <w:sz w:val="24"/>
          <w:szCs w:val="24"/>
        </w:rPr>
        <w:t>Because</w:t>
      </w:r>
      <w:r w:rsidRPr="003B56BE">
        <w:rPr>
          <w:rFonts w:ascii="Times New Roman" w:hAnsi="Times New Roman" w:cs="Times New Roman"/>
          <w:sz w:val="24"/>
          <w:szCs w:val="24"/>
        </w:rPr>
        <w:t xml:space="preserve"> </w:t>
      </w:r>
      <w:r w:rsidR="003B56BE" w:rsidRPr="003B56BE">
        <w:rPr>
          <w:rFonts w:ascii="Times New Roman" w:hAnsi="Times New Roman" w:cs="Times New Roman"/>
          <w:sz w:val="24"/>
          <w:szCs w:val="24"/>
        </w:rPr>
        <w:t>the result is more than 70</w:t>
      </w:r>
      <w:r>
        <w:rPr>
          <w:rFonts w:ascii="Times New Roman" w:hAnsi="Times New Roman" w:cs="Times New Roman"/>
          <w:sz w:val="24"/>
          <w:szCs w:val="24"/>
        </w:rPr>
        <w:t xml:space="preserve"> percent</w:t>
      </w:r>
      <w:r w:rsidRPr="003B56BE">
        <w:rPr>
          <w:rFonts w:ascii="Times New Roman" w:hAnsi="Times New Roman" w:cs="Times New Roman"/>
          <w:sz w:val="24"/>
          <w:szCs w:val="24"/>
        </w:rPr>
        <w:t xml:space="preserve"> </w:t>
      </w:r>
      <w:r w:rsidR="003B56BE" w:rsidRPr="003B56BE">
        <w:rPr>
          <w:rFonts w:ascii="Times New Roman" w:hAnsi="Times New Roman" w:cs="Times New Roman"/>
          <w:sz w:val="24"/>
          <w:szCs w:val="24"/>
        </w:rPr>
        <w:t>the test is passed for the first rate group.  The second rate group includes both HCEs so 100</w:t>
      </w:r>
      <w:r>
        <w:rPr>
          <w:rFonts w:ascii="Times New Roman" w:hAnsi="Times New Roman" w:cs="Times New Roman"/>
          <w:sz w:val="24"/>
          <w:szCs w:val="24"/>
        </w:rPr>
        <w:t xml:space="preserve"> percent</w:t>
      </w:r>
      <w:r w:rsidRPr="003B56BE">
        <w:rPr>
          <w:rFonts w:ascii="Times New Roman" w:hAnsi="Times New Roman" w:cs="Times New Roman"/>
          <w:sz w:val="24"/>
          <w:szCs w:val="24"/>
        </w:rPr>
        <w:t xml:space="preserve"> </w:t>
      </w:r>
      <w:r w:rsidR="003B56BE" w:rsidRPr="003B56BE">
        <w:rPr>
          <w:rFonts w:ascii="Times New Roman" w:hAnsi="Times New Roman" w:cs="Times New Roman"/>
          <w:sz w:val="24"/>
          <w:szCs w:val="24"/>
        </w:rPr>
        <w:t xml:space="preserve">of the HCEs are included.  Four of the NHCEs are included or </w:t>
      </w:r>
      <w:r>
        <w:rPr>
          <w:rFonts w:ascii="Times New Roman" w:hAnsi="Times New Roman" w:cs="Times New Roman"/>
          <w:sz w:val="24"/>
          <w:szCs w:val="24"/>
        </w:rPr>
        <w:t>80</w:t>
      </w:r>
      <w:r w:rsidRPr="003B56BE">
        <w:rPr>
          <w:rFonts w:ascii="Times New Roman" w:hAnsi="Times New Roman" w:cs="Times New Roman"/>
          <w:sz w:val="24"/>
          <w:szCs w:val="24"/>
        </w:rPr>
        <w:t xml:space="preserve"> </w:t>
      </w:r>
      <w:r w:rsidR="003B56BE" w:rsidRPr="003B56BE">
        <w:rPr>
          <w:rFonts w:ascii="Times New Roman" w:hAnsi="Times New Roman" w:cs="Times New Roman"/>
          <w:sz w:val="24"/>
          <w:szCs w:val="24"/>
        </w:rPr>
        <w:t xml:space="preserve">percent.  </w:t>
      </w:r>
    </w:p>
    <w:p w:rsidR="00C353FE" w:rsidRDefault="00C353FE" w:rsidP="00857624">
      <w:pPr>
        <w:pStyle w:val="NoSpacing"/>
        <w:ind w:left="1080"/>
        <w:rPr>
          <w:rFonts w:ascii="Times New Roman" w:hAnsi="Times New Roman" w:cs="Times New Roman"/>
          <w:sz w:val="24"/>
          <w:szCs w:val="24"/>
        </w:rPr>
      </w:pPr>
    </w:p>
    <w:p w:rsidR="00C353FE" w:rsidRDefault="00C353FE" w:rsidP="00857624">
      <w:pPr>
        <w:pStyle w:val="NoSpacing"/>
        <w:ind w:left="1080"/>
        <w:rPr>
          <w:rFonts w:ascii="Times New Roman" w:hAnsi="Times New Roman" w:cs="Times New Roman"/>
          <w:sz w:val="24"/>
          <w:szCs w:val="24"/>
        </w:rPr>
      </w:pPr>
      <w:r>
        <w:rPr>
          <w:rFonts w:ascii="Times New Roman" w:hAnsi="Times New Roman" w:cs="Times New Roman"/>
          <w:sz w:val="24"/>
          <w:szCs w:val="24"/>
        </w:rPr>
        <w:t>80% / 100% = 80%</w:t>
      </w:r>
    </w:p>
    <w:p w:rsidR="00C353FE" w:rsidRDefault="00C353FE" w:rsidP="00857624">
      <w:pPr>
        <w:pStyle w:val="NoSpacing"/>
        <w:ind w:left="1080"/>
        <w:rPr>
          <w:rFonts w:ascii="Times New Roman" w:hAnsi="Times New Roman" w:cs="Times New Roman"/>
          <w:sz w:val="24"/>
          <w:szCs w:val="24"/>
        </w:rPr>
      </w:pPr>
    </w:p>
    <w:p w:rsidR="003B56BE" w:rsidRPr="003B56BE" w:rsidRDefault="00C353FE" w:rsidP="00857624">
      <w:pPr>
        <w:pStyle w:val="NoSpacing"/>
        <w:ind w:left="1080"/>
        <w:rPr>
          <w:rFonts w:ascii="Times New Roman" w:hAnsi="Times New Roman" w:cs="Times New Roman"/>
          <w:sz w:val="24"/>
          <w:szCs w:val="24"/>
        </w:rPr>
      </w:pPr>
      <w:r>
        <w:rPr>
          <w:rFonts w:ascii="Times New Roman" w:hAnsi="Times New Roman" w:cs="Times New Roman"/>
          <w:sz w:val="24"/>
          <w:szCs w:val="24"/>
        </w:rPr>
        <w:t>T</w:t>
      </w:r>
      <w:r w:rsidRPr="003B56BE">
        <w:rPr>
          <w:rFonts w:ascii="Times New Roman" w:hAnsi="Times New Roman" w:cs="Times New Roman"/>
          <w:sz w:val="24"/>
          <w:szCs w:val="24"/>
        </w:rPr>
        <w:t xml:space="preserve">he </w:t>
      </w:r>
      <w:r w:rsidR="003B56BE" w:rsidRPr="003B56BE">
        <w:rPr>
          <w:rFonts w:ascii="Times New Roman" w:hAnsi="Times New Roman" w:cs="Times New Roman"/>
          <w:sz w:val="24"/>
          <w:szCs w:val="24"/>
        </w:rPr>
        <w:t xml:space="preserve">second rate group passes.  </w:t>
      </w:r>
      <w:r>
        <w:rPr>
          <w:rFonts w:ascii="Times New Roman" w:hAnsi="Times New Roman" w:cs="Times New Roman"/>
          <w:sz w:val="24"/>
          <w:szCs w:val="24"/>
        </w:rPr>
        <w:t>Because</w:t>
      </w:r>
      <w:r w:rsidRPr="003B56BE">
        <w:rPr>
          <w:rFonts w:ascii="Times New Roman" w:hAnsi="Times New Roman" w:cs="Times New Roman"/>
          <w:sz w:val="24"/>
          <w:szCs w:val="24"/>
        </w:rPr>
        <w:t xml:space="preserve"> </w:t>
      </w:r>
      <w:r w:rsidR="003B56BE" w:rsidRPr="003B56BE">
        <w:rPr>
          <w:rFonts w:ascii="Times New Roman" w:hAnsi="Times New Roman" w:cs="Times New Roman"/>
          <w:sz w:val="24"/>
          <w:szCs w:val="24"/>
        </w:rPr>
        <w:t>the second rate group passes</w:t>
      </w:r>
      <w:r w:rsidR="00296C59">
        <w:rPr>
          <w:rFonts w:ascii="Times New Roman" w:hAnsi="Times New Roman" w:cs="Times New Roman"/>
          <w:sz w:val="24"/>
          <w:szCs w:val="24"/>
        </w:rPr>
        <w:t>,</w:t>
      </w:r>
      <w:r w:rsidR="003B56BE" w:rsidRPr="003B56BE">
        <w:rPr>
          <w:rFonts w:ascii="Times New Roman" w:hAnsi="Times New Roman" w:cs="Times New Roman"/>
          <w:sz w:val="24"/>
          <w:szCs w:val="24"/>
        </w:rPr>
        <w:t xml:space="preserve"> the overall test is passed.</w:t>
      </w:r>
      <w:r w:rsidR="00857624">
        <w:rPr>
          <w:rFonts w:ascii="Times New Roman" w:hAnsi="Times New Roman" w:cs="Times New Roman"/>
          <w:sz w:val="24"/>
          <w:szCs w:val="24"/>
        </w:rPr>
        <w:br/>
      </w:r>
    </w:p>
    <w:p w:rsidR="00B16F4D" w:rsidRPr="00E7323E" w:rsidRDefault="00B16F4D" w:rsidP="00B16F4D">
      <w:pPr>
        <w:pStyle w:val="NoSpacing"/>
        <w:ind w:left="1080"/>
        <w:rPr>
          <w:rFonts w:ascii="Times New Roman" w:hAnsi="Times New Roman" w:cs="Times New Roman"/>
          <w:b/>
          <w:sz w:val="24"/>
          <w:szCs w:val="24"/>
        </w:rPr>
      </w:pPr>
      <w:r>
        <w:rPr>
          <w:rFonts w:ascii="Times New Roman" w:hAnsi="Times New Roman" w:cs="Times New Roman"/>
          <w:b/>
          <w:sz w:val="24"/>
          <w:szCs w:val="24"/>
        </w:rPr>
        <w:t>Q. 4</w:t>
      </w:r>
      <w:r w:rsidRPr="00E7323E">
        <w:rPr>
          <w:rFonts w:ascii="Times New Roman" w:hAnsi="Times New Roman" w:cs="Times New Roman"/>
          <w:b/>
          <w:sz w:val="24"/>
          <w:szCs w:val="24"/>
        </w:rPr>
        <w:t>.</w:t>
      </w:r>
      <w:r w:rsidR="007C766E">
        <w:rPr>
          <w:rFonts w:ascii="Times New Roman" w:hAnsi="Times New Roman" w:cs="Times New Roman"/>
          <w:b/>
          <w:sz w:val="24"/>
          <w:szCs w:val="24"/>
        </w:rPr>
        <w:t>2</w:t>
      </w:r>
      <w:r w:rsidR="0074138B">
        <w:rPr>
          <w:rFonts w:ascii="Times New Roman" w:hAnsi="Times New Roman" w:cs="Times New Roman"/>
          <w:b/>
          <w:sz w:val="24"/>
          <w:szCs w:val="24"/>
        </w:rPr>
        <w:t>9</w:t>
      </w:r>
      <w:r w:rsidRPr="00E7323E">
        <w:rPr>
          <w:rFonts w:ascii="Times New Roman" w:hAnsi="Times New Roman" w:cs="Times New Roman"/>
          <w:b/>
          <w:sz w:val="24"/>
          <w:szCs w:val="24"/>
        </w:rPr>
        <w:t xml:space="preserve">:  </w:t>
      </w:r>
      <w:r w:rsidRPr="007C7BF2">
        <w:rPr>
          <w:rFonts w:ascii="Times New Roman" w:hAnsi="Times New Roman" w:cs="Times New Roman"/>
          <w:b/>
          <w:sz w:val="24"/>
          <w:szCs w:val="24"/>
        </w:rPr>
        <w:t xml:space="preserve">What </w:t>
      </w:r>
      <w:r>
        <w:rPr>
          <w:rFonts w:ascii="Times New Roman" w:hAnsi="Times New Roman" w:cs="Times New Roman"/>
          <w:b/>
          <w:sz w:val="24"/>
          <w:szCs w:val="24"/>
        </w:rPr>
        <w:t>are the issues with using</w:t>
      </w:r>
      <w:r w:rsidRPr="007C7BF2">
        <w:rPr>
          <w:rFonts w:ascii="Times New Roman" w:hAnsi="Times New Roman" w:cs="Times New Roman"/>
          <w:b/>
          <w:sz w:val="24"/>
          <w:szCs w:val="24"/>
        </w:rPr>
        <w:t xml:space="preserve"> </w:t>
      </w:r>
      <w:r>
        <w:rPr>
          <w:rFonts w:ascii="Times New Roman" w:hAnsi="Times New Roman" w:cs="Times New Roman"/>
          <w:b/>
          <w:sz w:val="24"/>
          <w:szCs w:val="24"/>
        </w:rPr>
        <w:t>the new comparability approach</w:t>
      </w:r>
      <w:r w:rsidRPr="007C7BF2">
        <w:rPr>
          <w:rFonts w:ascii="Times New Roman" w:hAnsi="Times New Roman" w:cs="Times New Roman"/>
          <w:b/>
          <w:sz w:val="24"/>
          <w:szCs w:val="24"/>
        </w:rPr>
        <w:t>?</w:t>
      </w:r>
    </w:p>
    <w:p w:rsidR="00B16F4D" w:rsidRDefault="00B16F4D" w:rsidP="00B16F4D">
      <w:pPr>
        <w:pStyle w:val="NoSpacing"/>
        <w:ind w:left="720"/>
        <w:rPr>
          <w:rFonts w:ascii="Times New Roman" w:hAnsi="Times New Roman" w:cs="Times New Roman"/>
          <w:sz w:val="24"/>
          <w:szCs w:val="24"/>
        </w:rPr>
      </w:pPr>
    </w:p>
    <w:p w:rsidR="00B16F4D" w:rsidRDefault="00B16F4D" w:rsidP="00B16F4D">
      <w:pPr>
        <w:pStyle w:val="NoSpacing"/>
        <w:ind w:left="1080"/>
        <w:rPr>
          <w:rFonts w:ascii="Times New Roman" w:hAnsi="Times New Roman" w:cs="Times New Roman"/>
          <w:sz w:val="20"/>
          <w:szCs w:val="20"/>
        </w:rPr>
      </w:pPr>
      <w:r w:rsidRPr="00B6070A">
        <w:rPr>
          <w:rFonts w:ascii="Times New Roman" w:hAnsi="Times New Roman" w:cs="Times New Roman"/>
          <w:sz w:val="24"/>
          <w:szCs w:val="24"/>
        </w:rPr>
        <w:t>Th</w:t>
      </w:r>
      <w:r>
        <w:rPr>
          <w:rFonts w:ascii="Times New Roman" w:hAnsi="Times New Roman" w:cs="Times New Roman"/>
          <w:sz w:val="24"/>
          <w:szCs w:val="24"/>
        </w:rPr>
        <w:t xml:space="preserve">e comparability </w:t>
      </w:r>
      <w:r w:rsidRPr="00B6070A">
        <w:rPr>
          <w:rFonts w:ascii="Times New Roman" w:hAnsi="Times New Roman" w:cs="Times New Roman"/>
          <w:sz w:val="24"/>
          <w:szCs w:val="24"/>
        </w:rPr>
        <w:t>approach to designing defined contribution plans results in plans that are highly favorable to HCEs</w:t>
      </w:r>
      <w:r>
        <w:rPr>
          <w:rFonts w:ascii="Times New Roman" w:hAnsi="Times New Roman" w:cs="Times New Roman"/>
          <w:sz w:val="24"/>
          <w:szCs w:val="24"/>
        </w:rPr>
        <w:t>. T</w:t>
      </w:r>
      <w:r w:rsidRPr="00B6070A">
        <w:rPr>
          <w:rFonts w:ascii="Times New Roman" w:hAnsi="Times New Roman" w:cs="Times New Roman"/>
          <w:sz w:val="24"/>
          <w:szCs w:val="24"/>
        </w:rPr>
        <w:t xml:space="preserve">herefore, the IRS published proposed regulations changing the nondiscrimination rules for comparability plans. For a defined </w:t>
      </w:r>
      <w:r w:rsidRPr="00B6070A">
        <w:rPr>
          <w:rFonts w:ascii="Times New Roman" w:hAnsi="Times New Roman" w:cs="Times New Roman"/>
          <w:sz w:val="24"/>
          <w:szCs w:val="24"/>
        </w:rPr>
        <w:lastRenderedPageBreak/>
        <w:t xml:space="preserve">contribution plan to satisfy the nondiscrimination rules using comparability, the plan must also satisfy these proposed </w:t>
      </w:r>
      <w:r>
        <w:rPr>
          <w:rFonts w:ascii="Times New Roman" w:hAnsi="Times New Roman" w:cs="Times New Roman"/>
          <w:sz w:val="24"/>
          <w:szCs w:val="24"/>
        </w:rPr>
        <w:t>regulations.</w:t>
      </w:r>
      <w:r w:rsidR="00C353FE">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D66B28" w:rsidRPr="00B6070A" w:rsidRDefault="00D66B28" w:rsidP="00B16F4D">
      <w:pPr>
        <w:pStyle w:val="NoSpacing"/>
        <w:ind w:left="1080"/>
        <w:rPr>
          <w:rFonts w:ascii="Times New Roman" w:hAnsi="Times New Roman" w:cs="Times New Roman"/>
          <w:sz w:val="24"/>
          <w:szCs w:val="24"/>
        </w:rPr>
      </w:pPr>
    </w:p>
    <w:p w:rsidR="00B16F4D" w:rsidRDefault="00B16F4D" w:rsidP="00B16F4D">
      <w:pPr>
        <w:pStyle w:val="NoSpacing"/>
        <w:ind w:left="1080"/>
        <w:rPr>
          <w:rFonts w:ascii="Times New Roman" w:hAnsi="Times New Roman" w:cs="Times New Roman"/>
          <w:sz w:val="24"/>
          <w:szCs w:val="24"/>
        </w:rPr>
      </w:pPr>
      <w:r w:rsidRPr="00B6070A">
        <w:rPr>
          <w:rFonts w:ascii="Times New Roman" w:hAnsi="Times New Roman" w:cs="Times New Roman"/>
          <w:sz w:val="24"/>
          <w:szCs w:val="24"/>
        </w:rPr>
        <w:t>The proposed regulations offer two approaches</w:t>
      </w:r>
      <w:r>
        <w:rPr>
          <w:rFonts w:ascii="Times New Roman" w:hAnsi="Times New Roman" w:cs="Times New Roman"/>
          <w:sz w:val="24"/>
          <w:szCs w:val="24"/>
        </w:rPr>
        <w:t xml:space="preserve">: </w:t>
      </w:r>
    </w:p>
    <w:p w:rsidR="00B16F4D" w:rsidRPr="00B6070A" w:rsidRDefault="00B16F4D" w:rsidP="00B16F4D">
      <w:pPr>
        <w:pStyle w:val="NoSpacing"/>
        <w:numPr>
          <w:ilvl w:val="0"/>
          <w:numId w:val="22"/>
        </w:numPr>
        <w:ind w:left="1440"/>
        <w:rPr>
          <w:rFonts w:ascii="Times New Roman" w:hAnsi="Times New Roman" w:cs="Times New Roman"/>
          <w:sz w:val="24"/>
          <w:szCs w:val="24"/>
        </w:rPr>
      </w:pPr>
      <w:r>
        <w:rPr>
          <w:rFonts w:ascii="Times New Roman" w:hAnsi="Times New Roman" w:cs="Times New Roman"/>
          <w:sz w:val="24"/>
          <w:szCs w:val="24"/>
        </w:rPr>
        <w:t>Two</w:t>
      </w:r>
      <w:r w:rsidRPr="00B6070A">
        <w:rPr>
          <w:rFonts w:ascii="Times New Roman" w:hAnsi="Times New Roman" w:cs="Times New Roman"/>
          <w:sz w:val="24"/>
          <w:szCs w:val="24"/>
        </w:rPr>
        <w:t xml:space="preserve"> “</w:t>
      </w:r>
      <w:r>
        <w:rPr>
          <w:rFonts w:ascii="Times New Roman" w:hAnsi="Times New Roman" w:cs="Times New Roman"/>
          <w:sz w:val="24"/>
          <w:szCs w:val="24"/>
        </w:rPr>
        <w:t>g</w:t>
      </w:r>
      <w:r w:rsidRPr="00B6070A">
        <w:rPr>
          <w:rFonts w:ascii="Times New Roman" w:hAnsi="Times New Roman" w:cs="Times New Roman"/>
          <w:sz w:val="24"/>
          <w:szCs w:val="24"/>
        </w:rPr>
        <w:t>ateways,” or safe harbor rules, that automatically satisfy nondiscrimination:</w:t>
      </w:r>
    </w:p>
    <w:p w:rsidR="00B16F4D" w:rsidRDefault="00B16F4D" w:rsidP="007C766E">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E</w:t>
      </w:r>
      <w:r w:rsidRPr="00B6070A">
        <w:rPr>
          <w:rFonts w:ascii="Times New Roman" w:hAnsi="Times New Roman" w:cs="Times New Roman"/>
          <w:sz w:val="24"/>
          <w:szCs w:val="24"/>
        </w:rPr>
        <w:t>ach eligible NHCE receives an allocation of at least 5 percent of compensation.</w:t>
      </w:r>
    </w:p>
    <w:p w:rsidR="00B16F4D" w:rsidRPr="00B6070A" w:rsidRDefault="00B16F4D" w:rsidP="007C766E">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Even i</w:t>
      </w:r>
      <w:r w:rsidRPr="00B6070A">
        <w:rPr>
          <w:rFonts w:ascii="Times New Roman" w:hAnsi="Times New Roman" w:cs="Times New Roman"/>
          <w:sz w:val="24"/>
          <w:szCs w:val="24"/>
        </w:rPr>
        <w:t>f the allocation rate for any NHCE is less than 5 percent, the nondiscrimination test is still passed if the minimum allocation rate for any NHCE is at least one-third of the highest allocation rate for any HCE.</w:t>
      </w:r>
    </w:p>
    <w:p w:rsidR="00B16F4D" w:rsidRPr="00B6070A" w:rsidRDefault="00B16F4D" w:rsidP="00B16F4D">
      <w:pPr>
        <w:pStyle w:val="NoSpacing"/>
        <w:numPr>
          <w:ilvl w:val="0"/>
          <w:numId w:val="22"/>
        </w:numPr>
        <w:ind w:left="1440"/>
        <w:rPr>
          <w:rFonts w:ascii="Times New Roman" w:hAnsi="Times New Roman" w:cs="Times New Roman"/>
          <w:sz w:val="24"/>
          <w:szCs w:val="24"/>
        </w:rPr>
      </w:pPr>
      <w:r w:rsidRPr="00B6070A">
        <w:rPr>
          <w:rFonts w:ascii="Times New Roman" w:hAnsi="Times New Roman" w:cs="Times New Roman"/>
          <w:sz w:val="24"/>
          <w:szCs w:val="24"/>
        </w:rPr>
        <w:t>If the plan offers “broad</w:t>
      </w:r>
      <w:r>
        <w:rPr>
          <w:rFonts w:ascii="Times New Roman" w:hAnsi="Times New Roman" w:cs="Times New Roman"/>
          <w:sz w:val="24"/>
          <w:szCs w:val="24"/>
        </w:rPr>
        <w:t xml:space="preserve">ly available” allocation rates, </w:t>
      </w:r>
      <w:r w:rsidRPr="00B6070A">
        <w:rPr>
          <w:rFonts w:ascii="Times New Roman" w:hAnsi="Times New Roman" w:cs="Times New Roman"/>
          <w:sz w:val="24"/>
          <w:szCs w:val="24"/>
        </w:rPr>
        <w:t>nondiscrimination testing may still be satisfied</w:t>
      </w:r>
      <w:r>
        <w:rPr>
          <w:rFonts w:ascii="Times New Roman" w:hAnsi="Times New Roman" w:cs="Times New Roman"/>
          <w:sz w:val="24"/>
          <w:szCs w:val="24"/>
        </w:rPr>
        <w:t xml:space="preserve"> by either </w:t>
      </w:r>
      <w:r w:rsidRPr="00B6070A">
        <w:rPr>
          <w:rFonts w:ascii="Times New Roman" w:hAnsi="Times New Roman" w:cs="Times New Roman"/>
          <w:sz w:val="24"/>
          <w:szCs w:val="24"/>
        </w:rPr>
        <w:t xml:space="preserve">of the following </w:t>
      </w:r>
      <w:r>
        <w:rPr>
          <w:rFonts w:ascii="Times New Roman" w:hAnsi="Times New Roman" w:cs="Times New Roman"/>
          <w:sz w:val="24"/>
          <w:szCs w:val="24"/>
        </w:rPr>
        <w:t xml:space="preserve">two </w:t>
      </w:r>
      <w:r w:rsidRPr="00B6070A">
        <w:rPr>
          <w:rFonts w:ascii="Times New Roman" w:hAnsi="Times New Roman" w:cs="Times New Roman"/>
          <w:sz w:val="24"/>
          <w:szCs w:val="24"/>
        </w:rPr>
        <w:t>mathematical tests:</w:t>
      </w:r>
    </w:p>
    <w:p w:rsidR="00B16F4D" w:rsidRDefault="003E25B3" w:rsidP="007C766E">
      <w:pPr>
        <w:pStyle w:val="NoSpacing"/>
        <w:numPr>
          <w:ilvl w:val="1"/>
          <w:numId w:val="22"/>
        </w:numPr>
        <w:rPr>
          <w:rFonts w:ascii="Times New Roman" w:hAnsi="Times New Roman" w:cs="Times New Roman"/>
          <w:sz w:val="24"/>
          <w:szCs w:val="24"/>
        </w:rPr>
      </w:pPr>
      <w:r w:rsidRPr="003E25B3">
        <w:rPr>
          <w:rFonts w:ascii="Times New Roman" w:hAnsi="Times New Roman" w:cs="Times New Roman"/>
          <w:i/>
          <w:sz w:val="24"/>
          <w:szCs w:val="24"/>
        </w:rPr>
        <w:t>Mathematical Test 1</w:t>
      </w:r>
      <w:r w:rsidR="008B76B7">
        <w:rPr>
          <w:rFonts w:ascii="Times New Roman" w:hAnsi="Times New Roman" w:cs="Times New Roman"/>
          <w:i/>
          <w:sz w:val="24"/>
          <w:szCs w:val="24"/>
        </w:rPr>
        <w:t>.</w:t>
      </w:r>
      <w:r>
        <w:rPr>
          <w:rFonts w:ascii="Times New Roman" w:hAnsi="Times New Roman" w:cs="Times New Roman"/>
          <w:sz w:val="24"/>
          <w:szCs w:val="24"/>
        </w:rPr>
        <w:t xml:space="preserve"> </w:t>
      </w:r>
      <w:r w:rsidR="00B16F4D" w:rsidRPr="00B6070A">
        <w:rPr>
          <w:rFonts w:ascii="Times New Roman" w:hAnsi="Times New Roman" w:cs="Times New Roman"/>
          <w:sz w:val="24"/>
          <w:szCs w:val="24"/>
        </w:rPr>
        <w:t xml:space="preserve">Each HCE allocation rate must be available to a group of employees that satisfies </w:t>
      </w:r>
      <w:r w:rsidR="00935612">
        <w:rPr>
          <w:rFonts w:ascii="Times New Roman" w:hAnsi="Times New Roman" w:cs="Times New Roman"/>
          <w:sz w:val="24"/>
          <w:szCs w:val="24"/>
        </w:rPr>
        <w:t>Code</w:t>
      </w:r>
      <w:r w:rsidR="00935612" w:rsidRPr="00B6070A">
        <w:rPr>
          <w:rFonts w:ascii="Times New Roman" w:hAnsi="Times New Roman" w:cs="Times New Roman"/>
          <w:sz w:val="24"/>
          <w:szCs w:val="24"/>
        </w:rPr>
        <w:t xml:space="preserve"> </w:t>
      </w:r>
      <w:r w:rsidR="00B16F4D" w:rsidRPr="00B6070A">
        <w:rPr>
          <w:rFonts w:ascii="Times New Roman" w:hAnsi="Times New Roman" w:cs="Times New Roman"/>
          <w:sz w:val="24"/>
          <w:szCs w:val="24"/>
        </w:rPr>
        <w:t>Section 410(b), i.e.</w:t>
      </w:r>
      <w:r w:rsidR="008B76B7">
        <w:rPr>
          <w:rFonts w:ascii="Times New Roman" w:hAnsi="Times New Roman" w:cs="Times New Roman"/>
          <w:sz w:val="24"/>
          <w:szCs w:val="24"/>
        </w:rPr>
        <w:t>,</w:t>
      </w:r>
      <w:r w:rsidR="00B16F4D" w:rsidRPr="00B6070A">
        <w:rPr>
          <w:rFonts w:ascii="Times New Roman" w:hAnsi="Times New Roman" w:cs="Times New Roman"/>
          <w:sz w:val="24"/>
          <w:szCs w:val="24"/>
        </w:rPr>
        <w:t xml:space="preserve"> the </w:t>
      </w:r>
      <w:r w:rsidR="00B16F4D">
        <w:rPr>
          <w:rFonts w:ascii="Times New Roman" w:hAnsi="Times New Roman" w:cs="Times New Roman"/>
          <w:sz w:val="24"/>
          <w:szCs w:val="24"/>
        </w:rPr>
        <w:t>ratio percentage (</w:t>
      </w:r>
      <w:r w:rsidR="00B16F4D" w:rsidRPr="00B6070A">
        <w:rPr>
          <w:rFonts w:ascii="Times New Roman" w:hAnsi="Times New Roman" w:cs="Times New Roman"/>
          <w:sz w:val="24"/>
          <w:szCs w:val="24"/>
        </w:rPr>
        <w:t>70</w:t>
      </w:r>
      <w:r w:rsidR="00935612">
        <w:rPr>
          <w:rFonts w:ascii="Times New Roman" w:hAnsi="Times New Roman" w:cs="Times New Roman"/>
          <w:sz w:val="24"/>
          <w:szCs w:val="24"/>
        </w:rPr>
        <w:t xml:space="preserve"> percent)</w:t>
      </w:r>
      <w:r w:rsidR="00935612" w:rsidRPr="00B6070A">
        <w:rPr>
          <w:rFonts w:ascii="Times New Roman" w:hAnsi="Times New Roman" w:cs="Times New Roman"/>
          <w:sz w:val="24"/>
          <w:szCs w:val="24"/>
        </w:rPr>
        <w:t xml:space="preserve"> </w:t>
      </w:r>
      <w:r w:rsidR="00B16F4D" w:rsidRPr="00B6070A">
        <w:rPr>
          <w:rFonts w:ascii="Times New Roman" w:hAnsi="Times New Roman" w:cs="Times New Roman"/>
          <w:sz w:val="24"/>
          <w:szCs w:val="24"/>
        </w:rPr>
        <w:t>test.</w:t>
      </w:r>
    </w:p>
    <w:p w:rsidR="00B16F4D" w:rsidRPr="005F3429" w:rsidRDefault="003E25B3" w:rsidP="007C766E">
      <w:pPr>
        <w:pStyle w:val="NoSpacing"/>
        <w:numPr>
          <w:ilvl w:val="1"/>
          <w:numId w:val="22"/>
        </w:numPr>
        <w:rPr>
          <w:rFonts w:ascii="Times New Roman" w:hAnsi="Times New Roman" w:cs="Times New Roman"/>
          <w:sz w:val="24"/>
          <w:szCs w:val="24"/>
        </w:rPr>
      </w:pPr>
      <w:r w:rsidRPr="003E25B3">
        <w:rPr>
          <w:rFonts w:ascii="Times New Roman" w:hAnsi="Times New Roman" w:cs="Times New Roman"/>
          <w:i/>
          <w:sz w:val="24"/>
          <w:szCs w:val="24"/>
        </w:rPr>
        <w:t xml:space="preserve">Mathematical Test </w:t>
      </w:r>
      <w:r>
        <w:rPr>
          <w:rFonts w:ascii="Times New Roman" w:hAnsi="Times New Roman" w:cs="Times New Roman"/>
          <w:i/>
          <w:sz w:val="24"/>
          <w:szCs w:val="24"/>
        </w:rPr>
        <w:t>2</w:t>
      </w:r>
      <w:r w:rsidR="008B76B7">
        <w:rPr>
          <w:rFonts w:ascii="Times New Roman" w:hAnsi="Times New Roman" w:cs="Times New Roman"/>
          <w:i/>
          <w:sz w:val="24"/>
          <w:szCs w:val="24"/>
        </w:rPr>
        <w:t>.</w:t>
      </w:r>
      <w:r>
        <w:rPr>
          <w:rFonts w:ascii="Times New Roman" w:hAnsi="Times New Roman" w:cs="Times New Roman"/>
          <w:sz w:val="24"/>
          <w:szCs w:val="24"/>
        </w:rPr>
        <w:t xml:space="preserve"> </w:t>
      </w:r>
      <w:r w:rsidR="00B16F4D" w:rsidRPr="005F3429">
        <w:rPr>
          <w:rFonts w:ascii="Times New Roman" w:hAnsi="Times New Roman" w:cs="Times New Roman"/>
          <w:sz w:val="24"/>
          <w:szCs w:val="24"/>
        </w:rPr>
        <w:t>The allocation rates increase as an employee ages or accumulates additional service, and that increase is a “smooth increase.”  An increase is smooth if all three of the following requirements are satisfied:</w:t>
      </w:r>
    </w:p>
    <w:p w:rsidR="00B16F4D" w:rsidRDefault="00B16F4D" w:rsidP="007C766E">
      <w:pPr>
        <w:pStyle w:val="NoSpacing"/>
        <w:numPr>
          <w:ilvl w:val="2"/>
          <w:numId w:val="22"/>
        </w:numPr>
        <w:rPr>
          <w:rFonts w:ascii="Times New Roman" w:hAnsi="Times New Roman" w:cs="Times New Roman"/>
          <w:sz w:val="24"/>
          <w:szCs w:val="24"/>
        </w:rPr>
      </w:pPr>
      <w:r w:rsidRPr="00B6070A">
        <w:rPr>
          <w:rFonts w:ascii="Times New Roman" w:hAnsi="Times New Roman" w:cs="Times New Roman"/>
          <w:sz w:val="24"/>
          <w:szCs w:val="24"/>
        </w:rPr>
        <w:t>The rate for each group, i.e., based on age or service, exceeds the rate for the next lower band by not more than five percentage points.</w:t>
      </w:r>
    </w:p>
    <w:p w:rsidR="00B16F4D" w:rsidRDefault="00B16F4D" w:rsidP="007C766E">
      <w:pPr>
        <w:pStyle w:val="NoSpacing"/>
        <w:numPr>
          <w:ilvl w:val="2"/>
          <w:numId w:val="22"/>
        </w:numPr>
        <w:rPr>
          <w:rFonts w:ascii="Times New Roman" w:hAnsi="Times New Roman" w:cs="Times New Roman"/>
          <w:sz w:val="24"/>
          <w:szCs w:val="24"/>
        </w:rPr>
      </w:pPr>
      <w:r w:rsidRPr="00B6070A">
        <w:rPr>
          <w:rFonts w:ascii="Times New Roman" w:hAnsi="Times New Roman" w:cs="Times New Roman"/>
          <w:sz w:val="24"/>
          <w:szCs w:val="24"/>
        </w:rPr>
        <w:t>Rate bands must cover the same range of age and service. There is no restriction on the highest band</w:t>
      </w:r>
      <w:r w:rsidR="00935612">
        <w:rPr>
          <w:rFonts w:ascii="Times New Roman" w:hAnsi="Times New Roman" w:cs="Times New Roman"/>
          <w:sz w:val="24"/>
          <w:szCs w:val="24"/>
        </w:rPr>
        <w:t>, and</w:t>
      </w:r>
      <w:r w:rsidR="00935612" w:rsidRPr="00B6070A">
        <w:rPr>
          <w:rFonts w:ascii="Times New Roman" w:hAnsi="Times New Roman" w:cs="Times New Roman"/>
          <w:sz w:val="24"/>
          <w:szCs w:val="24"/>
        </w:rPr>
        <w:t xml:space="preserve"> </w:t>
      </w:r>
      <w:r w:rsidRPr="00B6070A">
        <w:rPr>
          <w:rFonts w:ascii="Times New Roman" w:hAnsi="Times New Roman" w:cs="Times New Roman"/>
          <w:sz w:val="24"/>
          <w:szCs w:val="24"/>
        </w:rPr>
        <w:t xml:space="preserve">there is no restriction on the lowest band of age if its highest limit does not exceed </w:t>
      </w:r>
      <w:r w:rsidR="00935612">
        <w:rPr>
          <w:rFonts w:ascii="Times New Roman" w:hAnsi="Times New Roman" w:cs="Times New Roman"/>
          <w:sz w:val="24"/>
          <w:szCs w:val="24"/>
        </w:rPr>
        <w:t>twenty-five</w:t>
      </w:r>
      <w:r w:rsidRPr="00B6070A">
        <w:rPr>
          <w:rFonts w:ascii="Times New Roman" w:hAnsi="Times New Roman" w:cs="Times New Roman"/>
          <w:sz w:val="24"/>
          <w:szCs w:val="24"/>
        </w:rPr>
        <w:t>.</w:t>
      </w:r>
    </w:p>
    <w:p w:rsidR="007C766E" w:rsidRDefault="007C766E" w:rsidP="007C766E">
      <w:pPr>
        <w:pStyle w:val="NoSpacing"/>
        <w:numPr>
          <w:ilvl w:val="2"/>
          <w:numId w:val="22"/>
        </w:numPr>
        <w:rPr>
          <w:rFonts w:ascii="Times New Roman" w:hAnsi="Times New Roman" w:cs="Times New Roman"/>
          <w:sz w:val="24"/>
          <w:szCs w:val="24"/>
        </w:rPr>
      </w:pPr>
      <w:r w:rsidRPr="00B6070A">
        <w:rPr>
          <w:rFonts w:ascii="Times New Roman" w:hAnsi="Times New Roman" w:cs="Times New Roman"/>
          <w:sz w:val="24"/>
          <w:szCs w:val="24"/>
        </w:rPr>
        <w:t>The rate for any band is not more than twice the rate for the next lower band</w:t>
      </w:r>
      <w:r w:rsidR="00935612">
        <w:rPr>
          <w:rFonts w:ascii="Times New Roman" w:hAnsi="Times New Roman" w:cs="Times New Roman"/>
          <w:sz w:val="24"/>
          <w:szCs w:val="24"/>
        </w:rPr>
        <w:t>,</w:t>
      </w:r>
      <w:r w:rsidR="00935612" w:rsidRPr="00B6070A">
        <w:rPr>
          <w:rFonts w:ascii="Times New Roman" w:hAnsi="Times New Roman" w:cs="Times New Roman"/>
          <w:sz w:val="24"/>
          <w:szCs w:val="24"/>
        </w:rPr>
        <w:t xml:space="preserve"> </w:t>
      </w:r>
      <w:r w:rsidRPr="00B6070A">
        <w:rPr>
          <w:rFonts w:ascii="Times New Roman" w:hAnsi="Times New Roman" w:cs="Times New Roman"/>
          <w:sz w:val="24"/>
          <w:szCs w:val="24"/>
        </w:rPr>
        <w:t>and for each rate, the ratio of that rate to the next lower rate is never greater than the ratio of the next lower rate to the second next lower rate.</w:t>
      </w:r>
    </w:p>
    <w:p w:rsidR="003E25B3" w:rsidRDefault="003E25B3" w:rsidP="003E25B3">
      <w:pPr>
        <w:pStyle w:val="NoSpacing"/>
        <w:ind w:left="1440"/>
        <w:rPr>
          <w:rFonts w:ascii="Times New Roman" w:hAnsi="Times New Roman" w:cs="Times New Roman"/>
          <w:sz w:val="24"/>
          <w:szCs w:val="24"/>
        </w:rPr>
      </w:pPr>
    </w:p>
    <w:p w:rsidR="00D66B28" w:rsidRDefault="003E25B3" w:rsidP="003E25B3">
      <w:pPr>
        <w:pStyle w:val="NoSpacing"/>
        <w:ind w:left="720"/>
        <w:rPr>
          <w:rFonts w:ascii="Times New Roman" w:hAnsi="Times New Roman" w:cs="Times New Roman"/>
          <w:sz w:val="24"/>
          <w:szCs w:val="24"/>
        </w:rPr>
      </w:pPr>
      <w:r w:rsidRPr="003E25B3">
        <w:rPr>
          <w:rFonts w:ascii="Times New Roman" w:hAnsi="Times New Roman" w:cs="Times New Roman"/>
          <w:b/>
          <w:sz w:val="24"/>
          <w:szCs w:val="24"/>
        </w:rPr>
        <w:t>Example 4-10.</w:t>
      </w:r>
      <w:r>
        <w:rPr>
          <w:rFonts w:ascii="Times New Roman" w:hAnsi="Times New Roman" w:cs="Times New Roman"/>
          <w:sz w:val="24"/>
          <w:szCs w:val="24"/>
        </w:rPr>
        <w:t xml:space="preserve">  The </w:t>
      </w:r>
      <w:r w:rsidR="00935612">
        <w:rPr>
          <w:rFonts w:ascii="Times New Roman" w:hAnsi="Times New Roman" w:cs="Times New Roman"/>
          <w:sz w:val="24"/>
          <w:szCs w:val="24"/>
        </w:rPr>
        <w:t xml:space="preserve">following </w:t>
      </w:r>
      <w:r>
        <w:rPr>
          <w:rFonts w:ascii="Times New Roman" w:hAnsi="Times New Roman" w:cs="Times New Roman"/>
          <w:sz w:val="24"/>
          <w:szCs w:val="24"/>
        </w:rPr>
        <w:t xml:space="preserve">chart demonstrates Mathematical Test 1. </w:t>
      </w:r>
    </w:p>
    <w:p w:rsidR="003E25B3" w:rsidRDefault="003E25B3" w:rsidP="003E25B3">
      <w:pPr>
        <w:pStyle w:val="NoSpacing"/>
        <w:ind w:left="72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94"/>
        <w:gridCol w:w="600"/>
        <w:gridCol w:w="2766"/>
        <w:gridCol w:w="2766"/>
      </w:tblGrid>
      <w:tr w:rsidR="003E25B3" w:rsidRPr="003E25B3" w:rsidTr="00E826AF">
        <w:trPr>
          <w:trHeight w:val="60"/>
          <w:jc w:val="center"/>
        </w:trPr>
        <w:tc>
          <w:tcPr>
            <w:tcW w:w="0" w:type="auto"/>
            <w:gridSpan w:val="2"/>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c>
          <w:tcPr>
            <w:tcW w:w="0" w:type="auto"/>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tcPr>
          <w:p w:rsidR="003E25B3" w:rsidRPr="003E25B3" w:rsidRDefault="003E25B3" w:rsidP="00E826AF">
            <w:r w:rsidRPr="003E25B3">
              <w:rPr>
                <w:b/>
                <w:bCs/>
                <w:i/>
                <w:iCs/>
              </w:rPr>
              <w:t>Rate Group 1</w:t>
            </w:r>
          </w:p>
        </w:tc>
        <w:tc>
          <w:tcPr>
            <w:tcW w:w="0" w:type="auto"/>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3E25B3" w:rsidRPr="003E25B3" w:rsidRDefault="003E25B3" w:rsidP="00E826AF">
            <w:r w:rsidRPr="003E25B3">
              <w:rPr>
                <w:b/>
                <w:bCs/>
                <w:i/>
                <w:iCs/>
              </w:rPr>
              <w:t>Rate Group 2</w:t>
            </w:r>
          </w:p>
        </w:tc>
      </w:tr>
      <w:tr w:rsidR="003E25B3" w:rsidRPr="003E25B3" w:rsidTr="00E826AF">
        <w:trPr>
          <w:trHeight w:val="60"/>
          <w:jc w:val="center"/>
        </w:trPr>
        <w:tc>
          <w:tcPr>
            <w:tcW w:w="0" w:type="auto"/>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HCE 1</w:t>
            </w:r>
          </w:p>
        </w:tc>
        <w:tc>
          <w:tcPr>
            <w:tcW w:w="0" w:type="auto"/>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10%</w:t>
            </w:r>
          </w:p>
        </w:tc>
        <w:tc>
          <w:tcPr>
            <w:tcW w:w="0" w:type="auto"/>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c>
          <w:tcPr>
            <w:tcW w:w="0" w:type="auto"/>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HCE 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HCE 2</w:t>
            </w: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r w:rsidRPr="003E25B3">
              <w:t>HCE 1</w:t>
            </w: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1</w:t>
            </w: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r w:rsidRPr="003E25B3">
              <w:t>NHCE 4</w:t>
            </w: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2</w:t>
            </w: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r w:rsidRPr="003E25B3">
              <w:t>NHCE 5</w:t>
            </w: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HCE coverage 50% (1/2)</w:t>
            </w: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r w:rsidRPr="003E25B3">
              <w:t>HCE coverage 50% (1/2)</w:t>
            </w: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NHCE coverage 40% (2/5)</w:t>
            </w: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r w:rsidRPr="003E25B3">
              <w:t>NHCE coverage 40% (2/5)</w:t>
            </w:r>
          </w:p>
        </w:tc>
      </w:tr>
      <w:tr w:rsidR="003E25B3" w:rsidRPr="003E25B3" w:rsidTr="00E826A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lastRenderedPageBreak/>
              <w:t>NHCE 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25B3" w:rsidRPr="003E25B3" w:rsidRDefault="003E25B3" w:rsidP="00E826AF">
            <w:r w:rsidRPr="003E25B3">
              <w:t>Coverage test 80% (40/50)</w:t>
            </w:r>
          </w:p>
        </w:tc>
        <w:tc>
          <w:tcPr>
            <w:tcW w:w="0" w:type="auto"/>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3E25B3" w:rsidRPr="003E25B3" w:rsidRDefault="003E25B3" w:rsidP="00E826AF">
            <w:r w:rsidRPr="003E25B3">
              <w:t>Coverage test 80% (40/50)</w:t>
            </w:r>
          </w:p>
        </w:tc>
      </w:tr>
      <w:tr w:rsidR="003E25B3" w:rsidRPr="003E25B3" w:rsidTr="00E826AF">
        <w:trPr>
          <w:trHeight w:val="60"/>
          <w:jc w:val="center"/>
        </w:trPr>
        <w:tc>
          <w:tcPr>
            <w:tcW w:w="0" w:type="auto"/>
            <w:gridSpan w:val="2"/>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tcPr>
          <w:p w:rsidR="003E25B3" w:rsidRPr="003E25B3" w:rsidRDefault="003E25B3" w:rsidP="00E826AF">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3E25B3" w:rsidRPr="003E25B3" w:rsidRDefault="003E25B3" w:rsidP="00E826AF">
            <w:r w:rsidRPr="003E25B3">
              <w:t>PASS</w:t>
            </w:r>
          </w:p>
        </w:tc>
        <w:tc>
          <w:tcPr>
            <w:tcW w:w="0" w:type="auto"/>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tcPr>
          <w:p w:rsidR="003E25B3" w:rsidRPr="003E25B3" w:rsidRDefault="003E25B3" w:rsidP="00E826AF">
            <w:r w:rsidRPr="003E25B3">
              <w:t>PASS</w:t>
            </w:r>
          </w:p>
        </w:tc>
      </w:tr>
    </w:tbl>
    <w:p w:rsidR="003E25B3" w:rsidRDefault="003E25B3" w:rsidP="003E25B3">
      <w:pPr>
        <w:pStyle w:val="NoSpacing"/>
        <w:ind w:left="720"/>
        <w:rPr>
          <w:rFonts w:ascii="Times New Roman" w:hAnsi="Times New Roman" w:cs="Times New Roman"/>
          <w:sz w:val="24"/>
          <w:szCs w:val="24"/>
        </w:rPr>
      </w:pPr>
    </w:p>
    <w:p w:rsidR="003E25B3" w:rsidRDefault="003E25B3" w:rsidP="003E25B3">
      <w:pPr>
        <w:pStyle w:val="NoSpacing"/>
        <w:ind w:left="720"/>
        <w:rPr>
          <w:rFonts w:ascii="Times New Roman" w:hAnsi="Times New Roman" w:cs="Times New Roman"/>
          <w:sz w:val="24"/>
          <w:szCs w:val="24"/>
        </w:rPr>
      </w:pPr>
      <w:r w:rsidRPr="003E25B3">
        <w:rPr>
          <w:rFonts w:ascii="Times New Roman" w:hAnsi="Times New Roman" w:cs="Times New Roman"/>
          <w:b/>
          <w:sz w:val="24"/>
          <w:szCs w:val="24"/>
        </w:rPr>
        <w:t>Example 4-1</w:t>
      </w:r>
      <w:r>
        <w:rPr>
          <w:rFonts w:ascii="Times New Roman" w:hAnsi="Times New Roman" w:cs="Times New Roman"/>
          <w:b/>
          <w:sz w:val="24"/>
          <w:szCs w:val="24"/>
        </w:rPr>
        <w:t>1</w:t>
      </w:r>
      <w:r w:rsidRPr="003E25B3">
        <w:rPr>
          <w:rFonts w:ascii="Times New Roman" w:hAnsi="Times New Roman" w:cs="Times New Roman"/>
          <w:b/>
          <w:sz w:val="24"/>
          <w:szCs w:val="24"/>
        </w:rPr>
        <w:t>.</w:t>
      </w:r>
      <w:r>
        <w:rPr>
          <w:rFonts w:ascii="Times New Roman" w:hAnsi="Times New Roman" w:cs="Times New Roman"/>
          <w:sz w:val="24"/>
          <w:szCs w:val="24"/>
        </w:rPr>
        <w:t xml:space="preserve">  This example demonstrates Mathematical Test 2.</w:t>
      </w:r>
    </w:p>
    <w:p w:rsidR="003E25B3" w:rsidRDefault="003E25B3" w:rsidP="003E25B3">
      <w:pPr>
        <w:pStyle w:val="NoSpacing"/>
        <w:ind w:left="720"/>
        <w:rPr>
          <w:rFonts w:ascii="Times New Roman" w:hAnsi="Times New Roman" w:cs="Times New Roman"/>
          <w:sz w:val="24"/>
          <w:szCs w:val="24"/>
        </w:rPr>
      </w:pPr>
    </w:p>
    <w:p w:rsidR="003E25B3" w:rsidRPr="003E25B3" w:rsidRDefault="003E25B3" w:rsidP="003E25B3">
      <w:pPr>
        <w:pStyle w:val="PC"/>
        <w:tabs>
          <w:tab w:val="left" w:pos="1260"/>
        </w:tabs>
        <w:ind w:left="1548" w:hanging="828"/>
        <w:rPr>
          <w:rFonts w:ascii="Times New Roman" w:hAnsi="Times New Roman"/>
          <w:sz w:val="24"/>
          <w:szCs w:val="24"/>
        </w:rPr>
      </w:pPr>
      <w:commentRangeStart w:id="4"/>
      <w:r w:rsidRPr="003E25B3">
        <w:rPr>
          <w:rFonts w:ascii="Times New Roman" w:hAnsi="Times New Roman"/>
          <w:iCs/>
          <w:sz w:val="24"/>
          <w:szCs w:val="24"/>
        </w:rPr>
        <w:t>Age</w:t>
      </w:r>
      <w:r>
        <w:rPr>
          <w:rFonts w:ascii="Times New Roman" w:hAnsi="Times New Roman"/>
          <w:iCs/>
          <w:sz w:val="24"/>
          <w:szCs w:val="24"/>
        </w:rPr>
        <w:t>:</w:t>
      </w:r>
      <w:r w:rsidRPr="003E25B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25B3">
        <w:rPr>
          <w:rFonts w:ascii="Times New Roman" w:hAnsi="Times New Roman"/>
          <w:sz w:val="24"/>
          <w:szCs w:val="24"/>
        </w:rPr>
        <w:t>25 and under; 26 through 35; 36 through 45; 46 and over</w:t>
      </w:r>
    </w:p>
    <w:p w:rsidR="003E25B3" w:rsidRPr="003E25B3" w:rsidRDefault="003E25B3" w:rsidP="003E25B3">
      <w:pPr>
        <w:pStyle w:val="PC"/>
        <w:tabs>
          <w:tab w:val="left" w:pos="1260"/>
        </w:tabs>
        <w:ind w:left="1548" w:hanging="828"/>
        <w:rPr>
          <w:rFonts w:ascii="Times New Roman" w:hAnsi="Times New Roman"/>
          <w:sz w:val="24"/>
          <w:szCs w:val="24"/>
        </w:rPr>
      </w:pPr>
      <w:r w:rsidRPr="003E25B3">
        <w:rPr>
          <w:rFonts w:ascii="Times New Roman" w:hAnsi="Times New Roman"/>
          <w:sz w:val="24"/>
          <w:szCs w:val="24"/>
        </w:rPr>
        <w:t>Service</w:t>
      </w:r>
      <w:r>
        <w:rPr>
          <w:rFonts w:ascii="Times New Roman" w:hAnsi="Times New Roman"/>
          <w:sz w:val="24"/>
          <w:szCs w:val="24"/>
        </w:rPr>
        <w:t>:</w:t>
      </w:r>
      <w:r>
        <w:rPr>
          <w:rFonts w:ascii="Times New Roman" w:hAnsi="Times New Roman"/>
          <w:sz w:val="24"/>
          <w:szCs w:val="24"/>
        </w:rPr>
        <w:tab/>
      </w:r>
      <w:r w:rsidRPr="003E25B3">
        <w:rPr>
          <w:rFonts w:ascii="Times New Roman" w:hAnsi="Times New Roman"/>
          <w:sz w:val="24"/>
          <w:szCs w:val="24"/>
        </w:rPr>
        <w:tab/>
        <w:t>10 and under; 11 through 20; 21 and over</w:t>
      </w:r>
      <w:commentRangeEnd w:id="4"/>
      <w:r w:rsidR="00935612">
        <w:rPr>
          <w:rStyle w:val="CommentReference"/>
          <w:rFonts w:ascii="Times New Roman" w:hAnsi="Times New Roman"/>
          <w:noProof w:val="0"/>
        </w:rPr>
        <w:commentReference w:id="4"/>
      </w:r>
    </w:p>
    <w:p w:rsidR="003E25B3" w:rsidRDefault="003E25B3" w:rsidP="003E25B3">
      <w:pPr>
        <w:pStyle w:val="NoSpacing"/>
        <w:ind w:left="720"/>
        <w:rPr>
          <w:rFonts w:ascii="Times New Roman" w:hAnsi="Times New Roman" w:cs="Times New Roman"/>
          <w:sz w:val="24"/>
          <w:szCs w:val="24"/>
        </w:rPr>
      </w:pPr>
      <w:r w:rsidRPr="003E25B3">
        <w:rPr>
          <w:rFonts w:ascii="Times New Roman" w:hAnsi="Times New Roman" w:cs="Times New Roman"/>
          <w:sz w:val="24"/>
          <w:szCs w:val="24"/>
        </w:rPr>
        <w:t xml:space="preserve">In the example the lowest age band ends at </w:t>
      </w:r>
      <w:r w:rsidR="008B76B7">
        <w:rPr>
          <w:rFonts w:ascii="Times New Roman" w:hAnsi="Times New Roman" w:cs="Times New Roman"/>
          <w:sz w:val="24"/>
          <w:szCs w:val="24"/>
        </w:rPr>
        <w:t>twenty-five</w:t>
      </w:r>
      <w:r w:rsidRPr="003E25B3">
        <w:rPr>
          <w:rFonts w:ascii="Times New Roman" w:hAnsi="Times New Roman" w:cs="Times New Roman"/>
          <w:sz w:val="24"/>
          <w:szCs w:val="24"/>
        </w:rPr>
        <w:t xml:space="preserve">, so the lowest band does not have to cover the same range as the other bands, i.e., </w:t>
      </w:r>
      <w:r w:rsidR="00935612">
        <w:rPr>
          <w:rFonts w:ascii="Times New Roman" w:hAnsi="Times New Roman" w:cs="Times New Roman"/>
          <w:sz w:val="24"/>
          <w:szCs w:val="24"/>
        </w:rPr>
        <w:t>ten</w:t>
      </w:r>
      <w:r w:rsidR="00935612" w:rsidRPr="003E25B3">
        <w:rPr>
          <w:rFonts w:ascii="Times New Roman" w:hAnsi="Times New Roman" w:cs="Times New Roman"/>
          <w:sz w:val="24"/>
          <w:szCs w:val="24"/>
        </w:rPr>
        <w:t xml:space="preserve"> </w:t>
      </w:r>
      <w:r w:rsidRPr="003E25B3">
        <w:rPr>
          <w:rFonts w:ascii="Times New Roman" w:hAnsi="Times New Roman" w:cs="Times New Roman"/>
          <w:sz w:val="24"/>
          <w:szCs w:val="24"/>
        </w:rPr>
        <w:t>years (e.g.</w:t>
      </w:r>
      <w:r w:rsidR="00935612">
        <w:rPr>
          <w:rFonts w:ascii="Times New Roman" w:hAnsi="Times New Roman" w:cs="Times New Roman"/>
          <w:sz w:val="24"/>
          <w:szCs w:val="24"/>
        </w:rPr>
        <w:t>,</w:t>
      </w:r>
      <w:r w:rsidRPr="003E25B3">
        <w:rPr>
          <w:rFonts w:ascii="Times New Roman" w:hAnsi="Times New Roman" w:cs="Times New Roman"/>
          <w:sz w:val="24"/>
          <w:szCs w:val="24"/>
        </w:rPr>
        <w:t xml:space="preserve"> </w:t>
      </w:r>
      <w:r w:rsidR="00935612">
        <w:rPr>
          <w:rFonts w:ascii="Times New Roman" w:hAnsi="Times New Roman" w:cs="Times New Roman"/>
          <w:sz w:val="24"/>
          <w:szCs w:val="24"/>
        </w:rPr>
        <w:t>eleven</w:t>
      </w:r>
      <w:r w:rsidR="00935612" w:rsidRPr="003E25B3">
        <w:rPr>
          <w:rFonts w:ascii="Times New Roman" w:hAnsi="Times New Roman" w:cs="Times New Roman"/>
          <w:sz w:val="24"/>
          <w:szCs w:val="24"/>
        </w:rPr>
        <w:t xml:space="preserve"> </w:t>
      </w:r>
      <w:r w:rsidRPr="003E25B3">
        <w:rPr>
          <w:rFonts w:ascii="Times New Roman" w:hAnsi="Times New Roman" w:cs="Times New Roman"/>
          <w:sz w:val="24"/>
          <w:szCs w:val="24"/>
        </w:rPr>
        <w:t xml:space="preserve">through </w:t>
      </w:r>
      <w:r w:rsidR="00935612">
        <w:rPr>
          <w:rFonts w:ascii="Times New Roman" w:hAnsi="Times New Roman" w:cs="Times New Roman"/>
          <w:sz w:val="24"/>
          <w:szCs w:val="24"/>
        </w:rPr>
        <w:t>twenty</w:t>
      </w:r>
      <w:r w:rsidRPr="003E25B3">
        <w:rPr>
          <w:rFonts w:ascii="Times New Roman" w:hAnsi="Times New Roman" w:cs="Times New Roman"/>
          <w:sz w:val="24"/>
          <w:szCs w:val="24"/>
        </w:rPr>
        <w:t xml:space="preserve">), and as indicated in item 2, there is no restriction on the highest band. The service bands cover the same range, i.e., </w:t>
      </w:r>
      <w:r w:rsidR="00935612">
        <w:rPr>
          <w:rFonts w:ascii="Times New Roman" w:hAnsi="Times New Roman" w:cs="Times New Roman"/>
          <w:sz w:val="24"/>
          <w:szCs w:val="24"/>
        </w:rPr>
        <w:t>ten</w:t>
      </w:r>
      <w:r w:rsidR="00935612" w:rsidRPr="003E25B3">
        <w:rPr>
          <w:rFonts w:ascii="Times New Roman" w:hAnsi="Times New Roman" w:cs="Times New Roman"/>
          <w:sz w:val="24"/>
          <w:szCs w:val="24"/>
        </w:rPr>
        <w:t xml:space="preserve"> </w:t>
      </w:r>
      <w:r w:rsidRPr="003E25B3">
        <w:rPr>
          <w:rFonts w:ascii="Times New Roman" w:hAnsi="Times New Roman" w:cs="Times New Roman"/>
          <w:sz w:val="24"/>
          <w:szCs w:val="24"/>
        </w:rPr>
        <w:t>years, and again there is no restriction on the highest band.</w:t>
      </w:r>
    </w:p>
    <w:p w:rsidR="003E25B3" w:rsidRDefault="003E25B3" w:rsidP="003E25B3">
      <w:pPr>
        <w:pStyle w:val="NoSpacing"/>
        <w:ind w:left="720"/>
        <w:rPr>
          <w:rFonts w:ascii="Times New Roman" w:hAnsi="Times New Roman" w:cs="Times New Roman"/>
          <w:sz w:val="24"/>
          <w:szCs w:val="24"/>
        </w:rPr>
      </w:pPr>
    </w:p>
    <w:p w:rsidR="002B5946" w:rsidRPr="002B5946" w:rsidRDefault="002B5946" w:rsidP="002B5946">
      <w:pPr>
        <w:pStyle w:val="NoSpacing"/>
        <w:ind w:left="720"/>
        <w:rPr>
          <w:rFonts w:ascii="Times New Roman" w:hAnsi="Times New Roman" w:cs="Times New Roman"/>
          <w:sz w:val="24"/>
          <w:szCs w:val="24"/>
        </w:rPr>
      </w:pPr>
      <w:r w:rsidRPr="003E25B3">
        <w:rPr>
          <w:rFonts w:ascii="Times New Roman" w:hAnsi="Times New Roman" w:cs="Times New Roman"/>
          <w:b/>
          <w:sz w:val="24"/>
          <w:szCs w:val="24"/>
        </w:rPr>
        <w:t>Example 4-1</w:t>
      </w:r>
      <w:r>
        <w:rPr>
          <w:rFonts w:ascii="Times New Roman" w:hAnsi="Times New Roman" w:cs="Times New Roman"/>
          <w:b/>
          <w:sz w:val="24"/>
          <w:szCs w:val="24"/>
        </w:rPr>
        <w:t>2</w:t>
      </w:r>
      <w:r w:rsidRPr="003E25B3">
        <w:rPr>
          <w:rFonts w:ascii="Times New Roman" w:hAnsi="Times New Roman" w:cs="Times New Roman"/>
          <w:b/>
          <w:sz w:val="24"/>
          <w:szCs w:val="24"/>
        </w:rPr>
        <w:t>.</w:t>
      </w:r>
      <w:r>
        <w:rPr>
          <w:rFonts w:ascii="Times New Roman" w:hAnsi="Times New Roman" w:cs="Times New Roman"/>
          <w:sz w:val="24"/>
          <w:szCs w:val="24"/>
        </w:rPr>
        <w:t xml:space="preserve">  </w:t>
      </w:r>
      <w:r w:rsidR="00E45FCB">
        <w:rPr>
          <w:rFonts w:ascii="Times New Roman" w:hAnsi="Times New Roman" w:cs="Times New Roman"/>
          <w:sz w:val="24"/>
          <w:szCs w:val="24"/>
        </w:rPr>
        <w:t xml:space="preserve">The following is an </w:t>
      </w:r>
      <w:r>
        <w:rPr>
          <w:rFonts w:ascii="Times New Roman" w:hAnsi="Times New Roman" w:cs="Times New Roman"/>
          <w:sz w:val="24"/>
          <w:szCs w:val="24"/>
        </w:rPr>
        <w:t>example of a smooth rate series mentioned in Mathematical Test 2.</w:t>
      </w:r>
    </w:p>
    <w:p w:rsidR="003E25B3" w:rsidRPr="002B5946" w:rsidRDefault="003E25B3" w:rsidP="003E25B3">
      <w:pPr>
        <w:pStyle w:val="NoSpacing"/>
        <w:ind w:left="720"/>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5"/>
        <w:gridCol w:w="955"/>
        <w:gridCol w:w="955"/>
        <w:gridCol w:w="955"/>
        <w:gridCol w:w="955"/>
      </w:tblGrid>
      <w:tr w:rsidR="002B5946" w:rsidRPr="002B5946" w:rsidTr="00E826AF">
        <w:trPr>
          <w:trHeight w:val="60"/>
          <w:jc w:val="center"/>
        </w:trPr>
        <w:tc>
          <w:tcPr>
            <w:tcW w:w="955" w:type="dxa"/>
            <w:tcMar>
              <w:top w:w="80" w:type="dxa"/>
              <w:left w:w="80" w:type="dxa"/>
              <w:bottom w:w="80" w:type="dxa"/>
              <w:right w:w="80" w:type="dxa"/>
            </w:tcMar>
          </w:tcPr>
          <w:p w:rsidR="002B5946" w:rsidRPr="002B5946" w:rsidRDefault="002B5946" w:rsidP="00E826AF">
            <w:pPr>
              <w:jc w:val="center"/>
            </w:pPr>
            <w:r w:rsidRPr="002B5946">
              <w:t>5%</w:t>
            </w:r>
          </w:p>
        </w:tc>
        <w:tc>
          <w:tcPr>
            <w:tcW w:w="955" w:type="dxa"/>
            <w:tcMar>
              <w:top w:w="80" w:type="dxa"/>
              <w:left w:w="80" w:type="dxa"/>
              <w:bottom w:w="80" w:type="dxa"/>
              <w:right w:w="80" w:type="dxa"/>
            </w:tcMar>
          </w:tcPr>
          <w:p w:rsidR="002B5946" w:rsidRPr="002B5946" w:rsidRDefault="002B5946" w:rsidP="00E826AF">
            <w:pPr>
              <w:jc w:val="center"/>
            </w:pPr>
            <w:r w:rsidRPr="002B5946">
              <w:t>10%</w:t>
            </w:r>
          </w:p>
        </w:tc>
        <w:tc>
          <w:tcPr>
            <w:tcW w:w="955" w:type="dxa"/>
            <w:tcMar>
              <w:top w:w="80" w:type="dxa"/>
              <w:left w:w="80" w:type="dxa"/>
              <w:bottom w:w="80" w:type="dxa"/>
              <w:right w:w="80" w:type="dxa"/>
            </w:tcMar>
          </w:tcPr>
          <w:p w:rsidR="002B5946" w:rsidRPr="002B5946" w:rsidRDefault="002B5946" w:rsidP="00E826AF">
            <w:pPr>
              <w:jc w:val="center"/>
            </w:pPr>
            <w:r w:rsidRPr="002B5946">
              <w:t>15%</w:t>
            </w:r>
          </w:p>
        </w:tc>
        <w:tc>
          <w:tcPr>
            <w:tcW w:w="955" w:type="dxa"/>
            <w:tcMar>
              <w:top w:w="80" w:type="dxa"/>
              <w:left w:w="80" w:type="dxa"/>
              <w:bottom w:w="80" w:type="dxa"/>
              <w:right w:w="80" w:type="dxa"/>
            </w:tcMar>
          </w:tcPr>
          <w:p w:rsidR="002B5946" w:rsidRPr="002B5946" w:rsidRDefault="002B5946" w:rsidP="00E826AF">
            <w:pPr>
              <w:jc w:val="center"/>
            </w:pPr>
            <w:r w:rsidRPr="002B5946">
              <w:t>20%</w:t>
            </w:r>
          </w:p>
        </w:tc>
        <w:tc>
          <w:tcPr>
            <w:tcW w:w="955" w:type="dxa"/>
            <w:tcMar>
              <w:top w:w="80" w:type="dxa"/>
              <w:left w:w="80" w:type="dxa"/>
              <w:bottom w:w="80" w:type="dxa"/>
              <w:right w:w="80" w:type="dxa"/>
            </w:tcMar>
          </w:tcPr>
          <w:p w:rsidR="002B5946" w:rsidRPr="002B5946" w:rsidRDefault="002B5946" w:rsidP="00E826AF">
            <w:pPr>
              <w:jc w:val="center"/>
            </w:pPr>
            <w:r w:rsidRPr="002B5946">
              <w:t>25%</w:t>
            </w:r>
          </w:p>
        </w:tc>
      </w:tr>
    </w:tbl>
    <w:p w:rsidR="002B5946" w:rsidRPr="002B5946" w:rsidRDefault="002B5946" w:rsidP="002B5946">
      <w:pPr>
        <w:pStyle w:val="PA"/>
        <w:spacing w:after="180"/>
        <w:jc w:val="center"/>
        <w:rPr>
          <w:rFonts w:ascii="Times New Roman" w:hAnsi="Times New Roman"/>
          <w:sz w:val="24"/>
          <w:szCs w:val="24"/>
        </w:rPr>
      </w:pPr>
    </w:p>
    <w:p w:rsidR="002B5946" w:rsidRDefault="002B5946" w:rsidP="002B5946">
      <w:pPr>
        <w:pStyle w:val="NoSpacing"/>
        <w:ind w:left="720"/>
        <w:rPr>
          <w:rFonts w:ascii="Times New Roman" w:hAnsi="Times New Roman" w:cs="Times New Roman"/>
          <w:sz w:val="24"/>
          <w:szCs w:val="24"/>
        </w:rPr>
      </w:pPr>
      <w:r w:rsidRPr="002B5946">
        <w:rPr>
          <w:rFonts w:ascii="Times New Roman" w:hAnsi="Times New Roman" w:cs="Times New Roman"/>
          <w:sz w:val="24"/>
          <w:szCs w:val="24"/>
        </w:rPr>
        <w:t>Here the difference in rate is not more than 5 percent between any two rates. Each rate is no more than two times the next lowest rate:</w:t>
      </w:r>
    </w:p>
    <w:p w:rsidR="002B5946" w:rsidRPr="002B5946" w:rsidRDefault="002B5946" w:rsidP="00E337CF">
      <w:pPr>
        <w:pStyle w:val="PD"/>
        <w:numPr>
          <w:ilvl w:val="0"/>
          <w:numId w:val="20"/>
        </w:numPr>
        <w:rPr>
          <w:rFonts w:ascii="Times New Roman" w:hAnsi="Times New Roman"/>
          <w:sz w:val="24"/>
          <w:szCs w:val="24"/>
        </w:rPr>
      </w:pPr>
      <w:r w:rsidRPr="002B5946">
        <w:rPr>
          <w:rFonts w:ascii="Times New Roman" w:hAnsi="Times New Roman"/>
          <w:sz w:val="24"/>
          <w:szCs w:val="24"/>
        </w:rPr>
        <w:t>10% / 5% = 2.00</w:t>
      </w:r>
    </w:p>
    <w:p w:rsidR="002B5946" w:rsidRPr="002B5946" w:rsidRDefault="002B5946" w:rsidP="00E337CF">
      <w:pPr>
        <w:pStyle w:val="PD"/>
        <w:numPr>
          <w:ilvl w:val="0"/>
          <w:numId w:val="20"/>
        </w:numPr>
        <w:rPr>
          <w:rFonts w:ascii="Times New Roman" w:hAnsi="Times New Roman"/>
          <w:sz w:val="24"/>
          <w:szCs w:val="24"/>
        </w:rPr>
      </w:pPr>
      <w:r w:rsidRPr="002B5946">
        <w:rPr>
          <w:rFonts w:ascii="Times New Roman" w:hAnsi="Times New Roman"/>
          <w:sz w:val="24"/>
          <w:szCs w:val="24"/>
        </w:rPr>
        <w:t>15% / 10% = 1.50</w:t>
      </w:r>
    </w:p>
    <w:p w:rsidR="002B5946" w:rsidRPr="002B5946" w:rsidRDefault="002B5946" w:rsidP="00E337CF">
      <w:pPr>
        <w:pStyle w:val="PD"/>
        <w:numPr>
          <w:ilvl w:val="0"/>
          <w:numId w:val="20"/>
        </w:numPr>
        <w:rPr>
          <w:rFonts w:ascii="Times New Roman" w:hAnsi="Times New Roman"/>
          <w:sz w:val="24"/>
          <w:szCs w:val="24"/>
        </w:rPr>
      </w:pPr>
      <w:r w:rsidRPr="002B5946">
        <w:rPr>
          <w:rFonts w:ascii="Times New Roman" w:hAnsi="Times New Roman"/>
          <w:sz w:val="24"/>
          <w:szCs w:val="24"/>
        </w:rPr>
        <w:t>20% / 15% = 1.33</w:t>
      </w:r>
    </w:p>
    <w:p w:rsidR="002B5946" w:rsidRPr="002B5946" w:rsidRDefault="002B5946" w:rsidP="00E337CF">
      <w:pPr>
        <w:pStyle w:val="PD"/>
        <w:numPr>
          <w:ilvl w:val="0"/>
          <w:numId w:val="20"/>
        </w:numPr>
        <w:rPr>
          <w:rFonts w:ascii="Times New Roman" w:hAnsi="Times New Roman"/>
          <w:sz w:val="24"/>
          <w:szCs w:val="24"/>
        </w:rPr>
      </w:pPr>
      <w:r w:rsidRPr="002B5946">
        <w:rPr>
          <w:rFonts w:ascii="Times New Roman" w:hAnsi="Times New Roman"/>
          <w:sz w:val="24"/>
          <w:szCs w:val="24"/>
        </w:rPr>
        <w:t>25% / 20% = 1.25</w:t>
      </w:r>
    </w:p>
    <w:p w:rsidR="002B5946" w:rsidRDefault="002B5946" w:rsidP="002B5946">
      <w:pPr>
        <w:pStyle w:val="NoSpacing"/>
        <w:ind w:left="720"/>
        <w:rPr>
          <w:rFonts w:ascii="Times New Roman" w:hAnsi="Times New Roman" w:cs="Times New Roman"/>
          <w:sz w:val="24"/>
          <w:szCs w:val="24"/>
        </w:rPr>
      </w:pPr>
      <w:r w:rsidRPr="002B5946">
        <w:rPr>
          <w:rFonts w:ascii="Times New Roman" w:hAnsi="Times New Roman" w:cs="Times New Roman"/>
          <w:sz w:val="24"/>
          <w:szCs w:val="24"/>
        </w:rPr>
        <w:t>Item 3 is satisfied:</w:t>
      </w:r>
    </w:p>
    <w:p w:rsidR="002B5946" w:rsidRPr="002B5946" w:rsidRDefault="002B5946" w:rsidP="00E337CF">
      <w:pPr>
        <w:pStyle w:val="PD"/>
        <w:numPr>
          <w:ilvl w:val="0"/>
          <w:numId w:val="43"/>
        </w:numPr>
        <w:rPr>
          <w:rFonts w:ascii="Times New Roman" w:hAnsi="Times New Roman"/>
          <w:sz w:val="24"/>
          <w:szCs w:val="24"/>
        </w:rPr>
      </w:pPr>
      <w:r w:rsidRPr="002B5946">
        <w:rPr>
          <w:rFonts w:ascii="Times New Roman" w:hAnsi="Times New Roman"/>
          <w:sz w:val="24"/>
          <w:szCs w:val="24"/>
        </w:rPr>
        <w:t xml:space="preserve">(25 / 20)  </w:t>
      </w:r>
      <w:r>
        <w:rPr>
          <w:rFonts w:ascii="Symbol" w:hAnsi="Symbol" w:cs="Symbol"/>
        </w:rPr>
        <w:t></w:t>
      </w:r>
      <w:r w:rsidRPr="002B5946">
        <w:rPr>
          <w:rFonts w:ascii="Times New Roman" w:hAnsi="Times New Roman"/>
          <w:sz w:val="24"/>
          <w:szCs w:val="24"/>
        </w:rPr>
        <w:t xml:space="preserve">  (20 / 15)</w:t>
      </w:r>
      <w:r>
        <w:rPr>
          <w:rFonts w:ascii="Times New Roman" w:hAnsi="Times New Roman"/>
          <w:sz w:val="24"/>
          <w:szCs w:val="24"/>
        </w:rPr>
        <w:t xml:space="preserve"> </w:t>
      </w:r>
      <w:r w:rsidRPr="002B5946">
        <w:rPr>
          <w:rFonts w:ascii="Times New Roman" w:hAnsi="Times New Roman"/>
          <w:sz w:val="24"/>
          <w:szCs w:val="24"/>
        </w:rPr>
        <w:t xml:space="preserve"> </w:t>
      </w:r>
      <w:r>
        <w:rPr>
          <w:rFonts w:ascii="Symbol" w:hAnsi="Symbol" w:cs="Symbol"/>
        </w:rPr>
        <w:t></w:t>
      </w:r>
      <w:r>
        <w:rPr>
          <w:rFonts w:ascii="Symbol" w:hAnsi="Symbol" w:cs="Symbol"/>
        </w:rPr>
        <w:t></w:t>
      </w:r>
      <w:r w:rsidRPr="002B5946">
        <w:rPr>
          <w:rFonts w:ascii="Times New Roman" w:hAnsi="Times New Roman"/>
          <w:sz w:val="24"/>
          <w:szCs w:val="24"/>
        </w:rPr>
        <w:t xml:space="preserve"> (15 / 10)</w:t>
      </w:r>
      <w:r>
        <w:rPr>
          <w:rFonts w:ascii="Times New Roman" w:hAnsi="Times New Roman"/>
          <w:sz w:val="24"/>
          <w:szCs w:val="24"/>
        </w:rPr>
        <w:t xml:space="preserve"> </w:t>
      </w:r>
      <w:r w:rsidRPr="002B5946">
        <w:rPr>
          <w:rFonts w:ascii="Times New Roman" w:hAnsi="Times New Roman"/>
          <w:sz w:val="24"/>
          <w:szCs w:val="24"/>
        </w:rPr>
        <w:t xml:space="preserve"> </w:t>
      </w:r>
      <w:r>
        <w:rPr>
          <w:rFonts w:ascii="Symbol" w:hAnsi="Symbol" w:cs="Symbol"/>
        </w:rPr>
        <w:t></w:t>
      </w:r>
      <w:r>
        <w:rPr>
          <w:rFonts w:ascii="Times New Roman" w:hAnsi="Times New Roman"/>
          <w:sz w:val="24"/>
          <w:szCs w:val="24"/>
        </w:rPr>
        <w:t xml:space="preserve">  </w:t>
      </w:r>
      <w:r w:rsidRPr="002B5946">
        <w:rPr>
          <w:rFonts w:ascii="Times New Roman" w:hAnsi="Times New Roman"/>
          <w:sz w:val="24"/>
          <w:szCs w:val="24"/>
        </w:rPr>
        <w:t xml:space="preserve">(10 / 5) </w:t>
      </w:r>
    </w:p>
    <w:p w:rsidR="002B5946" w:rsidRPr="002B5946" w:rsidRDefault="002B5946" w:rsidP="00E337CF">
      <w:pPr>
        <w:pStyle w:val="PD"/>
        <w:numPr>
          <w:ilvl w:val="0"/>
          <w:numId w:val="43"/>
        </w:numPr>
        <w:rPr>
          <w:rFonts w:ascii="Times New Roman" w:hAnsi="Times New Roman"/>
          <w:sz w:val="24"/>
          <w:szCs w:val="24"/>
        </w:rPr>
      </w:pPr>
      <w:r w:rsidRPr="002B5946">
        <w:rPr>
          <w:rFonts w:ascii="Times New Roman" w:hAnsi="Times New Roman"/>
          <w:sz w:val="24"/>
          <w:szCs w:val="24"/>
        </w:rPr>
        <w:t xml:space="preserve">1.25    </w:t>
      </w:r>
      <w:r>
        <w:rPr>
          <w:rFonts w:ascii="Symbol" w:hAnsi="Symbol" w:cs="Symbol"/>
        </w:rPr>
        <w:t></w:t>
      </w:r>
      <w:r w:rsidRPr="002B5946">
        <w:rPr>
          <w:rFonts w:ascii="Times New Roman" w:hAnsi="Times New Roman"/>
          <w:sz w:val="24"/>
          <w:szCs w:val="24"/>
        </w:rPr>
        <w:t xml:space="preserve">    1.33    </w:t>
      </w:r>
      <w:r>
        <w:rPr>
          <w:rFonts w:ascii="Symbol" w:hAnsi="Symbol" w:cs="Symbol"/>
        </w:rPr>
        <w:t></w:t>
      </w:r>
      <w:r w:rsidRPr="002B5946">
        <w:rPr>
          <w:rFonts w:ascii="Times New Roman" w:hAnsi="Times New Roman"/>
          <w:sz w:val="24"/>
          <w:szCs w:val="24"/>
        </w:rPr>
        <w:t xml:space="preserve">    1.50    </w:t>
      </w:r>
      <w:r>
        <w:rPr>
          <w:rFonts w:ascii="Symbol" w:hAnsi="Symbol" w:cs="Symbol"/>
        </w:rPr>
        <w:t></w:t>
      </w:r>
      <w:r w:rsidRPr="002B5946">
        <w:rPr>
          <w:rFonts w:ascii="Times New Roman" w:hAnsi="Times New Roman"/>
          <w:sz w:val="24"/>
          <w:szCs w:val="24"/>
        </w:rPr>
        <w:t xml:space="preserve">    2.00</w:t>
      </w:r>
    </w:p>
    <w:p w:rsidR="002B5946" w:rsidRDefault="002B5946" w:rsidP="002B5946">
      <w:pPr>
        <w:pStyle w:val="NoSpacing"/>
        <w:ind w:left="720"/>
        <w:rPr>
          <w:rFonts w:ascii="Times New Roman" w:hAnsi="Times New Roman" w:cs="Times New Roman"/>
          <w:sz w:val="24"/>
          <w:szCs w:val="24"/>
        </w:rPr>
      </w:pPr>
      <w:r w:rsidRPr="002B5946">
        <w:rPr>
          <w:rFonts w:ascii="Times New Roman" w:hAnsi="Times New Roman" w:cs="Times New Roman"/>
          <w:sz w:val="24"/>
          <w:szCs w:val="24"/>
        </w:rPr>
        <w:t>An example of a rate series that is not smooth would be:</w:t>
      </w:r>
    </w:p>
    <w:p w:rsidR="002B5946" w:rsidRPr="002B5946" w:rsidRDefault="002B5946" w:rsidP="00E337CF">
      <w:pPr>
        <w:pStyle w:val="PD"/>
        <w:numPr>
          <w:ilvl w:val="0"/>
          <w:numId w:val="43"/>
        </w:numPr>
        <w:rPr>
          <w:rFonts w:ascii="Times New Roman" w:hAnsi="Times New Roman"/>
          <w:sz w:val="24"/>
          <w:szCs w:val="24"/>
        </w:rPr>
      </w:pPr>
      <w:r w:rsidRPr="002B5946">
        <w:rPr>
          <w:rFonts w:ascii="Times New Roman" w:hAnsi="Times New Roman"/>
          <w:sz w:val="24"/>
          <w:szCs w:val="24"/>
        </w:rPr>
        <w:t>3%    5%   6%   10%</w:t>
      </w:r>
    </w:p>
    <w:p w:rsidR="002B5946" w:rsidRDefault="002B5946" w:rsidP="002B5946">
      <w:pPr>
        <w:pStyle w:val="NoSpacing"/>
        <w:ind w:left="720"/>
        <w:rPr>
          <w:rFonts w:ascii="Times New Roman" w:hAnsi="Times New Roman" w:cs="Times New Roman"/>
          <w:sz w:val="24"/>
          <w:szCs w:val="24"/>
        </w:rPr>
      </w:pPr>
      <w:r w:rsidRPr="002B5946">
        <w:rPr>
          <w:rFonts w:ascii="Times New Roman" w:hAnsi="Times New Roman" w:cs="Times New Roman"/>
          <w:sz w:val="24"/>
          <w:szCs w:val="24"/>
        </w:rPr>
        <w:t>Although this series satisfies the first two requirements, i.e., no rate is more than 5 percent higher than the previous lower rate, and no rate is more than twice the previous lower rate, it does not satisfy item 3 above.</w:t>
      </w:r>
    </w:p>
    <w:p w:rsidR="002B5946" w:rsidRPr="002B5946" w:rsidRDefault="002B5946" w:rsidP="00DF4E5B">
      <w:pPr>
        <w:pStyle w:val="PA"/>
        <w:numPr>
          <w:ilvl w:val="0"/>
          <w:numId w:val="43"/>
        </w:numPr>
        <w:rPr>
          <w:rFonts w:ascii="Times New Roman" w:hAnsi="Times New Roman"/>
          <w:sz w:val="24"/>
          <w:szCs w:val="24"/>
        </w:rPr>
      </w:pPr>
      <w:r w:rsidRPr="002B5946">
        <w:rPr>
          <w:rFonts w:ascii="Times New Roman" w:hAnsi="Times New Roman"/>
          <w:sz w:val="24"/>
          <w:szCs w:val="24"/>
        </w:rPr>
        <w:t xml:space="preserve">(10 / 6)  </w:t>
      </w:r>
      <w:r>
        <w:rPr>
          <w:rFonts w:ascii="Symbol" w:hAnsi="Symbol" w:cs="Symbol"/>
        </w:rPr>
        <w:t></w:t>
      </w:r>
      <w:r w:rsidRPr="002B5946">
        <w:rPr>
          <w:rFonts w:ascii="Times New Roman" w:hAnsi="Times New Roman"/>
          <w:sz w:val="24"/>
          <w:szCs w:val="24"/>
        </w:rPr>
        <w:t xml:space="preserve"> </w:t>
      </w:r>
      <w:r>
        <w:rPr>
          <w:rFonts w:ascii="Times New Roman" w:hAnsi="Times New Roman"/>
          <w:sz w:val="24"/>
          <w:szCs w:val="24"/>
        </w:rPr>
        <w:t xml:space="preserve"> </w:t>
      </w:r>
      <w:r w:rsidRPr="002B5946">
        <w:rPr>
          <w:rFonts w:ascii="Times New Roman" w:hAnsi="Times New Roman"/>
          <w:sz w:val="24"/>
          <w:szCs w:val="24"/>
        </w:rPr>
        <w:t xml:space="preserve">(6 / 5)  </w:t>
      </w:r>
      <w:r>
        <w:rPr>
          <w:rFonts w:ascii="Symbol" w:hAnsi="Symbol" w:cs="Symbol"/>
        </w:rPr>
        <w:t></w:t>
      </w:r>
      <w:r>
        <w:rPr>
          <w:rFonts w:ascii="Symbol" w:hAnsi="Symbol" w:cs="Symbol"/>
        </w:rPr>
        <w:t></w:t>
      </w:r>
      <w:r w:rsidRPr="002B5946">
        <w:rPr>
          <w:rFonts w:ascii="Times New Roman" w:hAnsi="Times New Roman"/>
          <w:sz w:val="24"/>
          <w:szCs w:val="24"/>
        </w:rPr>
        <w:t xml:space="preserve"> (5 / 3)</w:t>
      </w:r>
    </w:p>
    <w:p w:rsidR="002B5946" w:rsidRPr="002B5946" w:rsidRDefault="002B5946" w:rsidP="00DF4E5B">
      <w:pPr>
        <w:pStyle w:val="PA"/>
        <w:numPr>
          <w:ilvl w:val="0"/>
          <w:numId w:val="43"/>
        </w:numPr>
        <w:rPr>
          <w:rFonts w:ascii="Times New Roman" w:hAnsi="Times New Roman"/>
          <w:sz w:val="24"/>
          <w:szCs w:val="24"/>
        </w:rPr>
      </w:pPr>
      <w:r w:rsidRPr="002B5946">
        <w:rPr>
          <w:rFonts w:ascii="Times New Roman" w:hAnsi="Times New Roman"/>
          <w:sz w:val="24"/>
          <w:szCs w:val="24"/>
        </w:rPr>
        <w:t>1.66</w:t>
      </w:r>
      <w:r w:rsidRPr="002B5946">
        <w:rPr>
          <w:rFonts w:ascii="Times New Roman" w:hAnsi="Times New Roman"/>
          <w:sz w:val="24"/>
          <w:szCs w:val="24"/>
        </w:rPr>
        <w:tab/>
        <w:t>1.20</w:t>
      </w:r>
      <w:r w:rsidRPr="002B5946">
        <w:rPr>
          <w:rFonts w:ascii="Times New Roman" w:hAnsi="Times New Roman"/>
          <w:sz w:val="24"/>
          <w:szCs w:val="24"/>
        </w:rPr>
        <w:tab/>
        <w:t>1.66</w:t>
      </w:r>
    </w:p>
    <w:p w:rsidR="002B5946" w:rsidRPr="002B5946" w:rsidRDefault="002B5946" w:rsidP="002B5946">
      <w:pPr>
        <w:pStyle w:val="NoSpacing"/>
        <w:ind w:left="720"/>
        <w:rPr>
          <w:rFonts w:ascii="Times New Roman" w:hAnsi="Times New Roman" w:cs="Times New Roman"/>
          <w:sz w:val="24"/>
          <w:szCs w:val="24"/>
        </w:rPr>
      </w:pPr>
      <w:r w:rsidRPr="002B5946">
        <w:rPr>
          <w:rFonts w:ascii="Times New Roman" w:hAnsi="Times New Roman" w:cs="Times New Roman"/>
          <w:sz w:val="24"/>
          <w:szCs w:val="24"/>
        </w:rPr>
        <w:lastRenderedPageBreak/>
        <w:t>This series would satisfy the requirement if the first two rates, i.e., 10 percent and 6 percent, were changed so that their ratio would be equal to or less than 1.20.</w:t>
      </w:r>
    </w:p>
    <w:p w:rsidR="003E25B3" w:rsidRDefault="003E25B3" w:rsidP="00B26B88">
      <w:pPr>
        <w:pStyle w:val="NoSpacing"/>
        <w:rPr>
          <w:rFonts w:ascii="Times New Roman" w:hAnsi="Times New Roman" w:cs="Times New Roman"/>
          <w:sz w:val="24"/>
          <w:szCs w:val="24"/>
        </w:rPr>
      </w:pPr>
    </w:p>
    <w:p w:rsidR="00E826AF" w:rsidRPr="000E667D" w:rsidRDefault="00E826AF" w:rsidP="00E826AF">
      <w:pPr>
        <w:pStyle w:val="NoSpacing"/>
        <w:ind w:left="720"/>
        <w:rPr>
          <w:rFonts w:ascii="Times New Roman" w:hAnsi="Times New Roman" w:cs="Times New Roman"/>
          <w:sz w:val="24"/>
          <w:szCs w:val="24"/>
          <w:u w:val="single"/>
        </w:rPr>
      </w:pPr>
      <w:r w:rsidRPr="003E25B3">
        <w:rPr>
          <w:rFonts w:ascii="Times New Roman" w:hAnsi="Times New Roman" w:cs="Times New Roman"/>
          <w:b/>
          <w:sz w:val="24"/>
          <w:szCs w:val="24"/>
        </w:rPr>
        <w:t>Example 4-1</w:t>
      </w:r>
      <w:r>
        <w:rPr>
          <w:rFonts w:ascii="Times New Roman" w:hAnsi="Times New Roman" w:cs="Times New Roman"/>
          <w:b/>
          <w:sz w:val="24"/>
          <w:szCs w:val="24"/>
        </w:rPr>
        <w:t>3</w:t>
      </w:r>
      <w:r w:rsidRPr="003E25B3">
        <w:rPr>
          <w:rFonts w:ascii="Times New Roman" w:hAnsi="Times New Roman" w:cs="Times New Roman"/>
          <w:b/>
          <w:sz w:val="24"/>
          <w:szCs w:val="24"/>
        </w:rPr>
        <w:t>.</w:t>
      </w:r>
      <w:r>
        <w:rPr>
          <w:rFonts w:ascii="Times New Roman" w:hAnsi="Times New Roman" w:cs="Times New Roman"/>
          <w:sz w:val="24"/>
          <w:szCs w:val="24"/>
        </w:rPr>
        <w:t xml:space="preserve">  </w:t>
      </w:r>
      <w:r w:rsidR="005942E5">
        <w:rPr>
          <w:rFonts w:ascii="Times New Roman" w:hAnsi="Times New Roman" w:cs="Times New Roman"/>
          <w:sz w:val="24"/>
          <w:szCs w:val="24"/>
        </w:rPr>
        <w:t xml:space="preserve">Table 4-11 is based </w:t>
      </w:r>
      <w:r w:rsidR="005942E5" w:rsidRPr="005942E5">
        <w:rPr>
          <w:rFonts w:ascii="Times New Roman" w:hAnsi="Times New Roman" w:cs="Times New Roman"/>
          <w:sz w:val="24"/>
          <w:szCs w:val="24"/>
        </w:rPr>
        <w:t xml:space="preserve">on a comparability profit sharing plan that passes the nondiscrimination test. If the plan were amended to a safe harbor 401(k) plan (see Chapter </w:t>
      </w:r>
      <w:r w:rsidR="00D75877">
        <w:rPr>
          <w:rFonts w:ascii="Times New Roman" w:hAnsi="Times New Roman" w:cs="Times New Roman"/>
          <w:sz w:val="24"/>
          <w:szCs w:val="24"/>
        </w:rPr>
        <w:t>6</w:t>
      </w:r>
      <w:r w:rsidR="005942E5" w:rsidRPr="005942E5">
        <w:rPr>
          <w:rFonts w:ascii="Times New Roman" w:hAnsi="Times New Roman" w:cs="Times New Roman"/>
          <w:sz w:val="24"/>
          <w:szCs w:val="24"/>
        </w:rPr>
        <w:t xml:space="preserve">) the results would be different because employee deferrals do not count in </w:t>
      </w:r>
      <w:r w:rsidR="005942E5" w:rsidRPr="0033241C">
        <w:rPr>
          <w:rFonts w:ascii="Times New Roman" w:hAnsi="Times New Roman" w:cs="Times New Roman"/>
          <w:sz w:val="24"/>
          <w:szCs w:val="24"/>
        </w:rPr>
        <w:t>determining allocation rates.</w:t>
      </w:r>
    </w:p>
    <w:p w:rsidR="005942E5" w:rsidRDefault="005942E5" w:rsidP="00E826AF">
      <w:pPr>
        <w:pStyle w:val="NoSpacing"/>
        <w:ind w:left="72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114"/>
        <w:gridCol w:w="1060"/>
        <w:gridCol w:w="547"/>
        <w:gridCol w:w="1441"/>
        <w:gridCol w:w="1281"/>
        <w:gridCol w:w="1187"/>
        <w:gridCol w:w="2007"/>
      </w:tblGrid>
      <w:tr w:rsidR="005942E5" w:rsidRPr="005942E5" w:rsidTr="0074138B">
        <w:trPr>
          <w:trHeight w:val="60"/>
          <w:jc w:val="center"/>
        </w:trPr>
        <w:tc>
          <w:tcPr>
            <w:tcW w:w="0" w:type="auto"/>
            <w:gridSpan w:val="7"/>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5942E5" w:rsidRPr="005942E5" w:rsidRDefault="005942E5" w:rsidP="005942E5">
            <w:pPr>
              <w:pStyle w:val="TableHead"/>
              <w:rPr>
                <w:rFonts w:ascii="Times New Roman" w:hAnsi="Times New Roman" w:cs="Times New Roman"/>
                <w:color w:val="auto"/>
                <w:sz w:val="24"/>
                <w:szCs w:val="24"/>
              </w:rPr>
            </w:pPr>
            <w:r w:rsidRPr="005942E5">
              <w:rPr>
                <w:rFonts w:ascii="Times New Roman" w:hAnsi="Times New Roman" w:cs="Times New Roman"/>
                <w:color w:val="auto"/>
                <w:sz w:val="24"/>
                <w:szCs w:val="24"/>
              </w:rPr>
              <w:t xml:space="preserve">Table </w:t>
            </w:r>
            <w:r>
              <w:rPr>
                <w:rFonts w:ascii="Times New Roman" w:hAnsi="Times New Roman" w:cs="Times New Roman"/>
                <w:color w:val="auto"/>
                <w:sz w:val="24"/>
                <w:szCs w:val="24"/>
              </w:rPr>
              <w:t>4</w:t>
            </w:r>
            <w:r w:rsidRPr="005942E5">
              <w:rPr>
                <w:rFonts w:ascii="Times New Roman" w:hAnsi="Times New Roman" w:cs="Times New Roman"/>
                <w:color w:val="auto"/>
                <w:sz w:val="24"/>
                <w:szCs w:val="24"/>
              </w:rPr>
              <w:t>-1</w:t>
            </w:r>
            <w:r>
              <w:rPr>
                <w:rFonts w:ascii="Times New Roman" w:hAnsi="Times New Roman" w:cs="Times New Roman"/>
                <w:color w:val="auto"/>
                <w:sz w:val="24"/>
                <w:szCs w:val="24"/>
              </w:rPr>
              <w:t>1</w:t>
            </w:r>
            <w:r w:rsidRPr="005942E5">
              <w:rPr>
                <w:rFonts w:ascii="Times New Roman" w:hAnsi="Times New Roman" w:cs="Times New Roman"/>
                <w:color w:val="auto"/>
                <w:sz w:val="24"/>
                <w:szCs w:val="24"/>
              </w:rPr>
              <w:t>. Percentage Allocation</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p>
          <w:p w:rsidR="005942E5" w:rsidRPr="005942E5" w:rsidRDefault="005942E5" w:rsidP="0074138B">
            <w:pPr>
              <w:jc w:val="cente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Salary</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Age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 xml:space="preserve">Employer </w:t>
            </w:r>
            <w:r w:rsidRPr="005942E5">
              <w:rPr>
                <w:b/>
                <w:bCs/>
                <w:i/>
                <w:iCs/>
              </w:rPr>
              <w:br/>
              <w:t>Contribution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Forfeitures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 xml:space="preserve">Total </w:t>
            </w:r>
            <w:r w:rsidRPr="005942E5">
              <w:rPr>
                <w:b/>
                <w:bCs/>
                <w:i/>
                <w:iCs/>
              </w:rPr>
              <w:br/>
              <w:t>Allocation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Percent Allocation</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HCE #1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807D15">
            <w:pPr>
              <w:jc w:val="right"/>
            </w:pPr>
            <w:r w:rsidRPr="005942E5">
              <w:t>$2</w:t>
            </w:r>
            <w:r w:rsidR="00807D15">
              <w:t>5</w:t>
            </w:r>
            <w:r w:rsidRPr="005942E5">
              <w:t>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60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807D15">
            <w:pPr>
              <w:ind w:right="157"/>
              <w:jc w:val="right"/>
            </w:pPr>
            <w:r w:rsidRPr="005942E5">
              <w:t xml:space="preserve">$ </w:t>
            </w:r>
            <w:r w:rsidR="00807D15">
              <w:t>51</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807D15">
            <w:pPr>
              <w:jc w:val="right"/>
            </w:pPr>
            <w:r w:rsidRPr="005942E5">
              <w:t>$</w:t>
            </w:r>
            <w:r w:rsidR="00807D15">
              <w:t>51</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20.00%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HCE #2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5942E5">
            <w:pPr>
              <w:jc w:val="right"/>
            </w:pPr>
            <w:r w:rsidRPr="005942E5">
              <w:t>$1</w:t>
            </w:r>
            <w:r>
              <w:t>15</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55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5942E5">
            <w:pPr>
              <w:ind w:right="157"/>
              <w:jc w:val="right"/>
            </w:pPr>
            <w:r w:rsidRPr="005942E5">
              <w:t>$ 2</w:t>
            </w:r>
            <w:r>
              <w:t>8</w:t>
            </w:r>
            <w:r w:rsidRPr="005942E5">
              <w:t>,</w:t>
            </w:r>
            <w:r>
              <w:t>750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34"/>
              <w:jc w:val="right"/>
            </w:pPr>
            <w:r w:rsidRPr="005942E5">
              <w:t xml:space="preserve">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5942E5">
            <w:pPr>
              <w:jc w:val="right"/>
            </w:pPr>
            <w:r w:rsidRPr="005942E5">
              <w:t>$2</w:t>
            </w:r>
            <w:r>
              <w:t>8</w:t>
            </w:r>
            <w:r w:rsidRPr="005942E5">
              <w:t>,</w:t>
            </w:r>
            <w:r>
              <w:t>750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25.00%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25,000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807D15" w:rsidP="00807D15">
            <w:pPr>
              <w:ind w:right="157"/>
            </w:pPr>
            <w:r>
              <w:t xml:space="preserve">    </w:t>
            </w:r>
            <w:r w:rsidR="005942E5" w:rsidRPr="005942E5">
              <w:t>$</w:t>
            </w:r>
            <w:r>
              <w:t xml:space="preserve">  </w:t>
            </w:r>
            <w:r w:rsidR="005942E5" w:rsidRPr="005942E5">
              <w:t xml:space="preserve"> 1,025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34"/>
              <w:jc w:val="center"/>
            </w:pPr>
            <w:r w:rsidRPr="005942E5">
              <w:t>$   625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$ 1,650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6.60%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35,000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38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807D15" w:rsidP="00807D15">
            <w:pPr>
              <w:ind w:right="157"/>
              <w:jc w:val="center"/>
            </w:pPr>
            <w:r>
              <w:t xml:space="preserve">    </w:t>
            </w:r>
            <w:r w:rsidR="005942E5" w:rsidRPr="005942E5">
              <w:t>$</w:t>
            </w:r>
            <w:r>
              <w:t xml:space="preserve"> </w:t>
            </w:r>
            <w:r w:rsidR="005942E5" w:rsidRPr="005942E5">
              <w:t xml:space="preserve"> </w:t>
            </w:r>
            <w:r>
              <w:t xml:space="preserve"> </w:t>
            </w:r>
            <w:r w:rsidR="005942E5" w:rsidRPr="005942E5">
              <w:t>1,435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34"/>
              <w:jc w:val="center"/>
            </w:pPr>
            <w:r w:rsidRPr="005942E5">
              <w:t>$   875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$ 2,310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6.60%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28,000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29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807D15" w:rsidP="0074138B">
            <w:pPr>
              <w:ind w:right="157"/>
              <w:jc w:val="center"/>
            </w:pPr>
            <w:r>
              <w:t xml:space="preserve">    </w:t>
            </w:r>
            <w:r w:rsidR="005942E5" w:rsidRPr="005942E5">
              <w:t>$   1,148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34"/>
              <w:jc w:val="center"/>
            </w:pPr>
            <w:r w:rsidRPr="005942E5">
              <w:t>$   700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$ 1,848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6.60%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18,000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807D15">
            <w:pPr>
              <w:ind w:right="157"/>
            </w:pPr>
            <w:r w:rsidRPr="005942E5">
              <w:t xml:space="preserve"> </w:t>
            </w:r>
            <w:r w:rsidR="00807D15">
              <w:t xml:space="preserve">   </w:t>
            </w:r>
            <w:r w:rsidRPr="005942E5">
              <w:t>$      738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34"/>
              <w:jc w:val="center"/>
            </w:pPr>
            <w:r w:rsidRPr="005942E5">
              <w:t>$   450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$ 1,188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6.60%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50,000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807D15" w:rsidP="0074138B">
            <w:pPr>
              <w:ind w:right="157"/>
              <w:jc w:val="center"/>
            </w:pPr>
            <w:r>
              <w:t xml:space="preserve">   </w:t>
            </w:r>
            <w:r w:rsidR="005942E5" w:rsidRPr="005942E5">
              <w:t>$   2,050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807D15" w:rsidP="0074138B">
            <w:pPr>
              <w:ind w:right="134"/>
            </w:pPr>
            <w:r>
              <w:t xml:space="preserve"> </w:t>
            </w:r>
            <w:r w:rsidR="005942E5" w:rsidRPr="005942E5">
              <w:t xml:space="preserve"> $ 1,250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$ 3,300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6.60%</w:t>
            </w:r>
          </w:p>
        </w:tc>
      </w:tr>
    </w:tbl>
    <w:p w:rsidR="005942E5" w:rsidRPr="005942E5" w:rsidRDefault="005942E5" w:rsidP="005942E5">
      <w:pPr>
        <w:pStyle w:val="PA"/>
        <w:rPr>
          <w:rFonts w:ascii="Times New Roman" w:hAnsi="Times New Roman"/>
          <w:sz w:val="24"/>
          <w:szCs w:val="24"/>
        </w:rPr>
      </w:pPr>
    </w:p>
    <w:p w:rsidR="005942E5" w:rsidRPr="00D75877" w:rsidRDefault="00D75877" w:rsidP="00D75877">
      <w:pPr>
        <w:pStyle w:val="NoSpacing"/>
        <w:ind w:left="720"/>
        <w:rPr>
          <w:rFonts w:ascii="Times New Roman" w:hAnsi="Times New Roman" w:cs="Times New Roman"/>
          <w:sz w:val="24"/>
          <w:szCs w:val="24"/>
        </w:rPr>
      </w:pPr>
      <w:r w:rsidRPr="00D75877">
        <w:rPr>
          <w:rFonts w:ascii="Times New Roman" w:hAnsi="Times New Roman" w:cs="Times New Roman"/>
          <w:b/>
          <w:sz w:val="24"/>
          <w:szCs w:val="24"/>
        </w:rPr>
        <w:t>Example 4-1</w:t>
      </w:r>
      <w:r>
        <w:rPr>
          <w:rFonts w:ascii="Times New Roman" w:hAnsi="Times New Roman" w:cs="Times New Roman"/>
          <w:b/>
          <w:sz w:val="24"/>
          <w:szCs w:val="24"/>
        </w:rPr>
        <w:t>4</w:t>
      </w:r>
      <w:r w:rsidRPr="00D75877">
        <w:rPr>
          <w:rFonts w:ascii="Times New Roman" w:hAnsi="Times New Roman" w:cs="Times New Roman"/>
          <w:b/>
          <w:sz w:val="24"/>
          <w:szCs w:val="24"/>
        </w:rPr>
        <w:t>.</w:t>
      </w:r>
      <w:r w:rsidRPr="00D75877">
        <w:rPr>
          <w:rFonts w:ascii="Times New Roman" w:hAnsi="Times New Roman" w:cs="Times New Roman"/>
          <w:sz w:val="24"/>
          <w:szCs w:val="24"/>
        </w:rPr>
        <w:t xml:space="preserve">  Table 4-1</w:t>
      </w:r>
      <w:r>
        <w:rPr>
          <w:rFonts w:ascii="Times New Roman" w:hAnsi="Times New Roman" w:cs="Times New Roman"/>
          <w:sz w:val="24"/>
          <w:szCs w:val="24"/>
        </w:rPr>
        <w:t>2</w:t>
      </w:r>
      <w:r w:rsidRPr="00D75877">
        <w:rPr>
          <w:rFonts w:ascii="Times New Roman" w:hAnsi="Times New Roman" w:cs="Times New Roman"/>
          <w:sz w:val="24"/>
          <w:szCs w:val="24"/>
        </w:rPr>
        <w:t xml:space="preserve"> is based on a </w:t>
      </w:r>
      <w:r>
        <w:rPr>
          <w:rFonts w:ascii="Times New Roman" w:hAnsi="Times New Roman" w:cs="Times New Roman"/>
          <w:sz w:val="24"/>
          <w:szCs w:val="24"/>
        </w:rPr>
        <w:t xml:space="preserve">safe harbor 401(k) plan. </w:t>
      </w:r>
      <w:r w:rsidRPr="00D75877">
        <w:rPr>
          <w:rFonts w:ascii="Times New Roman" w:hAnsi="Times New Roman" w:cs="Times New Roman"/>
          <w:sz w:val="24"/>
          <w:szCs w:val="24"/>
        </w:rPr>
        <w:t xml:space="preserve"> </w:t>
      </w:r>
      <w:r w:rsidRPr="005942E5">
        <w:rPr>
          <w:rFonts w:ascii="Times New Roman" w:hAnsi="Times New Roman" w:cs="Times New Roman"/>
          <w:sz w:val="24"/>
          <w:szCs w:val="24"/>
        </w:rPr>
        <w:t>In this case</w:t>
      </w:r>
      <w:r>
        <w:rPr>
          <w:rFonts w:ascii="Times New Roman" w:hAnsi="Times New Roman" w:cs="Times New Roman"/>
          <w:sz w:val="24"/>
          <w:szCs w:val="24"/>
        </w:rPr>
        <w:t>,</w:t>
      </w:r>
      <w:r w:rsidRPr="005942E5">
        <w:rPr>
          <w:rFonts w:ascii="Times New Roman" w:hAnsi="Times New Roman" w:cs="Times New Roman"/>
          <w:sz w:val="24"/>
          <w:szCs w:val="24"/>
        </w:rPr>
        <w:t xml:space="preserve"> the allocation to the NHCEs is reduced from 6.60 percent to 3.67 percent, satisfying the rule that the NHCEs’ minimum allocation rate must be at least one-third of the highest HCE allocation rate but not more than 5 percent. The only disadvantage of this approach is that the first 3 percent contributed for the NHCEs must be 100</w:t>
      </w:r>
      <w:r w:rsidR="000A4FF5">
        <w:rPr>
          <w:rFonts w:ascii="Times New Roman" w:hAnsi="Times New Roman" w:cs="Times New Roman"/>
          <w:sz w:val="24"/>
          <w:szCs w:val="24"/>
        </w:rPr>
        <w:t xml:space="preserve"> </w:t>
      </w:r>
      <w:r w:rsidRPr="005942E5">
        <w:rPr>
          <w:rFonts w:ascii="Times New Roman" w:hAnsi="Times New Roman" w:cs="Times New Roman"/>
          <w:sz w:val="24"/>
          <w:szCs w:val="24"/>
        </w:rPr>
        <w:t xml:space="preserve">percent vested in a safe harbor 401(k) plan. If employee turnover is high, excluding the 401(k) option may be less costly, considering </w:t>
      </w:r>
      <w:r w:rsidR="008B76B7">
        <w:rPr>
          <w:rFonts w:ascii="Times New Roman" w:hAnsi="Times New Roman" w:cs="Times New Roman"/>
          <w:sz w:val="24"/>
          <w:szCs w:val="24"/>
        </w:rPr>
        <w:t xml:space="preserve">that </w:t>
      </w:r>
      <w:r w:rsidRPr="005942E5">
        <w:rPr>
          <w:rFonts w:ascii="Times New Roman" w:hAnsi="Times New Roman" w:cs="Times New Roman"/>
          <w:sz w:val="24"/>
          <w:szCs w:val="24"/>
        </w:rPr>
        <w:t xml:space="preserve">the cost for the NHCEs would be reduced by forfeitures in the profit sharing plan. Remember that the new regulations must be satisfied </w:t>
      </w:r>
      <w:r w:rsidRPr="005942E5">
        <w:rPr>
          <w:rFonts w:ascii="Times New Roman" w:hAnsi="Times New Roman" w:cs="Times New Roman"/>
          <w:i/>
          <w:iCs/>
          <w:sz w:val="24"/>
          <w:szCs w:val="24"/>
        </w:rPr>
        <w:t>in addition</w:t>
      </w:r>
      <w:r w:rsidRPr="005942E5">
        <w:rPr>
          <w:rFonts w:ascii="Times New Roman" w:hAnsi="Times New Roman" w:cs="Times New Roman"/>
          <w:sz w:val="24"/>
          <w:szCs w:val="24"/>
        </w:rPr>
        <w:t xml:space="preserve"> to the nondiscrimination testing illustrated earlier in this chapter. Clearly, comparability defined contribution plans are not gone—only more closely regulated. </w:t>
      </w:r>
    </w:p>
    <w:p w:rsidR="00D75877" w:rsidRPr="005942E5" w:rsidRDefault="00D75877" w:rsidP="005942E5">
      <w:pPr>
        <w:pStyle w:val="PA"/>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14"/>
        <w:gridCol w:w="1060"/>
        <w:gridCol w:w="547"/>
        <w:gridCol w:w="1501"/>
        <w:gridCol w:w="1134"/>
        <w:gridCol w:w="1294"/>
        <w:gridCol w:w="1187"/>
        <w:gridCol w:w="1187"/>
      </w:tblGrid>
      <w:tr w:rsidR="005942E5" w:rsidRPr="005942E5" w:rsidTr="0074138B">
        <w:trPr>
          <w:trHeight w:val="60"/>
          <w:jc w:val="center"/>
        </w:trPr>
        <w:tc>
          <w:tcPr>
            <w:tcW w:w="0" w:type="auto"/>
            <w:gridSpan w:val="8"/>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bottom"/>
          </w:tcPr>
          <w:p w:rsidR="005942E5" w:rsidRPr="005942E5" w:rsidRDefault="005942E5" w:rsidP="00D75877">
            <w:pPr>
              <w:pStyle w:val="TableHead"/>
              <w:rPr>
                <w:rFonts w:ascii="Times New Roman" w:hAnsi="Times New Roman" w:cs="Times New Roman"/>
                <w:color w:val="auto"/>
                <w:sz w:val="24"/>
                <w:szCs w:val="24"/>
              </w:rPr>
            </w:pPr>
            <w:r w:rsidRPr="005942E5">
              <w:rPr>
                <w:rFonts w:ascii="Times New Roman" w:hAnsi="Times New Roman" w:cs="Times New Roman"/>
                <w:color w:val="auto"/>
                <w:sz w:val="24"/>
                <w:szCs w:val="24"/>
              </w:rPr>
              <w:t xml:space="preserve">Table </w:t>
            </w:r>
            <w:r w:rsidR="00D75877">
              <w:rPr>
                <w:rFonts w:ascii="Times New Roman" w:hAnsi="Times New Roman" w:cs="Times New Roman"/>
                <w:color w:val="auto"/>
                <w:sz w:val="24"/>
                <w:szCs w:val="24"/>
              </w:rPr>
              <w:t>4</w:t>
            </w:r>
            <w:r w:rsidRPr="005942E5">
              <w:rPr>
                <w:rFonts w:ascii="Times New Roman" w:hAnsi="Times New Roman" w:cs="Times New Roman"/>
                <w:color w:val="auto"/>
                <w:sz w:val="24"/>
                <w:szCs w:val="24"/>
              </w:rPr>
              <w:t>-1</w:t>
            </w:r>
            <w:r w:rsidR="00D75877">
              <w:rPr>
                <w:rFonts w:ascii="Times New Roman" w:hAnsi="Times New Roman" w:cs="Times New Roman"/>
                <w:color w:val="auto"/>
                <w:sz w:val="24"/>
                <w:szCs w:val="24"/>
              </w:rPr>
              <w:t>2</w:t>
            </w:r>
            <w:r w:rsidRPr="005942E5">
              <w:rPr>
                <w:rFonts w:ascii="Times New Roman" w:hAnsi="Times New Roman" w:cs="Times New Roman"/>
                <w:color w:val="auto"/>
                <w:sz w:val="24"/>
                <w:szCs w:val="24"/>
              </w:rPr>
              <w:t>. Safe Harbor 401(k) Plan</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p>
          <w:p w:rsidR="005942E5" w:rsidRPr="005942E5" w:rsidRDefault="005942E5" w:rsidP="0074138B">
            <w:pPr>
              <w:jc w:val="cente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Salary</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Age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Employer</w:t>
            </w:r>
            <w:r w:rsidRPr="005942E5">
              <w:rPr>
                <w:b/>
                <w:bCs/>
                <w:i/>
                <w:iCs/>
              </w:rPr>
              <w:br/>
              <w:t xml:space="preserve"> Contribution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rPr>
                <w:b/>
                <w:bCs/>
                <w:i/>
                <w:iCs/>
              </w:rPr>
              <w:t xml:space="preserve">Employee </w:t>
            </w:r>
            <w:r w:rsidRPr="005942E5">
              <w:rPr>
                <w:b/>
                <w:bCs/>
                <w:i/>
                <w:iCs/>
              </w:rPr>
              <w:br/>
              <w:t>Deferrals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Forfeitures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 xml:space="preserve">Total ER </w:t>
            </w:r>
            <w:r w:rsidRPr="005942E5">
              <w:rPr>
                <w:b/>
                <w:bCs/>
                <w:i/>
                <w:iCs/>
              </w:rPr>
              <w:br/>
              <w:t>Allocation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942E5" w:rsidRPr="005942E5" w:rsidRDefault="005942E5" w:rsidP="0074138B">
            <w:pPr>
              <w:jc w:val="center"/>
            </w:pPr>
            <w:r w:rsidRPr="005942E5">
              <w:rPr>
                <w:b/>
                <w:bCs/>
                <w:i/>
                <w:iCs/>
              </w:rPr>
              <w:t xml:space="preserve">Percent </w:t>
            </w:r>
            <w:r w:rsidRPr="005942E5">
              <w:rPr>
                <w:b/>
                <w:bCs/>
                <w:i/>
                <w:iCs/>
              </w:rPr>
              <w:br/>
              <w:t>Allocation</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HCE #1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25D86">
            <w:pPr>
              <w:jc w:val="right"/>
            </w:pPr>
            <w:r w:rsidRPr="005942E5">
              <w:t>$2</w:t>
            </w:r>
            <w:r w:rsidR="00725D86">
              <w:t>5</w:t>
            </w:r>
            <w:r w:rsidRPr="005942E5">
              <w:t>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60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25D86">
            <w:pPr>
              <w:ind w:right="157"/>
              <w:jc w:val="right"/>
            </w:pPr>
            <w:r w:rsidRPr="005942E5">
              <w:t>$2</w:t>
            </w:r>
            <w:r w:rsidR="00725D86">
              <w:t>8</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25D86">
            <w:pPr>
              <w:ind w:right="134"/>
              <w:jc w:val="right"/>
            </w:pPr>
            <w:r w:rsidRPr="005942E5">
              <w:t>$2</w:t>
            </w:r>
            <w:r w:rsidR="00725D86">
              <w:t>3</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25D86">
            <w:pPr>
              <w:jc w:val="right"/>
            </w:pPr>
            <w:r w:rsidRPr="005942E5">
              <w:t>$ 2</w:t>
            </w:r>
            <w:r w:rsidR="00725D86">
              <w:t>8</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25D86">
            <w:pPr>
              <w:ind w:right="58"/>
              <w:jc w:val="right"/>
            </w:pPr>
            <w:r w:rsidRPr="005942E5">
              <w:t>1</w:t>
            </w:r>
            <w:r w:rsidR="00725D86">
              <w:t>0</w:t>
            </w:r>
            <w:r w:rsidRPr="005942E5">
              <w:t>.</w:t>
            </w:r>
            <w:r w:rsidR="00725D86">
              <w:t>98</w:t>
            </w:r>
            <w:r w:rsidRPr="005942E5">
              <w:t>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HCE #2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D75877">
            <w:pPr>
              <w:jc w:val="right"/>
            </w:pPr>
            <w:r w:rsidRPr="005942E5">
              <w:t>$1</w:t>
            </w:r>
            <w:r w:rsidR="00D75877">
              <w:t>15</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55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D75877">
            <w:pPr>
              <w:ind w:right="157"/>
              <w:jc w:val="right"/>
            </w:pPr>
            <w:r w:rsidRPr="005942E5">
              <w:t>$  3,</w:t>
            </w:r>
            <w:r w:rsidR="00D75877">
              <w:t>450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25D86">
            <w:pPr>
              <w:ind w:right="134"/>
              <w:jc w:val="right"/>
            </w:pPr>
            <w:r w:rsidRPr="005942E5">
              <w:t>$2</w:t>
            </w:r>
            <w:r w:rsidR="00725D86">
              <w:t>3</w:t>
            </w:r>
            <w:r w:rsidRPr="005942E5">
              <w:t>,000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ind w:right="134"/>
              <w:jc w:val="right"/>
            </w:pPr>
            <w:r w:rsidRPr="005942E5">
              <w:t xml:space="preserve">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D75877">
            <w:pPr>
              <w:jc w:val="right"/>
            </w:pPr>
            <w:r w:rsidRPr="005942E5">
              <w:t>$   3,</w:t>
            </w:r>
            <w:r w:rsidR="00D75877">
              <w:t>450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3.000%</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25,000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57"/>
              <w:jc w:val="right"/>
            </w:pPr>
            <w:r w:rsidRPr="005942E5">
              <w:t>$     293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ind w:right="134"/>
              <w:jc w:val="right"/>
            </w:pPr>
            <w:r w:rsidRPr="005942E5">
              <w:t>$   625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jc w:val="right"/>
            </w:pPr>
            <w:r w:rsidRPr="005942E5">
              <w:t>$     918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3.673%</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35,000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38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57"/>
              <w:jc w:val="right"/>
            </w:pPr>
            <w:r w:rsidRPr="005942E5">
              <w:t>$     411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ind w:right="134"/>
              <w:jc w:val="right"/>
            </w:pPr>
            <w:r w:rsidRPr="005942E5">
              <w:t>$   875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jc w:val="right"/>
            </w:pPr>
            <w:r w:rsidRPr="005942E5">
              <w:t>$  1,286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3.673%</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28,000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29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57"/>
              <w:jc w:val="right"/>
            </w:pPr>
            <w:r w:rsidRPr="005942E5">
              <w:t>$     329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ind w:right="134"/>
              <w:jc w:val="right"/>
            </w:pPr>
            <w:r w:rsidRPr="005942E5">
              <w:t>$   700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jc w:val="right"/>
            </w:pPr>
            <w:r w:rsidRPr="005942E5">
              <w:t>$  1,029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3.673%</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18,000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25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57"/>
              <w:jc w:val="right"/>
            </w:pPr>
            <w:r w:rsidRPr="005942E5">
              <w:t>$     211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ind w:right="134"/>
              <w:jc w:val="right"/>
            </w:pPr>
            <w:r w:rsidRPr="005942E5">
              <w:t>$   450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jc w:val="right"/>
            </w:pPr>
            <w:r w:rsidRPr="005942E5">
              <w:t>$     661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3.673%</w:t>
            </w:r>
          </w:p>
        </w:tc>
      </w:tr>
      <w:tr w:rsidR="005942E5" w:rsidRPr="005942E5" w:rsidTr="0074138B">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r w:rsidRPr="005942E5">
              <w:t>NHCE #5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right"/>
            </w:pPr>
            <w:r w:rsidRPr="005942E5">
              <w:t>$  50,000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jc w:val="center"/>
            </w:pPr>
            <w:r w:rsidRPr="005942E5">
              <w:t>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157"/>
              <w:jc w:val="right"/>
            </w:pPr>
            <w:r w:rsidRPr="005942E5">
              <w:t xml:space="preserve">    $     587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pStyle w:val="NoParagraphStyle"/>
              <w:spacing w:line="240" w:lineRule="auto"/>
              <w:textAlignment w:val="auto"/>
              <w:rPr>
                <w:rFonts w:ascii="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725D86" w:rsidP="00725D86">
            <w:pPr>
              <w:ind w:right="134"/>
              <w:jc w:val="center"/>
            </w:pPr>
            <w:r>
              <w:t xml:space="preserve">    </w:t>
            </w:r>
            <w:r w:rsidR="005942E5" w:rsidRPr="005942E5">
              <w:t>$1,250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180" w:type="dxa"/>
            </w:tcMar>
          </w:tcPr>
          <w:p w:rsidR="005942E5" w:rsidRPr="005942E5" w:rsidRDefault="005942E5" w:rsidP="0074138B">
            <w:pPr>
              <w:jc w:val="right"/>
            </w:pPr>
            <w:r w:rsidRPr="005942E5">
              <w:t>$  1,837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2E5" w:rsidRPr="005942E5" w:rsidRDefault="005942E5" w:rsidP="0074138B">
            <w:pPr>
              <w:ind w:right="58"/>
              <w:jc w:val="right"/>
            </w:pPr>
            <w:r w:rsidRPr="005942E5">
              <w:t>3.673%</w:t>
            </w:r>
          </w:p>
        </w:tc>
      </w:tr>
    </w:tbl>
    <w:p w:rsidR="005942E5" w:rsidRPr="005942E5" w:rsidRDefault="005942E5" w:rsidP="005942E5">
      <w:pPr>
        <w:pStyle w:val="PA"/>
        <w:rPr>
          <w:rFonts w:ascii="Times New Roman" w:hAnsi="Times New Roman"/>
          <w:sz w:val="24"/>
          <w:szCs w:val="24"/>
        </w:rPr>
      </w:pPr>
    </w:p>
    <w:p w:rsidR="00B429B5" w:rsidRPr="00A81E29" w:rsidRDefault="00B429B5" w:rsidP="00B429B5">
      <w:pPr>
        <w:pStyle w:val="NoSpacing"/>
        <w:ind w:left="720"/>
        <w:rPr>
          <w:rFonts w:ascii="Times New Roman" w:hAnsi="Times New Roman" w:cs="Times New Roman"/>
          <w:b/>
          <w:sz w:val="24"/>
          <w:szCs w:val="24"/>
        </w:rPr>
      </w:pPr>
    </w:p>
    <w:p w:rsidR="00B429B5" w:rsidRDefault="00B429B5" w:rsidP="00B429B5">
      <w:pPr>
        <w:pStyle w:val="NoSpacing"/>
        <w:ind w:left="720"/>
        <w:rPr>
          <w:rFonts w:ascii="Times New Roman" w:hAnsi="Times New Roman" w:cs="Times New Roman"/>
          <w:b/>
          <w:sz w:val="24"/>
          <w:szCs w:val="24"/>
        </w:rPr>
      </w:pPr>
    </w:p>
    <w:p w:rsidR="00B429B5" w:rsidRDefault="00B429B5" w:rsidP="00B429B5">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74138B">
        <w:rPr>
          <w:rFonts w:ascii="Times New Roman" w:hAnsi="Times New Roman" w:cs="Times New Roman"/>
          <w:b/>
          <w:sz w:val="24"/>
          <w:szCs w:val="24"/>
        </w:rPr>
        <w:t>30</w:t>
      </w:r>
      <w:r>
        <w:rPr>
          <w:rFonts w:ascii="Times New Roman" w:hAnsi="Times New Roman" w:cs="Times New Roman"/>
          <w:b/>
          <w:sz w:val="24"/>
          <w:szCs w:val="24"/>
        </w:rPr>
        <w:t xml:space="preserve">:  </w:t>
      </w:r>
      <w:r w:rsidRPr="00B429B5">
        <w:rPr>
          <w:rFonts w:ascii="Times New Roman" w:hAnsi="Times New Roman" w:cs="Times New Roman"/>
          <w:b/>
          <w:sz w:val="24"/>
          <w:szCs w:val="24"/>
        </w:rPr>
        <w:t>Is compensation for nondiscrimination testing purposes subject to the same compensation limit for qualified plan benefits?</w:t>
      </w:r>
    </w:p>
    <w:p w:rsidR="009C49F9" w:rsidRDefault="009C49F9" w:rsidP="00B429B5">
      <w:pPr>
        <w:pStyle w:val="NoSpacing"/>
        <w:ind w:left="720"/>
        <w:rPr>
          <w:rFonts w:ascii="Times New Roman" w:hAnsi="Times New Roman" w:cs="Times New Roman"/>
          <w:sz w:val="24"/>
          <w:szCs w:val="24"/>
        </w:rPr>
      </w:pPr>
    </w:p>
    <w:p w:rsidR="009C49F9" w:rsidRDefault="00B429B5" w:rsidP="009C49F9">
      <w:pPr>
        <w:pStyle w:val="NoSpacing"/>
        <w:ind w:left="720"/>
        <w:rPr>
          <w:rFonts w:ascii="Times New Roman" w:hAnsi="Times New Roman" w:cs="Times New Roman"/>
          <w:sz w:val="20"/>
          <w:szCs w:val="20"/>
        </w:rPr>
      </w:pPr>
      <w:r w:rsidRPr="00B429B5">
        <w:rPr>
          <w:rFonts w:ascii="Times New Roman" w:hAnsi="Times New Roman" w:cs="Times New Roman"/>
          <w:sz w:val="24"/>
          <w:szCs w:val="24"/>
        </w:rPr>
        <w:t xml:space="preserve">Yes.  The plan must apply the </w:t>
      </w:r>
      <w:r w:rsidR="00C5728F">
        <w:rPr>
          <w:rFonts w:ascii="Times New Roman" w:hAnsi="Times New Roman" w:cs="Times New Roman"/>
          <w:sz w:val="24"/>
          <w:szCs w:val="24"/>
        </w:rPr>
        <w:t>Code</w:t>
      </w:r>
      <w:r w:rsidR="00C5728F" w:rsidRPr="00B429B5">
        <w:rPr>
          <w:rFonts w:ascii="Times New Roman" w:hAnsi="Times New Roman" w:cs="Times New Roman"/>
          <w:sz w:val="24"/>
          <w:szCs w:val="24"/>
        </w:rPr>
        <w:t xml:space="preserve"> </w:t>
      </w:r>
      <w:r w:rsidRPr="00B429B5">
        <w:rPr>
          <w:rFonts w:ascii="Times New Roman" w:hAnsi="Times New Roman" w:cs="Times New Roman"/>
          <w:sz w:val="24"/>
          <w:szCs w:val="24"/>
        </w:rPr>
        <w:t>Section 401(a)(17) compensation limit for nondiscrimination testing purposes.</w:t>
      </w:r>
      <w:r w:rsidR="00C5728F">
        <w:rPr>
          <w:rStyle w:val="FootnoteReference"/>
          <w:rFonts w:ascii="Times New Roman" w:hAnsi="Times New Roman" w:cs="Times New Roman"/>
          <w:sz w:val="24"/>
          <w:szCs w:val="24"/>
        </w:rPr>
        <w:footnoteReference w:id="35"/>
      </w:r>
      <w:r w:rsidR="00205143">
        <w:rPr>
          <w:rFonts w:ascii="Times New Roman" w:hAnsi="Times New Roman" w:cs="Times New Roman"/>
          <w:sz w:val="24"/>
          <w:szCs w:val="24"/>
        </w:rPr>
        <w:t xml:space="preserve"> </w:t>
      </w:r>
    </w:p>
    <w:p w:rsidR="009C49F9" w:rsidRDefault="009C49F9" w:rsidP="00B429B5">
      <w:pPr>
        <w:pStyle w:val="NoSpacing"/>
        <w:ind w:left="720"/>
        <w:rPr>
          <w:rFonts w:ascii="Times New Roman" w:hAnsi="Times New Roman" w:cs="Times New Roman"/>
          <w:sz w:val="24"/>
          <w:szCs w:val="24"/>
        </w:rPr>
      </w:pPr>
    </w:p>
    <w:p w:rsidR="00B429B5" w:rsidRDefault="00B429B5" w:rsidP="00B429B5">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B65F39">
        <w:rPr>
          <w:rFonts w:ascii="Times New Roman" w:hAnsi="Times New Roman" w:cs="Times New Roman"/>
          <w:b/>
          <w:sz w:val="24"/>
          <w:szCs w:val="24"/>
        </w:rPr>
        <w:t>3</w:t>
      </w:r>
      <w:r w:rsidR="0074138B">
        <w:rPr>
          <w:rFonts w:ascii="Times New Roman" w:hAnsi="Times New Roman" w:cs="Times New Roman"/>
          <w:b/>
          <w:sz w:val="24"/>
          <w:szCs w:val="24"/>
        </w:rPr>
        <w:t>1</w:t>
      </w:r>
      <w:r>
        <w:rPr>
          <w:rFonts w:ascii="Times New Roman" w:hAnsi="Times New Roman" w:cs="Times New Roman"/>
          <w:b/>
          <w:sz w:val="24"/>
          <w:szCs w:val="24"/>
        </w:rPr>
        <w:t xml:space="preserve">:  </w:t>
      </w:r>
      <w:r w:rsidRPr="00B429B5">
        <w:rPr>
          <w:rFonts w:ascii="Times New Roman" w:hAnsi="Times New Roman" w:cs="Times New Roman"/>
          <w:b/>
          <w:sz w:val="24"/>
          <w:szCs w:val="24"/>
        </w:rPr>
        <w:t>What is included in compensation for nondiscrimination testing purposes?</w:t>
      </w:r>
    </w:p>
    <w:p w:rsidR="009C49F9" w:rsidRDefault="009C49F9" w:rsidP="00B429B5">
      <w:pPr>
        <w:pStyle w:val="NoSpacing"/>
        <w:ind w:left="720"/>
        <w:rPr>
          <w:rFonts w:ascii="Times New Roman" w:hAnsi="Times New Roman" w:cs="Times New Roman"/>
          <w:sz w:val="24"/>
          <w:szCs w:val="24"/>
        </w:rPr>
      </w:pPr>
    </w:p>
    <w:p w:rsidR="00B429B5" w:rsidRDefault="00B429B5" w:rsidP="00B429B5">
      <w:pPr>
        <w:pStyle w:val="NoSpacing"/>
        <w:ind w:left="720"/>
        <w:rPr>
          <w:rFonts w:ascii="Times New Roman" w:hAnsi="Times New Roman" w:cs="Times New Roman"/>
          <w:sz w:val="24"/>
          <w:szCs w:val="24"/>
        </w:rPr>
      </w:pPr>
      <w:r w:rsidRPr="00B429B5">
        <w:rPr>
          <w:rFonts w:ascii="Times New Roman" w:hAnsi="Times New Roman" w:cs="Times New Roman"/>
          <w:sz w:val="24"/>
          <w:szCs w:val="24"/>
        </w:rPr>
        <w:t xml:space="preserve">For testing purposes, compensation is defined in </w:t>
      </w:r>
      <w:r w:rsidR="00FC765C">
        <w:rPr>
          <w:rFonts w:ascii="Times New Roman" w:hAnsi="Times New Roman" w:cs="Times New Roman"/>
          <w:sz w:val="24"/>
          <w:szCs w:val="24"/>
        </w:rPr>
        <w:t>Code</w:t>
      </w:r>
      <w:r w:rsidR="00FC765C" w:rsidRPr="00B429B5">
        <w:rPr>
          <w:rFonts w:ascii="Times New Roman" w:hAnsi="Times New Roman" w:cs="Times New Roman"/>
          <w:sz w:val="24"/>
          <w:szCs w:val="24"/>
        </w:rPr>
        <w:t xml:space="preserve"> </w:t>
      </w:r>
      <w:r w:rsidRPr="00B429B5">
        <w:rPr>
          <w:rFonts w:ascii="Times New Roman" w:hAnsi="Times New Roman" w:cs="Times New Roman"/>
          <w:sz w:val="24"/>
          <w:szCs w:val="24"/>
        </w:rPr>
        <w:t xml:space="preserve">Section 414(s), which refers to </w:t>
      </w:r>
      <w:r w:rsidR="00FC765C">
        <w:rPr>
          <w:rFonts w:ascii="Times New Roman" w:hAnsi="Times New Roman" w:cs="Times New Roman"/>
          <w:sz w:val="24"/>
          <w:szCs w:val="24"/>
        </w:rPr>
        <w:t>Code</w:t>
      </w:r>
      <w:r w:rsidR="00FC765C" w:rsidRPr="00B429B5">
        <w:rPr>
          <w:rFonts w:ascii="Times New Roman" w:hAnsi="Times New Roman" w:cs="Times New Roman"/>
          <w:sz w:val="24"/>
          <w:szCs w:val="24"/>
        </w:rPr>
        <w:t xml:space="preserve"> </w:t>
      </w:r>
      <w:r w:rsidRPr="00B429B5">
        <w:rPr>
          <w:rFonts w:ascii="Times New Roman" w:hAnsi="Times New Roman" w:cs="Times New Roman"/>
          <w:sz w:val="24"/>
          <w:szCs w:val="24"/>
        </w:rPr>
        <w:t>Section 415(c)(3) and includes:</w:t>
      </w:r>
      <w:r w:rsidR="00FC765C">
        <w:rPr>
          <w:rStyle w:val="FootnoteReference"/>
          <w:rFonts w:ascii="Times New Roman" w:hAnsi="Times New Roman" w:cs="Times New Roman"/>
          <w:sz w:val="24"/>
          <w:szCs w:val="24"/>
        </w:rPr>
        <w:footnoteReference w:id="36"/>
      </w:r>
    </w:p>
    <w:p w:rsidR="00B429B5" w:rsidRPr="00B92DAE" w:rsidRDefault="00B429B5" w:rsidP="00B92DAE">
      <w:pPr>
        <w:pStyle w:val="NoSpacing"/>
        <w:numPr>
          <w:ilvl w:val="0"/>
          <w:numId w:val="14"/>
        </w:numPr>
        <w:rPr>
          <w:sz w:val="24"/>
          <w:szCs w:val="24"/>
        </w:rPr>
      </w:pPr>
      <w:r w:rsidRPr="00B92DAE">
        <w:rPr>
          <w:rFonts w:ascii="Times New Roman" w:hAnsi="Times New Roman"/>
          <w:sz w:val="24"/>
          <w:szCs w:val="24"/>
        </w:rPr>
        <w:t xml:space="preserve">Wages, salaries, fees for professional services, and other amounts received for personal services actually rendered in the course of employment with the employer maintaining the plan to the extent that the amount is </w:t>
      </w:r>
      <w:r w:rsidR="00FC765C" w:rsidRPr="00B92DAE">
        <w:rPr>
          <w:rFonts w:ascii="Times New Roman" w:hAnsi="Times New Roman"/>
          <w:sz w:val="24"/>
          <w:szCs w:val="24"/>
        </w:rPr>
        <w:t>includ</w:t>
      </w:r>
      <w:r w:rsidR="00FC765C">
        <w:rPr>
          <w:rFonts w:ascii="Times New Roman" w:hAnsi="Times New Roman"/>
          <w:sz w:val="24"/>
          <w:szCs w:val="24"/>
        </w:rPr>
        <w:t>a</w:t>
      </w:r>
      <w:r w:rsidR="00FC765C" w:rsidRPr="00B92DAE">
        <w:rPr>
          <w:rFonts w:ascii="Times New Roman" w:hAnsi="Times New Roman"/>
          <w:sz w:val="24"/>
          <w:szCs w:val="24"/>
        </w:rPr>
        <w:t xml:space="preserve">ble </w:t>
      </w:r>
      <w:r w:rsidRPr="00B92DAE">
        <w:rPr>
          <w:rFonts w:ascii="Times New Roman" w:hAnsi="Times New Roman"/>
          <w:sz w:val="24"/>
          <w:szCs w:val="24"/>
        </w:rPr>
        <w:t>in gross income;</w:t>
      </w:r>
    </w:p>
    <w:p w:rsidR="00B429B5" w:rsidRPr="00B92DAE" w:rsidRDefault="00B429B5" w:rsidP="00B92DAE">
      <w:pPr>
        <w:pStyle w:val="NoSpacing"/>
        <w:numPr>
          <w:ilvl w:val="0"/>
          <w:numId w:val="14"/>
        </w:numPr>
        <w:rPr>
          <w:rFonts w:ascii="Times New Roman" w:hAnsi="Times New Roman"/>
          <w:sz w:val="24"/>
          <w:szCs w:val="24"/>
        </w:rPr>
      </w:pPr>
      <w:r w:rsidRPr="00D33669">
        <w:rPr>
          <w:rFonts w:ascii="Times New Roman" w:hAnsi="Times New Roman"/>
          <w:sz w:val="24"/>
          <w:szCs w:val="24"/>
        </w:rPr>
        <w:t xml:space="preserve">In the case of an employee who is an employee within the meaning of </w:t>
      </w:r>
      <w:r w:rsidR="00FC765C">
        <w:rPr>
          <w:rFonts w:ascii="Times New Roman" w:hAnsi="Times New Roman"/>
          <w:sz w:val="24"/>
          <w:szCs w:val="24"/>
        </w:rPr>
        <w:t>Code</w:t>
      </w:r>
      <w:r w:rsidR="00FC765C" w:rsidRPr="00D33669">
        <w:rPr>
          <w:rFonts w:ascii="Times New Roman" w:hAnsi="Times New Roman"/>
          <w:sz w:val="24"/>
          <w:szCs w:val="24"/>
        </w:rPr>
        <w:t xml:space="preserve"> </w:t>
      </w:r>
      <w:r w:rsidRPr="00D33669">
        <w:rPr>
          <w:rFonts w:ascii="Times New Roman" w:hAnsi="Times New Roman"/>
          <w:sz w:val="24"/>
          <w:szCs w:val="24"/>
        </w:rPr>
        <w:t xml:space="preserve">Section 401(c)(1) and the regulations thereunder (self-employed person or owner employee), the employee’s earned income as defined in </w:t>
      </w:r>
      <w:r w:rsidR="00FC765C">
        <w:rPr>
          <w:rFonts w:ascii="Times New Roman" w:hAnsi="Times New Roman"/>
          <w:sz w:val="24"/>
          <w:szCs w:val="24"/>
        </w:rPr>
        <w:t>Code</w:t>
      </w:r>
      <w:r w:rsidR="00FC765C" w:rsidRPr="00D33669">
        <w:rPr>
          <w:rFonts w:ascii="Times New Roman" w:hAnsi="Times New Roman"/>
          <w:sz w:val="24"/>
          <w:szCs w:val="24"/>
        </w:rPr>
        <w:t xml:space="preserve"> </w:t>
      </w:r>
      <w:r w:rsidRPr="00D33669">
        <w:rPr>
          <w:rFonts w:ascii="Times New Roman" w:hAnsi="Times New Roman"/>
          <w:sz w:val="24"/>
          <w:szCs w:val="24"/>
        </w:rPr>
        <w:t>Section 401(c)(2);</w:t>
      </w:r>
    </w:p>
    <w:p w:rsidR="00B429B5" w:rsidRPr="00B92DAE" w:rsidRDefault="00B429B5" w:rsidP="00B92DAE">
      <w:pPr>
        <w:pStyle w:val="NoSpacing"/>
        <w:numPr>
          <w:ilvl w:val="0"/>
          <w:numId w:val="14"/>
        </w:numPr>
        <w:rPr>
          <w:rFonts w:ascii="Times New Roman" w:hAnsi="Times New Roman"/>
          <w:sz w:val="24"/>
          <w:szCs w:val="24"/>
        </w:rPr>
      </w:pPr>
      <w:r w:rsidRPr="00D33669">
        <w:rPr>
          <w:rFonts w:ascii="Times New Roman" w:hAnsi="Times New Roman"/>
          <w:sz w:val="24"/>
          <w:szCs w:val="24"/>
        </w:rPr>
        <w:t>Amounts received through an accident or health insurance plan (</w:t>
      </w:r>
      <w:r w:rsidR="00FC765C">
        <w:rPr>
          <w:rFonts w:ascii="Times New Roman" w:hAnsi="Times New Roman"/>
          <w:sz w:val="24"/>
          <w:szCs w:val="24"/>
        </w:rPr>
        <w:t>Code</w:t>
      </w:r>
      <w:r w:rsidR="00FC765C" w:rsidRPr="00D33669">
        <w:rPr>
          <w:rFonts w:ascii="Times New Roman" w:hAnsi="Times New Roman"/>
          <w:sz w:val="24"/>
          <w:szCs w:val="24"/>
        </w:rPr>
        <w:t xml:space="preserve"> </w:t>
      </w:r>
      <w:r w:rsidRPr="00D33669">
        <w:rPr>
          <w:rFonts w:ascii="Times New Roman" w:hAnsi="Times New Roman"/>
          <w:sz w:val="24"/>
          <w:szCs w:val="24"/>
        </w:rPr>
        <w:t xml:space="preserve">Section 104(a)(3), </w:t>
      </w:r>
      <w:r w:rsidR="00FC765C">
        <w:rPr>
          <w:rFonts w:ascii="Times New Roman" w:hAnsi="Times New Roman"/>
          <w:sz w:val="24"/>
          <w:szCs w:val="24"/>
        </w:rPr>
        <w:t xml:space="preserve">Code Section </w:t>
      </w:r>
      <w:r w:rsidRPr="00D33669">
        <w:rPr>
          <w:rFonts w:ascii="Times New Roman" w:hAnsi="Times New Roman"/>
          <w:sz w:val="24"/>
          <w:szCs w:val="24"/>
        </w:rPr>
        <w:t>105(a)), and amounts paid to HCEs under a discriminatory self-insured medical reimbursement plan, to the extent these amounts are included in the gross income of the employee;</w:t>
      </w:r>
    </w:p>
    <w:p w:rsidR="00B429B5" w:rsidRPr="00B92DAE" w:rsidRDefault="00B429B5" w:rsidP="00B92DAE">
      <w:pPr>
        <w:pStyle w:val="NoSpacing"/>
        <w:numPr>
          <w:ilvl w:val="0"/>
          <w:numId w:val="14"/>
        </w:numPr>
        <w:rPr>
          <w:rFonts w:ascii="Times New Roman" w:hAnsi="Times New Roman"/>
          <w:sz w:val="24"/>
          <w:szCs w:val="24"/>
        </w:rPr>
      </w:pPr>
      <w:r w:rsidRPr="00D33669">
        <w:rPr>
          <w:rFonts w:ascii="Times New Roman" w:hAnsi="Times New Roman"/>
          <w:sz w:val="24"/>
          <w:szCs w:val="24"/>
        </w:rPr>
        <w:t xml:space="preserve">Amounts paid or reimbursed by the employer for moving expenses if it is reasonable to expect that those amounts will not be deductible by the employee under </w:t>
      </w:r>
      <w:r w:rsidR="00FC765C">
        <w:rPr>
          <w:rFonts w:ascii="Times New Roman" w:hAnsi="Times New Roman"/>
          <w:sz w:val="24"/>
          <w:szCs w:val="24"/>
        </w:rPr>
        <w:t>Code</w:t>
      </w:r>
      <w:r w:rsidR="00FC765C" w:rsidRPr="00D33669">
        <w:rPr>
          <w:rFonts w:ascii="Times New Roman" w:hAnsi="Times New Roman"/>
          <w:sz w:val="24"/>
          <w:szCs w:val="24"/>
        </w:rPr>
        <w:t xml:space="preserve"> </w:t>
      </w:r>
      <w:r w:rsidRPr="00D33669">
        <w:rPr>
          <w:rFonts w:ascii="Times New Roman" w:hAnsi="Times New Roman"/>
          <w:sz w:val="24"/>
          <w:szCs w:val="24"/>
        </w:rPr>
        <w:t>Section 217;</w:t>
      </w:r>
    </w:p>
    <w:p w:rsidR="00B429B5" w:rsidRDefault="00B429B5" w:rsidP="00B92DAE">
      <w:pPr>
        <w:pStyle w:val="NoSpacing"/>
        <w:numPr>
          <w:ilvl w:val="0"/>
          <w:numId w:val="14"/>
        </w:numPr>
        <w:rPr>
          <w:rFonts w:ascii="Times New Roman" w:hAnsi="Times New Roman"/>
          <w:sz w:val="24"/>
          <w:szCs w:val="24"/>
        </w:rPr>
      </w:pPr>
      <w:r w:rsidRPr="00D33669">
        <w:rPr>
          <w:rFonts w:ascii="Times New Roman" w:hAnsi="Times New Roman"/>
          <w:sz w:val="24"/>
          <w:szCs w:val="24"/>
        </w:rPr>
        <w:t>The value of nonqualified stock options granted to an employee by the employer to the extent included in the employee’s gross income in the year granted; and</w:t>
      </w:r>
    </w:p>
    <w:p w:rsidR="00B429B5" w:rsidRDefault="00B429B5" w:rsidP="00B92DAE">
      <w:pPr>
        <w:pStyle w:val="NoSpacing"/>
        <w:numPr>
          <w:ilvl w:val="0"/>
          <w:numId w:val="14"/>
        </w:numPr>
        <w:rPr>
          <w:rFonts w:ascii="Times New Roman" w:hAnsi="Times New Roman"/>
          <w:sz w:val="24"/>
          <w:szCs w:val="24"/>
        </w:rPr>
      </w:pPr>
      <w:r w:rsidRPr="00D33669">
        <w:rPr>
          <w:rFonts w:ascii="Times New Roman" w:hAnsi="Times New Roman"/>
          <w:sz w:val="24"/>
          <w:szCs w:val="24"/>
        </w:rPr>
        <w:t xml:space="preserve">The amount </w:t>
      </w:r>
      <w:r w:rsidR="00FC765C" w:rsidRPr="00D33669">
        <w:rPr>
          <w:rFonts w:ascii="Times New Roman" w:hAnsi="Times New Roman"/>
          <w:sz w:val="24"/>
          <w:szCs w:val="24"/>
        </w:rPr>
        <w:t>includ</w:t>
      </w:r>
      <w:r w:rsidR="00FC765C">
        <w:rPr>
          <w:rFonts w:ascii="Times New Roman" w:hAnsi="Times New Roman"/>
          <w:sz w:val="24"/>
          <w:szCs w:val="24"/>
        </w:rPr>
        <w:t>a</w:t>
      </w:r>
      <w:r w:rsidR="00FC765C" w:rsidRPr="00D33669">
        <w:rPr>
          <w:rFonts w:ascii="Times New Roman" w:hAnsi="Times New Roman"/>
          <w:sz w:val="24"/>
          <w:szCs w:val="24"/>
        </w:rPr>
        <w:t xml:space="preserve">ble </w:t>
      </w:r>
      <w:r w:rsidRPr="00D33669">
        <w:rPr>
          <w:rFonts w:ascii="Times New Roman" w:hAnsi="Times New Roman"/>
          <w:sz w:val="24"/>
          <w:szCs w:val="24"/>
        </w:rPr>
        <w:t xml:space="preserve">in the employee’s gross income if property is transferred to the employee by the employer in exchange for the performance of services in accordance with </w:t>
      </w:r>
      <w:r w:rsidR="00FC765C">
        <w:rPr>
          <w:rFonts w:ascii="Times New Roman" w:hAnsi="Times New Roman"/>
          <w:sz w:val="24"/>
          <w:szCs w:val="24"/>
        </w:rPr>
        <w:t>Code</w:t>
      </w:r>
      <w:r w:rsidR="00FC765C" w:rsidRPr="00D33669">
        <w:rPr>
          <w:rFonts w:ascii="Times New Roman" w:hAnsi="Times New Roman"/>
          <w:sz w:val="24"/>
          <w:szCs w:val="24"/>
        </w:rPr>
        <w:t xml:space="preserve"> </w:t>
      </w:r>
      <w:r w:rsidRPr="00D33669">
        <w:rPr>
          <w:rFonts w:ascii="Times New Roman" w:hAnsi="Times New Roman"/>
          <w:sz w:val="24"/>
          <w:szCs w:val="24"/>
        </w:rPr>
        <w:t>Section 83(b).</w:t>
      </w:r>
    </w:p>
    <w:p w:rsidR="00186BDD" w:rsidRDefault="00186BDD" w:rsidP="00186BDD">
      <w:pPr>
        <w:pStyle w:val="NoSpacing"/>
        <w:ind w:left="720"/>
        <w:rPr>
          <w:rFonts w:ascii="Times New Roman" w:hAnsi="Times New Roman" w:cs="Times New Roman"/>
          <w:sz w:val="24"/>
          <w:szCs w:val="24"/>
        </w:rPr>
      </w:pPr>
    </w:p>
    <w:p w:rsidR="00BC3899" w:rsidRDefault="00BC3899" w:rsidP="00186BDD">
      <w:pPr>
        <w:pStyle w:val="NoSpacing"/>
        <w:ind w:left="720"/>
        <w:rPr>
          <w:rFonts w:ascii="Times New Roman" w:hAnsi="Times New Roman" w:cs="Times New Roman"/>
          <w:sz w:val="24"/>
          <w:szCs w:val="24"/>
        </w:rPr>
      </w:pPr>
    </w:p>
    <w:p w:rsidR="00186BDD" w:rsidRDefault="00186BDD" w:rsidP="00186BDD">
      <w:pPr>
        <w:pStyle w:val="NoSpacing"/>
        <w:ind w:left="720"/>
        <w:rPr>
          <w:rFonts w:ascii="Times New Roman" w:hAnsi="Times New Roman" w:cs="Times New Roman"/>
          <w:sz w:val="24"/>
          <w:szCs w:val="24"/>
        </w:rPr>
      </w:pPr>
      <w:r w:rsidRPr="00186BDD">
        <w:rPr>
          <w:rFonts w:ascii="Times New Roman" w:hAnsi="Times New Roman" w:cs="Times New Roman"/>
          <w:sz w:val="24"/>
          <w:szCs w:val="24"/>
        </w:rPr>
        <w:lastRenderedPageBreak/>
        <w:t xml:space="preserve">All other forms of compensation are excluded for purposes of the </w:t>
      </w:r>
      <w:r w:rsidR="00082C6A">
        <w:rPr>
          <w:rFonts w:ascii="Times New Roman" w:hAnsi="Times New Roman" w:cs="Times New Roman"/>
          <w:sz w:val="24"/>
          <w:szCs w:val="24"/>
        </w:rPr>
        <w:t>Code</w:t>
      </w:r>
      <w:r w:rsidR="00082C6A" w:rsidRPr="00186BDD">
        <w:rPr>
          <w:rFonts w:ascii="Times New Roman" w:hAnsi="Times New Roman" w:cs="Times New Roman"/>
          <w:sz w:val="24"/>
          <w:szCs w:val="24"/>
        </w:rPr>
        <w:t xml:space="preserve"> </w:t>
      </w:r>
      <w:r w:rsidRPr="00186BDD">
        <w:rPr>
          <w:rFonts w:ascii="Times New Roman" w:hAnsi="Times New Roman" w:cs="Times New Roman"/>
          <w:sz w:val="24"/>
          <w:szCs w:val="24"/>
        </w:rPr>
        <w:t xml:space="preserve">Section 415(c)(3) definition. As an alternative to the preceding six-item list, there are two safe harbor </w:t>
      </w:r>
      <w:r w:rsidR="00082C6A">
        <w:rPr>
          <w:rFonts w:ascii="Times New Roman" w:hAnsi="Times New Roman" w:cs="Times New Roman"/>
          <w:sz w:val="24"/>
          <w:szCs w:val="24"/>
        </w:rPr>
        <w:t xml:space="preserve"> </w:t>
      </w:r>
      <w:r w:rsidRPr="00186BDD">
        <w:rPr>
          <w:rFonts w:ascii="Times New Roman" w:hAnsi="Times New Roman" w:cs="Times New Roman"/>
          <w:sz w:val="24"/>
          <w:szCs w:val="24"/>
        </w:rPr>
        <w:t xml:space="preserve">definitions of compensation for purposes of </w:t>
      </w:r>
      <w:r w:rsidR="00082C6A">
        <w:rPr>
          <w:rFonts w:ascii="Times New Roman" w:hAnsi="Times New Roman" w:cs="Times New Roman"/>
          <w:sz w:val="24"/>
          <w:szCs w:val="24"/>
        </w:rPr>
        <w:t>Code</w:t>
      </w:r>
      <w:r w:rsidR="00082C6A" w:rsidRPr="00186BDD">
        <w:rPr>
          <w:rFonts w:ascii="Times New Roman" w:hAnsi="Times New Roman" w:cs="Times New Roman"/>
          <w:sz w:val="24"/>
          <w:szCs w:val="24"/>
        </w:rPr>
        <w:t xml:space="preserve"> </w:t>
      </w:r>
      <w:r w:rsidRPr="00186BDD">
        <w:rPr>
          <w:rFonts w:ascii="Times New Roman" w:hAnsi="Times New Roman" w:cs="Times New Roman"/>
          <w:sz w:val="24"/>
          <w:szCs w:val="24"/>
        </w:rPr>
        <w:t>Section 415(c)(3):</w:t>
      </w:r>
      <w:r w:rsidR="00082C6A">
        <w:rPr>
          <w:rStyle w:val="FootnoteReference"/>
          <w:rFonts w:ascii="Times New Roman" w:hAnsi="Times New Roman" w:cs="Times New Roman"/>
          <w:sz w:val="24"/>
          <w:szCs w:val="24"/>
        </w:rPr>
        <w:footnoteReference w:id="37"/>
      </w:r>
    </w:p>
    <w:p w:rsidR="00186BDD" w:rsidRDefault="00186BDD" w:rsidP="00186BDD">
      <w:pPr>
        <w:pStyle w:val="NoSpacing"/>
        <w:numPr>
          <w:ilvl w:val="0"/>
          <w:numId w:val="15"/>
        </w:numPr>
        <w:rPr>
          <w:rFonts w:ascii="Times New Roman" w:hAnsi="Times New Roman"/>
          <w:sz w:val="24"/>
          <w:szCs w:val="24"/>
        </w:rPr>
      </w:pPr>
      <w:r w:rsidRPr="00186BDD">
        <w:rPr>
          <w:rFonts w:ascii="Times New Roman" w:hAnsi="Times New Roman"/>
          <w:sz w:val="24"/>
          <w:szCs w:val="24"/>
        </w:rPr>
        <w:t xml:space="preserve">Income tax withholding wages, as defined in </w:t>
      </w:r>
      <w:r w:rsidR="00082C6A">
        <w:rPr>
          <w:rFonts w:ascii="Times New Roman" w:hAnsi="Times New Roman"/>
          <w:sz w:val="24"/>
          <w:szCs w:val="24"/>
        </w:rPr>
        <w:t>Code</w:t>
      </w:r>
      <w:r w:rsidR="00082C6A" w:rsidRPr="00186BDD">
        <w:rPr>
          <w:rFonts w:ascii="Times New Roman" w:hAnsi="Times New Roman"/>
          <w:sz w:val="24"/>
          <w:szCs w:val="24"/>
        </w:rPr>
        <w:t xml:space="preserve"> </w:t>
      </w:r>
      <w:r w:rsidRPr="00186BDD">
        <w:rPr>
          <w:rFonts w:ascii="Times New Roman" w:hAnsi="Times New Roman"/>
          <w:sz w:val="24"/>
          <w:szCs w:val="24"/>
        </w:rPr>
        <w:t>Section 3401(a) for purposes of federal income tax withholding</w:t>
      </w:r>
    </w:p>
    <w:p w:rsidR="00186BDD" w:rsidRDefault="00186BDD" w:rsidP="00186BDD">
      <w:pPr>
        <w:pStyle w:val="NoSpacing"/>
        <w:numPr>
          <w:ilvl w:val="0"/>
          <w:numId w:val="15"/>
        </w:numPr>
        <w:rPr>
          <w:rFonts w:ascii="Times New Roman" w:hAnsi="Times New Roman"/>
          <w:sz w:val="24"/>
          <w:szCs w:val="24"/>
        </w:rPr>
      </w:pPr>
      <w:r w:rsidRPr="00186BDD">
        <w:rPr>
          <w:rFonts w:ascii="Times New Roman" w:hAnsi="Times New Roman"/>
          <w:sz w:val="24"/>
          <w:szCs w:val="24"/>
        </w:rPr>
        <w:t>Form W-2 box 5 wages, as long as the instructions for the amount reported in box 10 remain the same as for 1990 and 1991 tax years</w:t>
      </w:r>
      <w:bookmarkStart w:id="5" w:name="_GoBack"/>
      <w:bookmarkEnd w:id="5"/>
    </w:p>
    <w:p w:rsidR="00186BDD" w:rsidRDefault="00186BDD" w:rsidP="00186BDD">
      <w:pPr>
        <w:pStyle w:val="NoSpacing"/>
        <w:rPr>
          <w:rFonts w:ascii="Times New Roman" w:hAnsi="Times New Roman"/>
          <w:sz w:val="24"/>
          <w:szCs w:val="24"/>
        </w:rPr>
      </w:pPr>
    </w:p>
    <w:p w:rsidR="00BC3899" w:rsidRDefault="00BC3899" w:rsidP="00BC3899">
      <w:pPr>
        <w:pStyle w:val="NoSpacing"/>
        <w:ind w:left="720"/>
        <w:rPr>
          <w:rFonts w:ascii="Times New Roman" w:hAnsi="Times New Roman" w:cs="Times New Roman"/>
          <w:sz w:val="20"/>
          <w:szCs w:val="20"/>
        </w:rPr>
      </w:pPr>
    </w:p>
    <w:p w:rsidR="00BC3899" w:rsidRDefault="00BC3899" w:rsidP="00186BDD">
      <w:pPr>
        <w:pStyle w:val="NoSpacing"/>
        <w:ind w:left="720"/>
        <w:rPr>
          <w:rFonts w:ascii="Times New Roman" w:hAnsi="Times New Roman" w:cs="Times New Roman"/>
          <w:b/>
          <w:sz w:val="24"/>
          <w:szCs w:val="24"/>
        </w:rPr>
      </w:pPr>
    </w:p>
    <w:p w:rsidR="00186BDD" w:rsidRPr="00B92DAE" w:rsidRDefault="0074138B" w:rsidP="00186BDD">
      <w:pPr>
        <w:pStyle w:val="NoSpacing"/>
        <w:ind w:left="720"/>
        <w:rPr>
          <w:rFonts w:ascii="Times New Roman" w:hAnsi="Times New Roman"/>
          <w:sz w:val="24"/>
          <w:szCs w:val="24"/>
        </w:rPr>
      </w:pPr>
      <w:r>
        <w:rPr>
          <w:rFonts w:ascii="Times New Roman" w:hAnsi="Times New Roman" w:cs="Times New Roman"/>
          <w:b/>
          <w:sz w:val="24"/>
          <w:szCs w:val="24"/>
        </w:rPr>
        <w:t>Pract</w:t>
      </w:r>
      <w:r w:rsidR="001067AC">
        <w:rPr>
          <w:rFonts w:ascii="Times New Roman" w:hAnsi="Times New Roman" w:cs="Times New Roman"/>
          <w:b/>
          <w:sz w:val="24"/>
          <w:szCs w:val="24"/>
        </w:rPr>
        <w:t>ice Point:</w:t>
      </w:r>
      <w:r w:rsidR="00186BDD">
        <w:rPr>
          <w:rFonts w:ascii="Times New Roman" w:hAnsi="Times New Roman" w:cs="Times New Roman"/>
          <w:sz w:val="24"/>
          <w:szCs w:val="24"/>
        </w:rPr>
        <w:t xml:space="preserve"> </w:t>
      </w:r>
      <w:r w:rsidR="00186BDD" w:rsidRPr="00186BDD">
        <w:rPr>
          <w:rFonts w:ascii="Times New Roman" w:hAnsi="Times New Roman" w:cs="Times New Roman"/>
          <w:sz w:val="24"/>
          <w:szCs w:val="24"/>
        </w:rPr>
        <w:t>Although multiple definitions of compensation are permitted, plans should use a uniform definition. The rules and regulations governing qualified plans are complex enough without adding unnecessary complexity. In addition, the administration cost would be increased with the use of multiple definitions of compensation because of the additional recordkeeping required.</w:t>
      </w:r>
    </w:p>
    <w:p w:rsidR="00B429B5" w:rsidRDefault="00B429B5" w:rsidP="00B429B5">
      <w:pPr>
        <w:pStyle w:val="ListParagraph"/>
        <w:widowControl w:val="0"/>
        <w:tabs>
          <w:tab w:val="decimal" w:pos="680"/>
          <w:tab w:val="left" w:pos="840"/>
        </w:tabs>
        <w:autoSpaceDE w:val="0"/>
        <w:autoSpaceDN w:val="0"/>
        <w:adjustRightInd w:val="0"/>
        <w:spacing w:line="240" w:lineRule="exact"/>
        <w:ind w:left="915"/>
        <w:jc w:val="both"/>
      </w:pPr>
    </w:p>
    <w:p w:rsidR="00A94664" w:rsidRPr="00A81E29" w:rsidRDefault="00A94664" w:rsidP="00A94664">
      <w:pPr>
        <w:pStyle w:val="NoSpacing"/>
        <w:ind w:left="720"/>
        <w:rPr>
          <w:rFonts w:ascii="Times New Roman" w:hAnsi="Times New Roman" w:cs="Times New Roman"/>
          <w:b/>
          <w:sz w:val="24"/>
          <w:szCs w:val="24"/>
        </w:rPr>
      </w:pPr>
    </w:p>
    <w:p w:rsidR="00A94664" w:rsidRDefault="00A94664" w:rsidP="00A94664">
      <w:pPr>
        <w:pStyle w:val="NoSpacing"/>
        <w:ind w:left="720"/>
        <w:rPr>
          <w:rFonts w:ascii="Times New Roman" w:hAnsi="Times New Roman" w:cs="Times New Roman"/>
          <w:b/>
          <w:sz w:val="24"/>
          <w:szCs w:val="24"/>
        </w:rPr>
      </w:pPr>
    </w:p>
    <w:p w:rsidR="00A94664" w:rsidRDefault="00A94664" w:rsidP="00A94664">
      <w:pPr>
        <w:pStyle w:val="NoSpacing"/>
        <w:ind w:left="720"/>
        <w:rPr>
          <w:rFonts w:ascii="Times New Roman" w:hAnsi="Times New Roman" w:cs="Times New Roman"/>
          <w:b/>
          <w:sz w:val="24"/>
          <w:szCs w:val="24"/>
        </w:rPr>
      </w:pPr>
      <w:r>
        <w:rPr>
          <w:rFonts w:ascii="Times New Roman" w:hAnsi="Times New Roman" w:cs="Times New Roman"/>
          <w:b/>
          <w:sz w:val="24"/>
          <w:szCs w:val="24"/>
        </w:rPr>
        <w:t>Q. 4.</w:t>
      </w:r>
      <w:r w:rsidR="00B65F39">
        <w:rPr>
          <w:rFonts w:ascii="Times New Roman" w:hAnsi="Times New Roman" w:cs="Times New Roman"/>
          <w:b/>
          <w:sz w:val="24"/>
          <w:szCs w:val="24"/>
        </w:rPr>
        <w:t>3</w:t>
      </w:r>
      <w:r w:rsidR="0074138B">
        <w:rPr>
          <w:rFonts w:ascii="Times New Roman" w:hAnsi="Times New Roman" w:cs="Times New Roman"/>
          <w:b/>
          <w:sz w:val="24"/>
          <w:szCs w:val="24"/>
        </w:rPr>
        <w:t>2</w:t>
      </w:r>
      <w:r>
        <w:rPr>
          <w:rFonts w:ascii="Times New Roman" w:hAnsi="Times New Roman" w:cs="Times New Roman"/>
          <w:b/>
          <w:sz w:val="24"/>
          <w:szCs w:val="24"/>
        </w:rPr>
        <w:t xml:space="preserve">:  </w:t>
      </w:r>
      <w:r w:rsidRPr="00A94664">
        <w:rPr>
          <w:rFonts w:ascii="Times New Roman" w:hAnsi="Times New Roman" w:cs="Times New Roman"/>
          <w:b/>
          <w:sz w:val="24"/>
          <w:szCs w:val="24"/>
        </w:rPr>
        <w:t xml:space="preserve">Is it possible for a plan amendment, plan termination or grant of past </w:t>
      </w:r>
      <w:r>
        <w:rPr>
          <w:rFonts w:ascii="Times New Roman" w:hAnsi="Times New Roman" w:cs="Times New Roman"/>
          <w:b/>
          <w:sz w:val="24"/>
          <w:szCs w:val="24"/>
        </w:rPr>
        <w:t>s</w:t>
      </w:r>
      <w:r w:rsidRPr="00A94664">
        <w:rPr>
          <w:rFonts w:ascii="Times New Roman" w:hAnsi="Times New Roman" w:cs="Times New Roman"/>
          <w:b/>
          <w:sz w:val="24"/>
          <w:szCs w:val="24"/>
        </w:rPr>
        <w:t xml:space="preserve">ervice to violate </w:t>
      </w:r>
      <w:r w:rsidR="00EA40AD">
        <w:rPr>
          <w:rFonts w:ascii="Times New Roman" w:hAnsi="Times New Roman" w:cs="Times New Roman"/>
          <w:b/>
          <w:sz w:val="24"/>
          <w:szCs w:val="24"/>
        </w:rPr>
        <w:t xml:space="preserve">the </w:t>
      </w:r>
      <w:r w:rsidRPr="00A94664">
        <w:rPr>
          <w:rFonts w:ascii="Times New Roman" w:hAnsi="Times New Roman" w:cs="Times New Roman"/>
          <w:b/>
          <w:sz w:val="24"/>
          <w:szCs w:val="24"/>
        </w:rPr>
        <w:t>nondiscrimination rules?</w:t>
      </w:r>
    </w:p>
    <w:p w:rsidR="00A94664" w:rsidRDefault="00A94664" w:rsidP="00A94664">
      <w:pPr>
        <w:pStyle w:val="NoSpacing"/>
        <w:ind w:left="720"/>
        <w:rPr>
          <w:rFonts w:ascii="Times New Roman" w:hAnsi="Times New Roman" w:cs="Times New Roman"/>
          <w:sz w:val="24"/>
          <w:szCs w:val="24"/>
        </w:rPr>
      </w:pPr>
    </w:p>
    <w:p w:rsidR="00C71032" w:rsidRDefault="00A94664" w:rsidP="00C71032">
      <w:pPr>
        <w:pStyle w:val="NoSpacing"/>
        <w:ind w:left="720"/>
        <w:rPr>
          <w:rFonts w:ascii="Times New Roman" w:hAnsi="Times New Roman" w:cs="Times New Roman"/>
          <w:sz w:val="24"/>
          <w:szCs w:val="24"/>
        </w:rPr>
      </w:pPr>
      <w:r w:rsidRPr="00B429B5">
        <w:rPr>
          <w:rFonts w:ascii="Times New Roman" w:hAnsi="Times New Roman" w:cs="Times New Roman"/>
          <w:sz w:val="24"/>
          <w:szCs w:val="24"/>
        </w:rPr>
        <w:t xml:space="preserve">Yes.  </w:t>
      </w:r>
      <w:r w:rsidR="00C71032" w:rsidRPr="00C71032">
        <w:rPr>
          <w:rFonts w:ascii="Times New Roman" w:hAnsi="Times New Roman" w:cs="Times New Roman"/>
          <w:sz w:val="24"/>
          <w:szCs w:val="24"/>
        </w:rPr>
        <w:t>Any plan amendment, plan termination</w:t>
      </w:r>
      <w:r w:rsidR="00EA40AD">
        <w:rPr>
          <w:rFonts w:ascii="Times New Roman" w:hAnsi="Times New Roman" w:cs="Times New Roman"/>
          <w:sz w:val="24"/>
          <w:szCs w:val="24"/>
        </w:rPr>
        <w:t>,</w:t>
      </w:r>
      <w:r w:rsidR="00C71032" w:rsidRPr="00C71032">
        <w:rPr>
          <w:rFonts w:ascii="Times New Roman" w:hAnsi="Times New Roman" w:cs="Times New Roman"/>
          <w:sz w:val="24"/>
          <w:szCs w:val="24"/>
        </w:rPr>
        <w:t xml:space="preserve"> or grant of past service must be nondiscriminatory on </w:t>
      </w:r>
      <w:r w:rsidR="00EA40AD">
        <w:rPr>
          <w:rFonts w:ascii="Times New Roman" w:hAnsi="Times New Roman" w:cs="Times New Roman"/>
          <w:sz w:val="24"/>
          <w:szCs w:val="24"/>
        </w:rPr>
        <w:t>its</w:t>
      </w:r>
      <w:r w:rsidR="00EA40AD" w:rsidRPr="00C71032">
        <w:rPr>
          <w:rFonts w:ascii="Times New Roman" w:hAnsi="Times New Roman" w:cs="Times New Roman"/>
          <w:sz w:val="24"/>
          <w:szCs w:val="24"/>
        </w:rPr>
        <w:t xml:space="preserve"> </w:t>
      </w:r>
      <w:r w:rsidR="00C71032" w:rsidRPr="00C71032">
        <w:rPr>
          <w:rFonts w:ascii="Times New Roman" w:hAnsi="Times New Roman" w:cs="Times New Roman"/>
          <w:sz w:val="24"/>
          <w:szCs w:val="24"/>
        </w:rPr>
        <w:t>face and in operation.</w:t>
      </w:r>
      <w:r w:rsidR="00EA40AD">
        <w:rPr>
          <w:rStyle w:val="FootnoteReference"/>
          <w:rFonts w:ascii="Times New Roman" w:hAnsi="Times New Roman" w:cs="Times New Roman"/>
          <w:sz w:val="24"/>
          <w:szCs w:val="24"/>
        </w:rPr>
        <w:footnoteReference w:id="38"/>
      </w:r>
    </w:p>
    <w:p w:rsidR="00C71032" w:rsidRDefault="00C71032" w:rsidP="00C71032">
      <w:pPr>
        <w:pStyle w:val="NoSpacing"/>
        <w:ind w:left="720"/>
        <w:rPr>
          <w:rFonts w:ascii="Times New Roman" w:hAnsi="Times New Roman" w:cs="Times New Roman"/>
          <w:sz w:val="24"/>
          <w:szCs w:val="24"/>
        </w:rPr>
      </w:pPr>
    </w:p>
    <w:p w:rsidR="00351C40" w:rsidRDefault="00C71032" w:rsidP="00C71032">
      <w:pPr>
        <w:pStyle w:val="NoSpacing"/>
        <w:ind w:left="720"/>
        <w:rPr>
          <w:rFonts w:ascii="Times New Roman" w:hAnsi="Times New Roman" w:cs="Times New Roman"/>
          <w:sz w:val="24"/>
          <w:szCs w:val="24"/>
        </w:rPr>
      </w:pPr>
      <w:r w:rsidRPr="00C71032">
        <w:rPr>
          <w:rFonts w:ascii="Times New Roman" w:hAnsi="Times New Roman" w:cs="Times New Roman"/>
          <w:sz w:val="24"/>
          <w:szCs w:val="24"/>
        </w:rPr>
        <w:t>Plan amendments include the establishing of a plan, termination of a plan, and any changes that affect benefits or allocations under the plan.</w:t>
      </w:r>
      <w:r>
        <w:rPr>
          <w:rFonts w:ascii="Times New Roman" w:hAnsi="Times New Roman" w:cs="Times New Roman"/>
          <w:sz w:val="24"/>
          <w:szCs w:val="24"/>
        </w:rPr>
        <w:t xml:space="preserve">  W</w:t>
      </w:r>
      <w:r w:rsidRPr="00C71032">
        <w:rPr>
          <w:rFonts w:ascii="Times New Roman" w:hAnsi="Times New Roman" w:cs="Times New Roman"/>
          <w:sz w:val="24"/>
          <w:szCs w:val="24"/>
        </w:rPr>
        <w:t>hether a plan satisfies this requirement is a facts-and-circumstances determination. The issues to be considered are the relative number of HCEs and NHCEs affected by the amendment, the relative benefits for the HCEs and NHCEs before and after the amendment, the relative service of the HCEs and the NHCEs, the length of time the plan has been in effect, and the turnover of the employees before the effective date of the plan.</w:t>
      </w:r>
    </w:p>
    <w:p w:rsidR="00C71032" w:rsidRDefault="00C71032" w:rsidP="00C71032">
      <w:pPr>
        <w:pStyle w:val="NoSpacing"/>
        <w:ind w:left="720"/>
        <w:rPr>
          <w:rFonts w:ascii="Times New Roman" w:hAnsi="Times New Roman" w:cs="Times New Roman"/>
          <w:sz w:val="24"/>
          <w:szCs w:val="24"/>
        </w:rPr>
      </w:pPr>
    </w:p>
    <w:p w:rsidR="00C71032" w:rsidRDefault="00C71032" w:rsidP="00C71032">
      <w:pPr>
        <w:pStyle w:val="NoSpacing"/>
        <w:ind w:left="720"/>
        <w:rPr>
          <w:rFonts w:ascii="Times New Roman" w:hAnsi="Times New Roman" w:cs="Times New Roman"/>
          <w:sz w:val="24"/>
          <w:szCs w:val="24"/>
        </w:rPr>
      </w:pPr>
      <w:r w:rsidRPr="00C71032">
        <w:rPr>
          <w:rFonts w:ascii="Times New Roman" w:hAnsi="Times New Roman" w:cs="Times New Roman"/>
          <w:sz w:val="24"/>
          <w:szCs w:val="24"/>
        </w:rPr>
        <w:t>The same issue must be addressed with respect to past service.</w:t>
      </w:r>
      <w:r w:rsidR="00EA40AD">
        <w:rPr>
          <w:rStyle w:val="FootnoteReference"/>
          <w:rFonts w:ascii="Times New Roman" w:hAnsi="Times New Roman" w:cs="Times New Roman"/>
          <w:sz w:val="24"/>
          <w:szCs w:val="24"/>
        </w:rPr>
        <w:footnoteReference w:id="39"/>
      </w:r>
      <w:r w:rsidRPr="00C71032">
        <w:rPr>
          <w:rFonts w:ascii="Times New Roman" w:hAnsi="Times New Roman" w:cs="Times New Roman"/>
          <w:sz w:val="24"/>
          <w:szCs w:val="24"/>
        </w:rPr>
        <w:t xml:space="preserve"> A plan that provides past service credits having the effect of discriminating in favor of HCEs does not satisfy nondiscrimination rule 2. Credit for past service would include benefits earned based on service before the effective date of the plan, increases in benefits to reflect service before the effective date of an amendment, and higher benefits because of prior service with another employer. Any plan that limits past service credits to five years is deemed to satisfy this requirement. If a plan provides for past service credits in excess of five years, it does not automatically fail to satisfy nondiscrimination requirements unless the facts and circumstances support that conclusion.</w:t>
      </w:r>
    </w:p>
    <w:p w:rsidR="00C71032" w:rsidRDefault="00C71032" w:rsidP="00C71032">
      <w:pPr>
        <w:pStyle w:val="NoSpacing"/>
        <w:ind w:left="720"/>
        <w:rPr>
          <w:rFonts w:ascii="Times New Roman" w:hAnsi="Times New Roman" w:cs="Times New Roman"/>
          <w:sz w:val="24"/>
          <w:szCs w:val="24"/>
        </w:rPr>
      </w:pPr>
    </w:p>
    <w:p w:rsidR="0074138B" w:rsidRDefault="0074138B">
      <w:pPr>
        <w:spacing w:line="276" w:lineRule="auto"/>
        <w:rPr>
          <w:rFonts w:ascii="Arial" w:hAnsi="Arial"/>
          <w:b/>
          <w:noProof/>
          <w:sz w:val="28"/>
          <w:szCs w:val="20"/>
        </w:rPr>
      </w:pPr>
    </w:p>
    <w:p w:rsidR="007470A8" w:rsidRDefault="00EA40AD" w:rsidP="007470A8">
      <w:pPr>
        <w:pStyle w:val="HB"/>
        <w:spacing w:after="270"/>
      </w:pPr>
      <w:commentRangeStart w:id="6"/>
      <w:r>
        <w:lastRenderedPageBreak/>
        <w:t>Appendix 4-1</w:t>
      </w:r>
      <w:commentRangeEnd w:id="6"/>
      <w:r w:rsidR="009A75E8">
        <w:rPr>
          <w:rStyle w:val="CommentReference"/>
          <w:rFonts w:ascii="Times New Roman" w:hAnsi="Times New Roman"/>
          <w:b w:val="0"/>
          <w:noProof w:val="0"/>
        </w:rPr>
        <w:commentReference w:id="6"/>
      </w:r>
    </w:p>
    <w:p w:rsidR="007470A8" w:rsidRDefault="007470A8" w:rsidP="007470A8">
      <w:pPr>
        <w:pStyle w:val="HB"/>
        <w:spacing w:after="270"/>
      </w:pPr>
      <w:r>
        <w:t>Safe and Unsafe Harbor Used for Nondiscrimination Testing</w:t>
      </w:r>
    </w:p>
    <w:tbl>
      <w:tblPr>
        <w:tblW w:w="0" w:type="auto"/>
        <w:jc w:val="center"/>
        <w:tblLayout w:type="fixed"/>
        <w:tblCellMar>
          <w:left w:w="0" w:type="dxa"/>
          <w:right w:w="0" w:type="dxa"/>
        </w:tblCellMar>
        <w:tblLook w:val="0000" w:firstRow="0" w:lastRow="0" w:firstColumn="0" w:lastColumn="0" w:noHBand="0" w:noVBand="0"/>
      </w:tblPr>
      <w:tblGrid>
        <w:gridCol w:w="2658"/>
        <w:gridCol w:w="2535"/>
        <w:gridCol w:w="2537"/>
      </w:tblGrid>
      <w:tr w:rsidR="007470A8" w:rsidRPr="00682E61" w:rsidTr="003914E0">
        <w:trPr>
          <w:trHeight w:val="769"/>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proofErr w:type="spellStart"/>
            <w:r w:rsidRPr="00682E61">
              <w:rPr>
                <w:rFonts w:cs="Times LT Std Bold"/>
                <w:b/>
                <w:bCs/>
              </w:rPr>
              <w:t>Nonhighly</w:t>
            </w:r>
            <w:proofErr w:type="spellEnd"/>
            <w:r w:rsidRPr="00682E61">
              <w:rPr>
                <w:rFonts w:cs="Times LT Std Bold"/>
                <w:b/>
                <w:bCs/>
              </w:rPr>
              <w:t xml:space="preserve"> compensated employee concentration percentage</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rPr>
                <w:rFonts w:cs="Times LT Std Bold"/>
                <w:b/>
                <w:bCs/>
              </w:rPr>
              <w:t>Safe harbor percentage</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rPr>
                <w:rFonts w:cs="Times LT Std Bold"/>
                <w:b/>
                <w:bCs/>
              </w:rPr>
              <w:t>Unsafe harbor percentage</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EA40AD">
            <w:pPr>
              <w:suppressAutoHyphens/>
              <w:spacing w:line="216" w:lineRule="auto"/>
              <w:jc w:val="center"/>
            </w:pPr>
            <w:r w:rsidRPr="00682E61">
              <w:t>0</w:t>
            </w:r>
            <w:r w:rsidR="00EA40AD">
              <w:t>–</w:t>
            </w:r>
            <w:r w:rsidRPr="00682E61">
              <w:t>60</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50.00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61</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49.25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39.25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62</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48.50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38.50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63</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47.75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37.75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64</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47.00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37.00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65</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46.25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36.25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66</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45.50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35.50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67</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44.75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34.75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68</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44.00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34.00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69</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43.25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33.25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70</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42.50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32.50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71</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41.75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31.75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72</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41.00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31.00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73</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40.25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30.25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74</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39.50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29.50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75</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38.75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28.75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76</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38.00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28.00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77</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37.25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27.25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78</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36.50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26.50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79</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35.75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25.75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80</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35.00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25.00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81</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34.25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24.25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82</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33.50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23.50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83</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32.75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22.75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84</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32.00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22.00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85</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31.25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21.25</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86</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30.50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20.50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87</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29.75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88</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29.00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89</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28.25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90</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27.50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91</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26.75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92</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26.00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93</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25.25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94</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24.50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95</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23.75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96</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23.00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97</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22.25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98</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21.50</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r w:rsidR="007470A8" w:rsidRPr="00682E61" w:rsidTr="003914E0">
        <w:trPr>
          <w:trHeight w:val="194"/>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99</w:t>
            </w:r>
          </w:p>
        </w:tc>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20.75</w:t>
            </w: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0A8" w:rsidRPr="00682E61" w:rsidRDefault="007470A8" w:rsidP="003914E0">
            <w:pPr>
              <w:suppressAutoHyphens/>
              <w:spacing w:line="216" w:lineRule="auto"/>
              <w:jc w:val="center"/>
            </w:pPr>
            <w:r w:rsidRPr="00682E61">
              <w:t>20.00</w:t>
            </w:r>
          </w:p>
        </w:tc>
      </w:tr>
    </w:tbl>
    <w:p w:rsidR="007470A8" w:rsidRPr="00AE6419" w:rsidRDefault="007470A8" w:rsidP="007470A8">
      <w:pPr>
        <w:pStyle w:val="NoSpacing"/>
        <w:rPr>
          <w:rFonts w:ascii="Times New Roman" w:hAnsi="Times New Roman" w:cs="Times New Roman"/>
          <w:b/>
          <w:sz w:val="24"/>
          <w:szCs w:val="24"/>
        </w:rPr>
      </w:pPr>
    </w:p>
    <w:sectPr w:rsidR="007470A8" w:rsidRPr="00AE6419" w:rsidSect="00BA5BE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salie Donlon" w:date="2014-07-28T18:24:00Z" w:initials="RLD">
    <w:p w:rsidR="0033241C" w:rsidRDefault="0033241C">
      <w:pPr>
        <w:pStyle w:val="CommentText"/>
      </w:pPr>
      <w:r>
        <w:rPr>
          <w:rStyle w:val="CommentReference"/>
        </w:rPr>
        <w:annotationRef/>
      </w:r>
      <w:r>
        <w:t>JG: Confirm numbering of appendix.</w:t>
      </w:r>
    </w:p>
  </w:comment>
  <w:comment w:id="1" w:author="Rosalie Donlon" w:date="2014-07-28T18:24:00Z" w:initials="RLD">
    <w:p w:rsidR="0033241C" w:rsidRDefault="0033241C">
      <w:pPr>
        <w:pStyle w:val="CommentText"/>
      </w:pPr>
      <w:r>
        <w:rPr>
          <w:rStyle w:val="CommentReference"/>
        </w:rPr>
        <w:annotationRef/>
      </w:r>
      <w:r>
        <w:t>AU: Please confirm cross reference.</w:t>
      </w:r>
    </w:p>
  </w:comment>
  <w:comment w:id="2" w:author="Rosalie Donlon" w:date="2014-07-28T18:24:00Z" w:initials="RLD">
    <w:p w:rsidR="0033241C" w:rsidRDefault="0033241C">
      <w:pPr>
        <w:pStyle w:val="CommentText"/>
      </w:pPr>
      <w:r>
        <w:rPr>
          <w:rStyle w:val="CommentReference"/>
        </w:rPr>
        <w:annotationRef/>
      </w:r>
      <w:r>
        <w:t>JG: I separated the subtotals for the HCEs and the NHCEs to make this table easier to read. Production may be able to do something else visually to show that the total below is the sum of the two subtotals.</w:t>
      </w:r>
    </w:p>
  </w:comment>
  <w:comment w:id="3" w:author="Rosalie Donlon" w:date="2014-07-28T18:24:00Z" w:initials="RLD">
    <w:p w:rsidR="0033241C" w:rsidRDefault="0033241C">
      <w:pPr>
        <w:pStyle w:val="CommentText"/>
      </w:pPr>
      <w:r>
        <w:rPr>
          <w:rStyle w:val="CommentReference"/>
        </w:rPr>
        <w:annotationRef/>
      </w:r>
      <w:r>
        <w:t>JG: Column 6 is in the bottom half of table 4-9. I’ve highlighted the column headings for 6-10. This should be laid out as one table with 10 columns if space permits.</w:t>
      </w:r>
    </w:p>
  </w:comment>
  <w:comment w:id="4" w:author="Rosalie Donlon" w:date="2014-07-28T18:24:00Z" w:initials="RLD">
    <w:p w:rsidR="0033241C" w:rsidRDefault="0033241C">
      <w:pPr>
        <w:pStyle w:val="CommentText"/>
      </w:pPr>
      <w:r>
        <w:rPr>
          <w:rStyle w:val="CommentReference"/>
        </w:rPr>
        <w:annotationRef/>
      </w:r>
      <w:r>
        <w:t>JG: I think this would be easier to follow if it’s set as a chart. The last cell on the second row should be blank, but based on the text below, I would put “no restriction” in that cell.</w:t>
      </w:r>
    </w:p>
  </w:comment>
  <w:comment w:id="6" w:author="Rosalie Donlon" w:date="2014-07-28T18:25:00Z" w:initials="RLD">
    <w:p w:rsidR="0033241C" w:rsidRDefault="0033241C">
      <w:pPr>
        <w:pStyle w:val="CommentText"/>
      </w:pPr>
      <w:r>
        <w:rPr>
          <w:rStyle w:val="CommentReference"/>
        </w:rPr>
        <w:annotationRef/>
      </w:r>
      <w:r>
        <w:t>AU: Some explanatory text would be helpful here to put this appendix in context and explain how it is used by plan sponsors.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1C" w:rsidRDefault="0033241C" w:rsidP="00B8637D">
      <w:r>
        <w:separator/>
      </w:r>
    </w:p>
  </w:endnote>
  <w:endnote w:type="continuationSeparator" w:id="0">
    <w:p w:rsidR="0033241C" w:rsidRDefault="0033241C" w:rsidP="00B8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Regular">
    <w:panose1 w:val="00000000000000000000"/>
    <w:charset w:val="00"/>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T Std Bold Condensed">
    <w:panose1 w:val="00000000000000000000"/>
    <w:charset w:val="00"/>
    <w:family w:val="auto"/>
    <w:notTrueType/>
    <w:pitch w:val="default"/>
    <w:sig w:usb0="00000003" w:usb1="00000000" w:usb2="00000000" w:usb3="00000000" w:csb0="00000001" w:csb1="00000000"/>
  </w:font>
  <w:font w:name="Helvetica LT Std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T Std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1C" w:rsidRDefault="0033241C" w:rsidP="00B8637D">
      <w:r>
        <w:separator/>
      </w:r>
    </w:p>
  </w:footnote>
  <w:footnote w:type="continuationSeparator" w:id="0">
    <w:p w:rsidR="0033241C" w:rsidRDefault="0033241C" w:rsidP="00B8637D">
      <w:r>
        <w:continuationSeparator/>
      </w:r>
    </w:p>
  </w:footnote>
  <w:footnote w:id="1">
    <w:p w:rsidR="0033241C" w:rsidRPr="00230B07" w:rsidRDefault="0033241C" w:rsidP="0033241C">
      <w:pPr>
        <w:pStyle w:val="NoSpacing"/>
      </w:pPr>
      <w:r>
        <w:rPr>
          <w:rStyle w:val="FootnoteReference"/>
        </w:rPr>
        <w:footnoteRef/>
      </w:r>
      <w:r>
        <w:t xml:space="preserve"> </w:t>
      </w:r>
      <w:r>
        <w:rPr>
          <w:rFonts w:ascii="Times New Roman" w:eastAsia="Times New Roman" w:hAnsi="Times New Roman" w:cs="Times New Roman"/>
          <w:sz w:val="20"/>
          <w:szCs w:val="20"/>
        </w:rPr>
        <w:t>IRC</w:t>
      </w:r>
      <w:r w:rsidRPr="006C71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Sec.</w:t>
      </w:r>
      <w:r w:rsidRPr="006C7178">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0</w:t>
      </w:r>
      <w:r w:rsidRPr="006C7178">
        <w:rPr>
          <w:rFonts w:ascii="Times New Roman" w:eastAsia="Times New Roman" w:hAnsi="Times New Roman" w:cs="Times New Roman"/>
          <w:sz w:val="20"/>
          <w:szCs w:val="20"/>
        </w:rPr>
        <w:t>1(</w:t>
      </w:r>
      <w:r>
        <w:rPr>
          <w:rFonts w:ascii="Times New Roman" w:eastAsia="Times New Roman" w:hAnsi="Times New Roman" w:cs="Times New Roman"/>
          <w:sz w:val="20"/>
          <w:szCs w:val="20"/>
        </w:rPr>
        <w:t>a</w:t>
      </w:r>
      <w:proofErr w:type="gramStart"/>
      <w:r w:rsidRPr="006C7178">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4), Sec.</w:t>
      </w:r>
      <w:r w:rsidRPr="006C7178">
        <w:rPr>
          <w:rFonts w:ascii="Times New Roman" w:eastAsia="Times New Roman" w:hAnsi="Times New Roman" w:cs="Times New Roman"/>
          <w:sz w:val="20"/>
          <w:szCs w:val="20"/>
        </w:rPr>
        <w:t xml:space="preserve"> 41</w:t>
      </w:r>
      <w:r>
        <w:rPr>
          <w:rFonts w:ascii="Times New Roman" w:eastAsia="Times New Roman" w:hAnsi="Times New Roman" w:cs="Times New Roman"/>
          <w:sz w:val="20"/>
          <w:szCs w:val="20"/>
        </w:rPr>
        <w:t>4</w:t>
      </w:r>
      <w:r w:rsidRPr="006C7178">
        <w:rPr>
          <w:rFonts w:ascii="Times New Roman" w:eastAsia="Times New Roman" w:hAnsi="Times New Roman" w:cs="Times New Roman"/>
          <w:sz w:val="20"/>
          <w:szCs w:val="20"/>
        </w:rPr>
        <w:t>(</w:t>
      </w:r>
      <w:r>
        <w:rPr>
          <w:rFonts w:ascii="Times New Roman" w:eastAsia="Times New Roman" w:hAnsi="Times New Roman" w:cs="Times New Roman"/>
          <w:sz w:val="20"/>
          <w:szCs w:val="20"/>
        </w:rPr>
        <w:t>q</w:t>
      </w:r>
      <w:r w:rsidRPr="006C7178">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6C7178">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footnote>
  <w:footnote w:id="2">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w:t>
      </w:r>
      <w:r w:rsidRPr="006C7178">
        <w:t>-</w:t>
      </w:r>
      <w:r>
        <w:t>11(g)(1).</w:t>
      </w:r>
    </w:p>
  </w:footnote>
  <w:footnote w:id="3">
    <w:p w:rsidR="0033241C" w:rsidRDefault="0033241C">
      <w:pPr>
        <w:pStyle w:val="FootnoteText"/>
      </w:pPr>
      <w:r>
        <w:rPr>
          <w:rStyle w:val="FootnoteReference"/>
        </w:rPr>
        <w:footnoteRef/>
      </w:r>
      <w:r>
        <w:t xml:space="preserve"> IRC Sec.</w:t>
      </w:r>
      <w:r w:rsidRPr="006C7178">
        <w:t xml:space="preserve"> </w:t>
      </w:r>
      <w:proofErr w:type="gramStart"/>
      <w:r w:rsidRPr="006C7178">
        <w:t>41</w:t>
      </w:r>
      <w:r>
        <w:t>0</w:t>
      </w:r>
      <w:r w:rsidRPr="006C7178">
        <w:t>(</w:t>
      </w:r>
      <w:r>
        <w:t>b</w:t>
      </w:r>
      <w:proofErr w:type="gramEnd"/>
      <w:r>
        <w:t xml:space="preserve">); </w:t>
      </w:r>
      <w:r w:rsidRPr="006C7178">
        <w:t>Treas. Reg. § 1.41</w:t>
      </w:r>
      <w:r>
        <w:t>0(b)-2.</w:t>
      </w:r>
    </w:p>
  </w:footnote>
  <w:footnote w:id="4">
    <w:p w:rsidR="0033241C" w:rsidRDefault="0033241C">
      <w:pPr>
        <w:pStyle w:val="FootnoteText"/>
      </w:pPr>
      <w:r>
        <w:rPr>
          <w:rStyle w:val="FootnoteReference"/>
        </w:rPr>
        <w:footnoteRef/>
      </w:r>
      <w:r>
        <w:t xml:space="preserve"> IRC Sec.</w:t>
      </w:r>
      <w:r w:rsidRPr="006C7178">
        <w:t xml:space="preserve"> 41</w:t>
      </w:r>
      <w:r>
        <w:t>0</w:t>
      </w:r>
      <w:r w:rsidRPr="006C7178">
        <w:t>(</w:t>
      </w:r>
      <w:r>
        <w:t>b</w:t>
      </w:r>
      <w:proofErr w:type="gramStart"/>
      <w:r>
        <w:t>)(</w:t>
      </w:r>
      <w:proofErr w:type="gramEnd"/>
      <w:r>
        <w:t xml:space="preserve">1); </w:t>
      </w:r>
      <w:r w:rsidRPr="006C7178">
        <w:t>Treas. Reg. § 1.4</w:t>
      </w:r>
      <w:r>
        <w:t>10(b)-2(b)(2).</w:t>
      </w:r>
    </w:p>
  </w:footnote>
  <w:footnote w:id="5">
    <w:p w:rsidR="0033241C" w:rsidRDefault="0033241C">
      <w:pPr>
        <w:pStyle w:val="FootnoteText"/>
      </w:pPr>
      <w:r>
        <w:rPr>
          <w:rStyle w:val="FootnoteReference"/>
        </w:rPr>
        <w:footnoteRef/>
      </w:r>
      <w:r>
        <w:t xml:space="preserve"> </w:t>
      </w:r>
      <w:proofErr w:type="gramStart"/>
      <w:r w:rsidRPr="006C7178">
        <w:t>Treas. Reg. § 1.41</w:t>
      </w:r>
      <w:r>
        <w:t>0(b)-4.</w:t>
      </w:r>
      <w:proofErr w:type="gramEnd"/>
    </w:p>
  </w:footnote>
  <w:footnote w:id="6">
    <w:p w:rsidR="0033241C" w:rsidRDefault="0033241C">
      <w:pPr>
        <w:pStyle w:val="FootnoteText"/>
      </w:pPr>
      <w:r>
        <w:rPr>
          <w:rStyle w:val="FootnoteReference"/>
        </w:rPr>
        <w:footnoteRef/>
      </w:r>
      <w:r>
        <w:t xml:space="preserve"> </w:t>
      </w:r>
      <w:proofErr w:type="gramStart"/>
      <w:r w:rsidRPr="006C7178">
        <w:t>Treas. Reg. § 1.41</w:t>
      </w:r>
      <w:r>
        <w:t>0(b)-5.</w:t>
      </w:r>
      <w:proofErr w:type="gramEnd"/>
    </w:p>
  </w:footnote>
  <w:footnote w:id="7">
    <w:p w:rsidR="0033241C" w:rsidRDefault="0033241C">
      <w:pPr>
        <w:pStyle w:val="FootnoteText"/>
      </w:pPr>
      <w:r>
        <w:rPr>
          <w:rStyle w:val="FootnoteReference"/>
        </w:rPr>
        <w:footnoteRef/>
      </w:r>
      <w:r>
        <w:t xml:space="preserve"> IRC Sec.</w:t>
      </w:r>
      <w:r w:rsidRPr="006C7178">
        <w:t xml:space="preserve"> 41</w:t>
      </w:r>
      <w:r>
        <w:t>0</w:t>
      </w:r>
      <w:r w:rsidRPr="006C7178">
        <w:t>(</w:t>
      </w:r>
      <w:r>
        <w:t>b</w:t>
      </w:r>
      <w:proofErr w:type="gramStart"/>
      <w:r>
        <w:t>)(</w:t>
      </w:r>
      <w:proofErr w:type="gramEnd"/>
      <w:r>
        <w:t xml:space="preserve">2); </w:t>
      </w:r>
      <w:r w:rsidRPr="006C7178">
        <w:t>Treas. Reg. § 1.41</w:t>
      </w:r>
      <w:r>
        <w:t>0(b)-2(b)(3).</w:t>
      </w:r>
    </w:p>
  </w:footnote>
  <w:footnote w:id="8">
    <w:p w:rsidR="0033241C" w:rsidRDefault="0033241C">
      <w:pPr>
        <w:pStyle w:val="FootnoteText"/>
      </w:pPr>
      <w:r>
        <w:rPr>
          <w:rStyle w:val="FootnoteReference"/>
        </w:rPr>
        <w:footnoteRef/>
      </w:r>
      <w:r>
        <w:t xml:space="preserve"> </w:t>
      </w:r>
      <w:r w:rsidRPr="006C7178">
        <w:t>Treas. Reg. § 1.41</w:t>
      </w:r>
      <w:r>
        <w:t>4(r)-1(b</w:t>
      </w:r>
      <w:proofErr w:type="gramStart"/>
      <w:r>
        <w:t>)(</w:t>
      </w:r>
      <w:proofErr w:type="gramEnd"/>
      <w:r>
        <w:t xml:space="preserve">2)(iv); </w:t>
      </w:r>
      <w:r w:rsidRPr="006C7178">
        <w:t>Treas. Reg. § 1.41</w:t>
      </w:r>
      <w:r>
        <w:t>4(r)-5.</w:t>
      </w:r>
    </w:p>
  </w:footnote>
  <w:footnote w:id="9">
    <w:p w:rsidR="0033241C" w:rsidRDefault="0033241C">
      <w:pPr>
        <w:pStyle w:val="FootnoteText"/>
      </w:pPr>
      <w:r>
        <w:rPr>
          <w:rStyle w:val="FootnoteReference"/>
        </w:rPr>
        <w:footnoteRef/>
      </w:r>
      <w:r>
        <w:t xml:space="preserve"> </w:t>
      </w:r>
      <w:r w:rsidRPr="006C7178">
        <w:t>Treas. Reg. § 1.41</w:t>
      </w:r>
      <w:r>
        <w:t>4(r)-1(b</w:t>
      </w:r>
      <w:proofErr w:type="gramStart"/>
      <w:r>
        <w:t>)(</w:t>
      </w:r>
      <w:proofErr w:type="gramEnd"/>
      <w:r>
        <w:t>2)(ii).</w:t>
      </w:r>
    </w:p>
  </w:footnote>
  <w:footnote w:id="10">
    <w:p w:rsidR="0033241C" w:rsidRDefault="0033241C">
      <w:pPr>
        <w:pStyle w:val="FootnoteText"/>
      </w:pPr>
      <w:r>
        <w:rPr>
          <w:rStyle w:val="FootnoteReference"/>
        </w:rPr>
        <w:footnoteRef/>
      </w:r>
      <w:r>
        <w:t xml:space="preserve"> </w:t>
      </w:r>
      <w:proofErr w:type="gramStart"/>
      <w:r w:rsidRPr="006C7178">
        <w:t>Treas. Reg. § 1.41</w:t>
      </w:r>
      <w:r>
        <w:t>4(r)-3(a).</w:t>
      </w:r>
      <w:proofErr w:type="gramEnd"/>
    </w:p>
  </w:footnote>
  <w:footnote w:id="11">
    <w:p w:rsidR="0033241C" w:rsidRDefault="0033241C">
      <w:pPr>
        <w:pStyle w:val="FootnoteText"/>
      </w:pPr>
      <w:r>
        <w:rPr>
          <w:rStyle w:val="FootnoteReference"/>
        </w:rPr>
        <w:footnoteRef/>
      </w:r>
      <w:r>
        <w:t xml:space="preserve"> IRC Sec.</w:t>
      </w:r>
      <w:r w:rsidRPr="006C7178">
        <w:t xml:space="preserve"> 4</w:t>
      </w:r>
      <w:r>
        <w:t>01</w:t>
      </w:r>
      <w:r w:rsidRPr="006C7178">
        <w:t>(</w:t>
      </w:r>
      <w:r>
        <w:t>a</w:t>
      </w:r>
      <w:proofErr w:type="gramStart"/>
      <w:r>
        <w:t>)(</w:t>
      </w:r>
      <w:proofErr w:type="gramEnd"/>
      <w:r>
        <w:t xml:space="preserve">26); </w:t>
      </w:r>
      <w:r w:rsidRPr="006C7178">
        <w:t>Treas. Reg. § 1.4</w:t>
      </w:r>
      <w:r>
        <w:t>0</w:t>
      </w:r>
      <w:r w:rsidRPr="006C7178">
        <w:t>1</w:t>
      </w:r>
      <w:r>
        <w:t xml:space="preserve">(a)(26)-2; </w:t>
      </w:r>
      <w:r w:rsidRPr="006C7178">
        <w:t>Treas. Reg. § 1.4</w:t>
      </w:r>
      <w:r>
        <w:t>10(b)-3.</w:t>
      </w:r>
    </w:p>
  </w:footnote>
  <w:footnote w:id="12">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26)-6(b).</w:t>
      </w:r>
    </w:p>
  </w:footnote>
  <w:footnote w:id="13">
    <w:p w:rsidR="0033241C" w:rsidRDefault="0033241C">
      <w:pPr>
        <w:pStyle w:val="FootnoteText"/>
      </w:pPr>
      <w:r>
        <w:rPr>
          <w:rStyle w:val="FootnoteReference"/>
        </w:rPr>
        <w:footnoteRef/>
      </w:r>
      <w:r>
        <w:t xml:space="preserve"> </w:t>
      </w:r>
      <w:r w:rsidRPr="006C7178">
        <w:t>Treas. Reg. §§ 1.4</w:t>
      </w:r>
      <w:r>
        <w:t>01(b)-3(a</w:t>
      </w:r>
      <w:proofErr w:type="gramStart"/>
      <w:r>
        <w:t>)(</w:t>
      </w:r>
      <w:proofErr w:type="gramEnd"/>
      <w:r>
        <w:t xml:space="preserve">1); </w:t>
      </w:r>
      <w:r w:rsidRPr="006C7178">
        <w:t>1.4</w:t>
      </w:r>
      <w:r>
        <w:t>01(b)-3(a)(2)(</w:t>
      </w:r>
      <w:proofErr w:type="spellStart"/>
      <w:r>
        <w:t>i</w:t>
      </w:r>
      <w:proofErr w:type="spellEnd"/>
      <w:r>
        <w:t xml:space="preserve">); </w:t>
      </w:r>
      <w:r w:rsidRPr="006C7178">
        <w:t>1.4</w:t>
      </w:r>
      <w:r>
        <w:t xml:space="preserve">01(b)-3(a)(2)(iv); Rev. Proc. 93-42, </w:t>
      </w:r>
      <w:r>
        <w:rPr>
          <w:rStyle w:val="st"/>
        </w:rPr>
        <w:t>1993-2 C.B. 540.</w:t>
      </w:r>
    </w:p>
  </w:footnote>
  <w:footnote w:id="14">
    <w:p w:rsidR="0033241C" w:rsidRDefault="0033241C">
      <w:pPr>
        <w:pStyle w:val="FootnoteText"/>
      </w:pPr>
      <w:r>
        <w:rPr>
          <w:rStyle w:val="FootnoteReference"/>
        </w:rPr>
        <w:footnoteRef/>
      </w:r>
      <w:r>
        <w:t xml:space="preserve"> </w:t>
      </w:r>
      <w:r w:rsidRPr="008E1348">
        <w:t>For floor offset plans, see Chapter 11.</w:t>
      </w:r>
    </w:p>
  </w:footnote>
  <w:footnote w:id="15">
    <w:p w:rsidR="0033241C" w:rsidRDefault="0033241C">
      <w:pPr>
        <w:pStyle w:val="FootnoteText"/>
      </w:pPr>
      <w:r>
        <w:rPr>
          <w:rStyle w:val="FootnoteReference"/>
        </w:rPr>
        <w:footnoteRef/>
      </w:r>
      <w:r>
        <w:t xml:space="preserve"> </w:t>
      </w:r>
      <w:r w:rsidRPr="008E1348">
        <w:t>For target benefit plans, see Chapter 11.</w:t>
      </w:r>
    </w:p>
  </w:footnote>
  <w:footnote w:id="16">
    <w:p w:rsidR="0033241C" w:rsidRDefault="0033241C">
      <w:pPr>
        <w:pStyle w:val="FootnoteText"/>
      </w:pPr>
      <w:r>
        <w:rPr>
          <w:rStyle w:val="FootnoteReference"/>
        </w:rPr>
        <w:footnoteRef/>
      </w:r>
      <w:r>
        <w:t xml:space="preserve"> IRC Sec.</w:t>
      </w:r>
      <w:r w:rsidRPr="006C7178">
        <w:t xml:space="preserve"> 4</w:t>
      </w:r>
      <w:r>
        <w:t>01</w:t>
      </w:r>
      <w:r w:rsidRPr="006C7178">
        <w:t>(</w:t>
      </w:r>
      <w:r>
        <w:t>a</w:t>
      </w:r>
      <w:proofErr w:type="gramStart"/>
      <w:r>
        <w:t>)(</w:t>
      </w:r>
      <w:proofErr w:type="gramEnd"/>
      <w:r>
        <w:t>26).</w:t>
      </w:r>
    </w:p>
  </w:footnote>
  <w:footnote w:id="17">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4)-4.</w:t>
      </w:r>
    </w:p>
  </w:footnote>
  <w:footnote w:id="18">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4)-4(b).</w:t>
      </w:r>
    </w:p>
  </w:footnote>
  <w:footnote w:id="19">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4)-4(c).</w:t>
      </w:r>
    </w:p>
  </w:footnote>
  <w:footnote w:id="20">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4)-4(e)(3)(iii).</w:t>
      </w:r>
    </w:p>
  </w:footnote>
  <w:footnote w:id="21">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4)-11(g).</w:t>
      </w:r>
    </w:p>
  </w:footnote>
  <w:footnote w:id="22">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4)-4(e)(1).</w:t>
      </w:r>
    </w:p>
  </w:footnote>
  <w:footnote w:id="23">
    <w:p w:rsidR="0033241C" w:rsidRDefault="0033241C">
      <w:pPr>
        <w:pStyle w:val="FootnoteText"/>
      </w:pPr>
      <w:r>
        <w:rPr>
          <w:rStyle w:val="FootnoteReference"/>
        </w:rPr>
        <w:footnoteRef/>
      </w:r>
      <w:r>
        <w:t xml:space="preserve"> IRC Sec.</w:t>
      </w:r>
      <w:r w:rsidRPr="006C7178">
        <w:t xml:space="preserve"> 4</w:t>
      </w:r>
      <w:r>
        <w:t>11</w:t>
      </w:r>
      <w:r w:rsidRPr="006C7178">
        <w:t>(</w:t>
      </w:r>
      <w:r>
        <w:t xml:space="preserve">a)(9); </w:t>
      </w:r>
      <w:r w:rsidRPr="006C7178">
        <w:t>Treas. Reg. § 1.4</w:t>
      </w:r>
      <w:r>
        <w:t xml:space="preserve">11(d)-4(d); </w:t>
      </w:r>
      <w:r w:rsidRPr="006C7178">
        <w:t>Treas. Reg. §§ 1.4</w:t>
      </w:r>
      <w:r>
        <w:t>01(a)(4)-12; 1.411(a)-7(c)(4)(ii)</w:t>
      </w:r>
    </w:p>
  </w:footnote>
  <w:footnote w:id="24">
    <w:p w:rsidR="0033241C" w:rsidRDefault="0033241C">
      <w:pPr>
        <w:pStyle w:val="FootnoteText"/>
      </w:pPr>
      <w:r>
        <w:rPr>
          <w:rStyle w:val="FootnoteReference"/>
        </w:rPr>
        <w:footnoteRef/>
      </w:r>
      <w:r>
        <w:t xml:space="preserve"> For defined contribution plans, </w:t>
      </w:r>
      <w:r w:rsidRPr="006C7178">
        <w:t>Treas. Reg. § 1.4</w:t>
      </w:r>
      <w:r>
        <w:t>0</w:t>
      </w:r>
      <w:r w:rsidRPr="006C7178">
        <w:t>1</w:t>
      </w:r>
      <w:r>
        <w:t>(a</w:t>
      </w:r>
      <w:proofErr w:type="gramStart"/>
      <w:r>
        <w:t>)(</w:t>
      </w:r>
      <w:proofErr w:type="gramEnd"/>
      <w:r>
        <w:t>4)</w:t>
      </w:r>
      <w:r w:rsidRPr="006C7178">
        <w:t>-</w:t>
      </w:r>
      <w:r>
        <w:t xml:space="preserve">2; for defined benefit plans, </w:t>
      </w:r>
      <w:r w:rsidRPr="006C7178">
        <w:t>Treas. Reg. § 1.4</w:t>
      </w:r>
      <w:r>
        <w:t>0</w:t>
      </w:r>
      <w:r w:rsidRPr="006C7178">
        <w:t>1</w:t>
      </w:r>
      <w:r>
        <w:t>(a)(4)</w:t>
      </w:r>
      <w:r w:rsidRPr="006C7178">
        <w:t>-</w:t>
      </w:r>
      <w:r>
        <w:t>3.</w:t>
      </w:r>
    </w:p>
  </w:footnote>
  <w:footnote w:id="25">
    <w:p w:rsidR="0033241C" w:rsidRDefault="0033241C">
      <w:pPr>
        <w:pStyle w:val="FootnoteText"/>
      </w:pPr>
      <w:r>
        <w:rPr>
          <w:rStyle w:val="FootnoteReference"/>
        </w:rPr>
        <w:footnoteRef/>
      </w:r>
      <w:r>
        <w:t xml:space="preserve"> T</w:t>
      </w:r>
      <w:r w:rsidRPr="00A314C4">
        <w:t>reas. Reg. § 1.401(a</w:t>
      </w:r>
      <w:proofErr w:type="gramStart"/>
      <w:r w:rsidRPr="00A314C4">
        <w:t>)(</w:t>
      </w:r>
      <w:proofErr w:type="gramEnd"/>
      <w:r w:rsidRPr="00A314C4">
        <w:t>4)-1(b)(2)(ii)(B)</w:t>
      </w:r>
      <w:r>
        <w:t>.</w:t>
      </w:r>
    </w:p>
  </w:footnote>
  <w:footnote w:id="26">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w:t>
      </w:r>
      <w:r w:rsidRPr="006C7178">
        <w:t>-</w:t>
      </w:r>
      <w:r>
        <w:t>2(b).</w:t>
      </w:r>
    </w:p>
  </w:footnote>
  <w:footnote w:id="27">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w:t>
      </w:r>
      <w:r w:rsidRPr="006C7178">
        <w:t>-</w:t>
      </w:r>
      <w:r>
        <w:t>3(b).</w:t>
      </w:r>
    </w:p>
  </w:footnote>
  <w:footnote w:id="28">
    <w:p w:rsidR="0033241C" w:rsidRDefault="0033241C">
      <w:pPr>
        <w:pStyle w:val="FootnoteText"/>
      </w:pPr>
      <w:r>
        <w:rPr>
          <w:rStyle w:val="FootnoteReference"/>
        </w:rPr>
        <w:footnoteRef/>
      </w:r>
      <w:r>
        <w:t xml:space="preserve"> For defined contribution plans, </w:t>
      </w:r>
      <w:r w:rsidRPr="006C7178">
        <w:t>Treas. Reg. § 1.4</w:t>
      </w:r>
      <w:r>
        <w:t>0</w:t>
      </w:r>
      <w:r w:rsidRPr="006C7178">
        <w:t>1</w:t>
      </w:r>
      <w:r>
        <w:t>(a</w:t>
      </w:r>
      <w:proofErr w:type="gramStart"/>
      <w:r>
        <w:t>)(</w:t>
      </w:r>
      <w:proofErr w:type="gramEnd"/>
      <w:r>
        <w:t>4)</w:t>
      </w:r>
      <w:r w:rsidRPr="006C7178">
        <w:t>-</w:t>
      </w:r>
      <w:r>
        <w:t xml:space="preserve">2(c); for defined benefit plans, </w:t>
      </w:r>
      <w:r w:rsidRPr="006C7178">
        <w:t>Treas. Reg. § 1.4</w:t>
      </w:r>
      <w:r>
        <w:t>0</w:t>
      </w:r>
      <w:r w:rsidRPr="006C7178">
        <w:t>1</w:t>
      </w:r>
      <w:r>
        <w:t>(a)(4)</w:t>
      </w:r>
      <w:r w:rsidRPr="006C7178">
        <w:t>-</w:t>
      </w:r>
      <w:r>
        <w:t>3(c).</w:t>
      </w:r>
    </w:p>
  </w:footnote>
  <w:footnote w:id="29">
    <w:p w:rsidR="0033241C" w:rsidRDefault="0033241C">
      <w:pPr>
        <w:pStyle w:val="FootnoteText"/>
      </w:pPr>
      <w:r>
        <w:rPr>
          <w:rStyle w:val="FootnoteReference"/>
        </w:rPr>
        <w:footnoteRef/>
      </w:r>
      <w:r>
        <w:t xml:space="preserve"> For defined contribution plans, </w:t>
      </w:r>
      <w:r w:rsidRPr="006C7178">
        <w:t>Treas. Reg. § 1.4</w:t>
      </w:r>
      <w:r>
        <w:t>0</w:t>
      </w:r>
      <w:r w:rsidRPr="006C7178">
        <w:t>1</w:t>
      </w:r>
      <w:r>
        <w:t>(a</w:t>
      </w:r>
      <w:proofErr w:type="gramStart"/>
      <w:r>
        <w:t>)(</w:t>
      </w:r>
      <w:proofErr w:type="gramEnd"/>
      <w:r>
        <w:t>4)</w:t>
      </w:r>
      <w:r w:rsidRPr="006C7178">
        <w:t>-</w:t>
      </w:r>
      <w:r>
        <w:t xml:space="preserve">2(c)(1); for defined benefit plans, </w:t>
      </w:r>
      <w:r w:rsidRPr="006C7178">
        <w:t>Treas. Reg. § 1.4</w:t>
      </w:r>
      <w:r>
        <w:t>0</w:t>
      </w:r>
      <w:r w:rsidRPr="006C7178">
        <w:t>1</w:t>
      </w:r>
      <w:r>
        <w:t>(a)(4)</w:t>
      </w:r>
      <w:r w:rsidRPr="006C7178">
        <w:t>-</w:t>
      </w:r>
      <w:r>
        <w:t>3(c)(1).</w:t>
      </w:r>
    </w:p>
  </w:footnote>
  <w:footnote w:id="30">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w:t>
      </w:r>
      <w:r w:rsidRPr="006C7178">
        <w:t>-</w:t>
      </w:r>
      <w:r>
        <w:t>2(c)(2)(iv).</w:t>
      </w:r>
    </w:p>
  </w:footnote>
  <w:footnote w:id="31">
    <w:p w:rsidR="0033241C" w:rsidRDefault="0033241C">
      <w:pPr>
        <w:pStyle w:val="FootnoteText"/>
      </w:pPr>
      <w:r>
        <w:rPr>
          <w:rStyle w:val="FootnoteReference"/>
        </w:rPr>
        <w:footnoteRef/>
      </w:r>
      <w:r>
        <w:t xml:space="preserve"> For defined contribution plans, </w:t>
      </w:r>
      <w:r w:rsidRPr="006C7178">
        <w:t>Treas. Reg. § 1.4</w:t>
      </w:r>
      <w:r>
        <w:t>0</w:t>
      </w:r>
      <w:r w:rsidRPr="006C7178">
        <w:t>1</w:t>
      </w:r>
      <w:r>
        <w:t>(a</w:t>
      </w:r>
      <w:proofErr w:type="gramStart"/>
      <w:r>
        <w:t>)(</w:t>
      </w:r>
      <w:proofErr w:type="gramEnd"/>
      <w:r>
        <w:t>4)</w:t>
      </w:r>
      <w:r w:rsidRPr="006C7178">
        <w:t>-</w:t>
      </w:r>
      <w:r>
        <w:t xml:space="preserve">2(c); for defined benefit plans, </w:t>
      </w:r>
      <w:r w:rsidRPr="006C7178">
        <w:t>Treas. Reg. § 1.4</w:t>
      </w:r>
      <w:r>
        <w:t>0</w:t>
      </w:r>
      <w:r w:rsidRPr="006C7178">
        <w:t>1</w:t>
      </w:r>
      <w:r>
        <w:t>(a)(4)</w:t>
      </w:r>
      <w:r w:rsidRPr="006C7178">
        <w:t>-</w:t>
      </w:r>
      <w:r>
        <w:t>3(c).</w:t>
      </w:r>
    </w:p>
  </w:footnote>
  <w:footnote w:id="32">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w:t>
      </w:r>
      <w:r w:rsidRPr="006C7178">
        <w:t>-</w:t>
      </w:r>
      <w:r>
        <w:t>8.</w:t>
      </w:r>
    </w:p>
  </w:footnote>
  <w:footnote w:id="33">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w:t>
      </w:r>
      <w:r w:rsidRPr="006C7178">
        <w:t>-</w:t>
      </w:r>
      <w:r>
        <w:t>8(b)(2).</w:t>
      </w:r>
    </w:p>
  </w:footnote>
  <w:footnote w:id="34">
    <w:p w:rsidR="0033241C" w:rsidRDefault="0033241C">
      <w:pPr>
        <w:pStyle w:val="FootnoteText"/>
      </w:pPr>
      <w:r>
        <w:rPr>
          <w:rStyle w:val="FootnoteReference"/>
        </w:rPr>
        <w:footnoteRef/>
      </w:r>
      <w:r>
        <w:t xml:space="preserve"> Prop. </w:t>
      </w:r>
      <w:r w:rsidRPr="006C7178">
        <w:t>Treas. Reg. § 1.4</w:t>
      </w:r>
      <w:r>
        <w:t>01(a</w:t>
      </w:r>
      <w:proofErr w:type="gramStart"/>
      <w:r>
        <w:t>)(</w:t>
      </w:r>
      <w:proofErr w:type="gramEnd"/>
      <w:r>
        <w:t>4)-8(b).</w:t>
      </w:r>
    </w:p>
  </w:footnote>
  <w:footnote w:id="35">
    <w:p w:rsidR="0033241C" w:rsidRDefault="0033241C">
      <w:pPr>
        <w:pStyle w:val="FootnoteText"/>
      </w:pPr>
      <w:r>
        <w:rPr>
          <w:rStyle w:val="FootnoteReference"/>
        </w:rPr>
        <w:footnoteRef/>
      </w:r>
      <w:r>
        <w:t xml:space="preserve"> </w:t>
      </w:r>
      <w:r w:rsidRPr="006C7178">
        <w:t>Treas. Reg. § 1.4</w:t>
      </w:r>
      <w:r>
        <w:t>15-2(d</w:t>
      </w:r>
      <w:proofErr w:type="gramStart"/>
      <w:r>
        <w:t>)(</w:t>
      </w:r>
      <w:proofErr w:type="gramEnd"/>
      <w:r>
        <w:t>2).</w:t>
      </w:r>
    </w:p>
  </w:footnote>
  <w:footnote w:id="36">
    <w:p w:rsidR="0033241C" w:rsidRDefault="0033241C">
      <w:pPr>
        <w:pStyle w:val="FootnoteText"/>
      </w:pPr>
      <w:r>
        <w:rPr>
          <w:rStyle w:val="FootnoteReference"/>
        </w:rPr>
        <w:footnoteRef/>
      </w:r>
      <w:r>
        <w:t xml:space="preserve"> IRC Sec.</w:t>
      </w:r>
      <w:r w:rsidRPr="006C7178">
        <w:t xml:space="preserve"> 4</w:t>
      </w:r>
      <w:r>
        <w:t>14</w:t>
      </w:r>
      <w:r w:rsidRPr="006C7178">
        <w:t>(</w:t>
      </w:r>
      <w:r>
        <w:t>s</w:t>
      </w:r>
      <w:r w:rsidRPr="006C7178">
        <w:t>)</w:t>
      </w:r>
      <w:r>
        <w:t xml:space="preserve">; </w:t>
      </w:r>
      <w:r w:rsidRPr="006C7178">
        <w:t>Treas. Reg. § 1.4</w:t>
      </w:r>
      <w:r>
        <w:t>15-2(d</w:t>
      </w:r>
      <w:proofErr w:type="gramStart"/>
      <w:r>
        <w:t>)(</w:t>
      </w:r>
      <w:proofErr w:type="gramEnd"/>
      <w:r>
        <w:t>2).</w:t>
      </w:r>
    </w:p>
  </w:footnote>
  <w:footnote w:id="37">
    <w:p w:rsidR="0033241C" w:rsidRDefault="0033241C">
      <w:pPr>
        <w:pStyle w:val="FootnoteText"/>
      </w:pPr>
      <w:r>
        <w:rPr>
          <w:rStyle w:val="FootnoteReference"/>
        </w:rPr>
        <w:footnoteRef/>
      </w:r>
      <w:r>
        <w:t xml:space="preserve"> </w:t>
      </w:r>
      <w:r w:rsidRPr="006C7178">
        <w:t>Treas. Reg. § 1.4</w:t>
      </w:r>
      <w:r>
        <w:t>15-2(d</w:t>
      </w:r>
      <w:proofErr w:type="gramStart"/>
      <w:r>
        <w:t>)(</w:t>
      </w:r>
      <w:proofErr w:type="gramEnd"/>
      <w:r>
        <w:t>11)(ii).</w:t>
      </w:r>
    </w:p>
  </w:footnote>
  <w:footnote w:id="38">
    <w:p w:rsidR="0033241C" w:rsidRDefault="0033241C">
      <w:pPr>
        <w:pStyle w:val="FootnoteText"/>
      </w:pPr>
      <w:r>
        <w:rPr>
          <w:rStyle w:val="FootnoteReference"/>
        </w:rPr>
        <w:footnoteRef/>
      </w:r>
      <w:r>
        <w:t xml:space="preserve"> </w:t>
      </w:r>
      <w:r w:rsidRPr="006C7178">
        <w:t>Treas. Reg. § 1.4</w:t>
      </w:r>
      <w:r>
        <w:t>01(a</w:t>
      </w:r>
      <w:proofErr w:type="gramStart"/>
      <w:r>
        <w:t>)(</w:t>
      </w:r>
      <w:proofErr w:type="gramEnd"/>
      <w:r>
        <w:t>4)-5(a).</w:t>
      </w:r>
    </w:p>
  </w:footnote>
  <w:footnote w:id="39">
    <w:p w:rsidR="0033241C" w:rsidRDefault="0033241C">
      <w:pPr>
        <w:pStyle w:val="FootnoteText"/>
      </w:pPr>
      <w:r>
        <w:rPr>
          <w:rStyle w:val="FootnoteReference"/>
        </w:rPr>
        <w:footnoteRef/>
      </w:r>
      <w:r>
        <w:t xml:space="preserve"> </w:t>
      </w:r>
      <w:r w:rsidRPr="006C7178">
        <w:t>Treas. Reg. § 1.4</w:t>
      </w:r>
      <w:r>
        <w:t>0</w:t>
      </w:r>
      <w:r w:rsidRPr="006C7178">
        <w:t>1</w:t>
      </w:r>
      <w:r>
        <w:t>(a</w:t>
      </w:r>
      <w:proofErr w:type="gramStart"/>
      <w:r>
        <w:t>)(</w:t>
      </w:r>
      <w:proofErr w:type="gramEnd"/>
      <w:r>
        <w:t>4)-11(d)(3).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89D"/>
    <w:multiLevelType w:val="hybridMultilevel"/>
    <w:tmpl w:val="3AD0CC5E"/>
    <w:lvl w:ilvl="0" w:tplc="B008D846">
      <w:start w:val="1"/>
      <w:numFmt w:val="decimal"/>
      <w:lvlText w:val="%1."/>
      <w:lvlJc w:val="left"/>
      <w:pPr>
        <w:ind w:left="396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9C5FF8"/>
    <w:multiLevelType w:val="hybridMultilevel"/>
    <w:tmpl w:val="E9B69D16"/>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B0854DB"/>
    <w:multiLevelType w:val="hybridMultilevel"/>
    <w:tmpl w:val="36023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01A67"/>
    <w:multiLevelType w:val="hybridMultilevel"/>
    <w:tmpl w:val="BBBCC9D0"/>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nsid w:val="0BC006B8"/>
    <w:multiLevelType w:val="hybridMultilevel"/>
    <w:tmpl w:val="729414E6"/>
    <w:lvl w:ilvl="0" w:tplc="B008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C6C10"/>
    <w:multiLevelType w:val="hybridMultilevel"/>
    <w:tmpl w:val="FDB6D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E069B6"/>
    <w:multiLevelType w:val="hybridMultilevel"/>
    <w:tmpl w:val="78A84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150C2B"/>
    <w:multiLevelType w:val="hybridMultilevel"/>
    <w:tmpl w:val="F49A813A"/>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453963"/>
    <w:multiLevelType w:val="hybridMultilevel"/>
    <w:tmpl w:val="7062BC64"/>
    <w:lvl w:ilvl="0" w:tplc="2B82637C">
      <w:start w:val="1"/>
      <w:numFmt w:val="decimal"/>
      <w:lvlText w:val="%1."/>
      <w:lvlJc w:val="left"/>
      <w:pPr>
        <w:ind w:left="120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1A600E4B"/>
    <w:multiLevelType w:val="hybridMultilevel"/>
    <w:tmpl w:val="1FC63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75095B"/>
    <w:multiLevelType w:val="hybridMultilevel"/>
    <w:tmpl w:val="2434490E"/>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nsid w:val="1BB05A24"/>
    <w:multiLevelType w:val="hybridMultilevel"/>
    <w:tmpl w:val="B44A1664"/>
    <w:lvl w:ilvl="0" w:tplc="2B82637C">
      <w:start w:val="1"/>
      <w:numFmt w:val="decimal"/>
      <w:lvlText w:val="%1."/>
      <w:lvlJc w:val="left"/>
      <w:pPr>
        <w:ind w:left="1995"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0F3173"/>
    <w:multiLevelType w:val="hybridMultilevel"/>
    <w:tmpl w:val="233E4424"/>
    <w:lvl w:ilvl="0" w:tplc="2B82637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20AD3ED5"/>
    <w:multiLevelType w:val="hybridMultilevel"/>
    <w:tmpl w:val="62E2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8F353D"/>
    <w:multiLevelType w:val="hybridMultilevel"/>
    <w:tmpl w:val="2ECED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BF5CB3"/>
    <w:multiLevelType w:val="hybridMultilevel"/>
    <w:tmpl w:val="EF5A058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4C48C4"/>
    <w:multiLevelType w:val="multilevel"/>
    <w:tmpl w:val="923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45D75"/>
    <w:multiLevelType w:val="hybridMultilevel"/>
    <w:tmpl w:val="5A7CB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8C35B2"/>
    <w:multiLevelType w:val="hybridMultilevel"/>
    <w:tmpl w:val="4A98FA42"/>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nsid w:val="31D90F4F"/>
    <w:multiLevelType w:val="hybridMultilevel"/>
    <w:tmpl w:val="FD623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883B6A"/>
    <w:multiLevelType w:val="hybridMultilevel"/>
    <w:tmpl w:val="2F90FF9A"/>
    <w:lvl w:ilvl="0" w:tplc="2B82637C">
      <w:start w:val="1"/>
      <w:numFmt w:val="decimal"/>
      <w:lvlText w:val="%1."/>
      <w:lvlJc w:val="left"/>
      <w:pPr>
        <w:ind w:left="1440"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3C5F4656"/>
    <w:multiLevelType w:val="hybridMultilevel"/>
    <w:tmpl w:val="1F4E62E0"/>
    <w:lvl w:ilvl="0" w:tplc="2B82637C">
      <w:start w:val="1"/>
      <w:numFmt w:val="decimal"/>
      <w:lvlText w:val="%1."/>
      <w:lvlJc w:val="left"/>
      <w:pPr>
        <w:ind w:left="1440" w:hanging="360"/>
      </w:pPr>
      <w:rPr>
        <w:rFonts w:hint="default"/>
      </w:rPr>
    </w:lvl>
    <w:lvl w:ilvl="1" w:tplc="04090019">
      <w:start w:val="1"/>
      <w:numFmt w:val="lowerLetter"/>
      <w:lvlText w:val="%2."/>
      <w:lvlJc w:val="left"/>
      <w:pPr>
        <w:ind w:left="1965" w:hanging="360"/>
      </w:pPr>
    </w:lvl>
    <w:lvl w:ilvl="2" w:tplc="0409001B">
      <w:start w:val="1"/>
      <w:numFmt w:val="lowerRoman"/>
      <w:lvlText w:val="%3."/>
      <w:lvlJc w:val="right"/>
      <w:pPr>
        <w:ind w:left="2685" w:hanging="180"/>
      </w:pPr>
    </w:lvl>
    <w:lvl w:ilvl="3" w:tplc="0409000F">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nsid w:val="3D8C74B9"/>
    <w:multiLevelType w:val="hybridMultilevel"/>
    <w:tmpl w:val="9E28F8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DC242C"/>
    <w:multiLevelType w:val="hybridMultilevel"/>
    <w:tmpl w:val="DE26DAA2"/>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nsid w:val="50517AFB"/>
    <w:multiLevelType w:val="hybridMultilevel"/>
    <w:tmpl w:val="34EC9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07AC4"/>
    <w:multiLevelType w:val="hybridMultilevel"/>
    <w:tmpl w:val="A8E24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8C7BB8"/>
    <w:multiLevelType w:val="hybridMultilevel"/>
    <w:tmpl w:val="8C669B1A"/>
    <w:lvl w:ilvl="0" w:tplc="D6ECC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8470DE"/>
    <w:multiLevelType w:val="hybridMultilevel"/>
    <w:tmpl w:val="72861AF4"/>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18B5975"/>
    <w:multiLevelType w:val="hybridMultilevel"/>
    <w:tmpl w:val="FE8E2344"/>
    <w:lvl w:ilvl="0" w:tplc="71AC4936">
      <w:start w:val="3"/>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9">
    <w:nsid w:val="63CF4DC8"/>
    <w:multiLevelType w:val="hybridMultilevel"/>
    <w:tmpl w:val="75C6C918"/>
    <w:lvl w:ilvl="0" w:tplc="C8003976">
      <w:start w:val="1"/>
      <w:numFmt w:val="lowerLetter"/>
      <w:lvlText w:val="%1."/>
      <w:lvlJc w:val="left"/>
      <w:pPr>
        <w:ind w:left="1440" w:hanging="360"/>
      </w:pPr>
      <w:rPr>
        <w:rFonts w:hint="default"/>
      </w:rPr>
    </w:lvl>
    <w:lvl w:ilvl="1" w:tplc="51A8139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C47DCD"/>
    <w:multiLevelType w:val="hybridMultilevel"/>
    <w:tmpl w:val="0512C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BD496C"/>
    <w:multiLevelType w:val="hybridMultilevel"/>
    <w:tmpl w:val="E634EBE4"/>
    <w:lvl w:ilvl="0" w:tplc="2B82637C">
      <w:start w:val="1"/>
      <w:numFmt w:val="decimal"/>
      <w:lvlText w:val="%1."/>
      <w:lvlJc w:val="left"/>
      <w:pPr>
        <w:ind w:left="1440"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6CCD3BFC"/>
    <w:multiLevelType w:val="hybridMultilevel"/>
    <w:tmpl w:val="FBC200B4"/>
    <w:lvl w:ilvl="0" w:tplc="B008D84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197299"/>
    <w:multiLevelType w:val="hybridMultilevel"/>
    <w:tmpl w:val="4B986120"/>
    <w:lvl w:ilvl="0" w:tplc="2B82637C">
      <w:start w:val="1"/>
      <w:numFmt w:val="decimal"/>
      <w:lvlText w:val="%1."/>
      <w:lvlJc w:val="left"/>
      <w:pPr>
        <w:ind w:left="144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4">
    <w:nsid w:val="6EED5591"/>
    <w:multiLevelType w:val="hybridMultilevel"/>
    <w:tmpl w:val="C2F2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950375"/>
    <w:multiLevelType w:val="hybridMultilevel"/>
    <w:tmpl w:val="B8644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074E21"/>
    <w:multiLevelType w:val="hybridMultilevel"/>
    <w:tmpl w:val="099016C0"/>
    <w:lvl w:ilvl="0" w:tplc="C8003976">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CB3145"/>
    <w:multiLevelType w:val="multilevel"/>
    <w:tmpl w:val="9E5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BD673D"/>
    <w:multiLevelType w:val="hybridMultilevel"/>
    <w:tmpl w:val="89841CBE"/>
    <w:lvl w:ilvl="0" w:tplc="8EAAA5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C41E2"/>
    <w:multiLevelType w:val="hybridMultilevel"/>
    <w:tmpl w:val="6352D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260E4B"/>
    <w:multiLevelType w:val="hybridMultilevel"/>
    <w:tmpl w:val="2A626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9057F15"/>
    <w:multiLevelType w:val="hybridMultilevel"/>
    <w:tmpl w:val="1CB82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015E03"/>
    <w:multiLevelType w:val="hybridMultilevel"/>
    <w:tmpl w:val="A25E6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675750"/>
    <w:multiLevelType w:val="hybridMultilevel"/>
    <w:tmpl w:val="5B9010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BC316A"/>
    <w:multiLevelType w:val="hybridMultilevel"/>
    <w:tmpl w:val="CD0A8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6"/>
  </w:num>
  <w:num w:numId="3">
    <w:abstractNumId w:val="37"/>
  </w:num>
  <w:num w:numId="4">
    <w:abstractNumId w:val="28"/>
  </w:num>
  <w:num w:numId="5">
    <w:abstractNumId w:val="26"/>
  </w:num>
  <w:num w:numId="6">
    <w:abstractNumId w:val="12"/>
  </w:num>
  <w:num w:numId="7">
    <w:abstractNumId w:val="8"/>
  </w:num>
  <w:num w:numId="8">
    <w:abstractNumId w:val="20"/>
  </w:num>
  <w:num w:numId="9">
    <w:abstractNumId w:val="33"/>
  </w:num>
  <w:num w:numId="10">
    <w:abstractNumId w:val="11"/>
  </w:num>
  <w:num w:numId="11">
    <w:abstractNumId w:val="21"/>
  </w:num>
  <w:num w:numId="12">
    <w:abstractNumId w:val="31"/>
  </w:num>
  <w:num w:numId="13">
    <w:abstractNumId w:val="42"/>
  </w:num>
  <w:num w:numId="14">
    <w:abstractNumId w:val="4"/>
  </w:num>
  <w:num w:numId="15">
    <w:abstractNumId w:val="1"/>
  </w:num>
  <w:num w:numId="16">
    <w:abstractNumId w:val="0"/>
  </w:num>
  <w:num w:numId="17">
    <w:abstractNumId w:val="27"/>
  </w:num>
  <w:num w:numId="18">
    <w:abstractNumId w:val="3"/>
  </w:num>
  <w:num w:numId="19">
    <w:abstractNumId w:val="43"/>
  </w:num>
  <w:num w:numId="20">
    <w:abstractNumId w:val="25"/>
  </w:num>
  <w:num w:numId="21">
    <w:abstractNumId w:val="14"/>
  </w:num>
  <w:num w:numId="22">
    <w:abstractNumId w:val="22"/>
  </w:num>
  <w:num w:numId="23">
    <w:abstractNumId w:val="10"/>
  </w:num>
  <w:num w:numId="24">
    <w:abstractNumId w:val="18"/>
  </w:num>
  <w:num w:numId="25">
    <w:abstractNumId w:val="23"/>
  </w:num>
  <w:num w:numId="26">
    <w:abstractNumId w:val="2"/>
  </w:num>
  <w:num w:numId="27">
    <w:abstractNumId w:val="15"/>
  </w:num>
  <w:num w:numId="28">
    <w:abstractNumId w:val="7"/>
  </w:num>
  <w:num w:numId="29">
    <w:abstractNumId w:val="32"/>
  </w:num>
  <w:num w:numId="30">
    <w:abstractNumId w:val="9"/>
  </w:num>
  <w:num w:numId="31">
    <w:abstractNumId w:val="19"/>
  </w:num>
  <w:num w:numId="32">
    <w:abstractNumId w:val="29"/>
  </w:num>
  <w:num w:numId="33">
    <w:abstractNumId w:val="36"/>
  </w:num>
  <w:num w:numId="34">
    <w:abstractNumId w:val="38"/>
  </w:num>
  <w:num w:numId="35">
    <w:abstractNumId w:val="39"/>
  </w:num>
  <w:num w:numId="36">
    <w:abstractNumId w:val="35"/>
  </w:num>
  <w:num w:numId="37">
    <w:abstractNumId w:val="34"/>
  </w:num>
  <w:num w:numId="38">
    <w:abstractNumId w:val="41"/>
  </w:num>
  <w:num w:numId="39">
    <w:abstractNumId w:val="6"/>
  </w:num>
  <w:num w:numId="40">
    <w:abstractNumId w:val="17"/>
  </w:num>
  <w:num w:numId="41">
    <w:abstractNumId w:val="44"/>
  </w:num>
  <w:num w:numId="42">
    <w:abstractNumId w:val="5"/>
  </w:num>
  <w:num w:numId="43">
    <w:abstractNumId w:val="13"/>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97"/>
    <w:rsid w:val="00002583"/>
    <w:rsid w:val="000110EB"/>
    <w:rsid w:val="00025054"/>
    <w:rsid w:val="00025A75"/>
    <w:rsid w:val="0002620E"/>
    <w:rsid w:val="00027E50"/>
    <w:rsid w:val="000330A0"/>
    <w:rsid w:val="00043763"/>
    <w:rsid w:val="00051FA2"/>
    <w:rsid w:val="00056415"/>
    <w:rsid w:val="00072F4A"/>
    <w:rsid w:val="00082C6A"/>
    <w:rsid w:val="00083D57"/>
    <w:rsid w:val="00085597"/>
    <w:rsid w:val="00090E8C"/>
    <w:rsid w:val="0009174C"/>
    <w:rsid w:val="00091B79"/>
    <w:rsid w:val="00092A46"/>
    <w:rsid w:val="00092E4E"/>
    <w:rsid w:val="00097E4E"/>
    <w:rsid w:val="000A4FF5"/>
    <w:rsid w:val="000A5784"/>
    <w:rsid w:val="000B1AF8"/>
    <w:rsid w:val="000C30C2"/>
    <w:rsid w:val="000D19B5"/>
    <w:rsid w:val="000D24B6"/>
    <w:rsid w:val="000D6F0F"/>
    <w:rsid w:val="000E3356"/>
    <w:rsid w:val="000E3760"/>
    <w:rsid w:val="000E5E99"/>
    <w:rsid w:val="000E667D"/>
    <w:rsid w:val="000F0168"/>
    <w:rsid w:val="000F0CFF"/>
    <w:rsid w:val="000F342B"/>
    <w:rsid w:val="000F4979"/>
    <w:rsid w:val="000F6ADD"/>
    <w:rsid w:val="001067AC"/>
    <w:rsid w:val="00115CF1"/>
    <w:rsid w:val="00135D44"/>
    <w:rsid w:val="00135DC1"/>
    <w:rsid w:val="00136E15"/>
    <w:rsid w:val="00154A6D"/>
    <w:rsid w:val="001624FE"/>
    <w:rsid w:val="00165A8B"/>
    <w:rsid w:val="00182097"/>
    <w:rsid w:val="001824E1"/>
    <w:rsid w:val="00186BDD"/>
    <w:rsid w:val="001930DA"/>
    <w:rsid w:val="001A2457"/>
    <w:rsid w:val="001A3D46"/>
    <w:rsid w:val="001B3CAE"/>
    <w:rsid w:val="001C05A6"/>
    <w:rsid w:val="001D2EA5"/>
    <w:rsid w:val="001D6056"/>
    <w:rsid w:val="001E64A1"/>
    <w:rsid w:val="001E75B7"/>
    <w:rsid w:val="00205143"/>
    <w:rsid w:val="00205E4F"/>
    <w:rsid w:val="00220C25"/>
    <w:rsid w:val="00226D79"/>
    <w:rsid w:val="00230B07"/>
    <w:rsid w:val="0024496C"/>
    <w:rsid w:val="00253EBB"/>
    <w:rsid w:val="00254737"/>
    <w:rsid w:val="00261E59"/>
    <w:rsid w:val="002812CF"/>
    <w:rsid w:val="00294DD4"/>
    <w:rsid w:val="00294E61"/>
    <w:rsid w:val="00296C59"/>
    <w:rsid w:val="002B5946"/>
    <w:rsid w:val="002C0605"/>
    <w:rsid w:val="00305D23"/>
    <w:rsid w:val="003131CC"/>
    <w:rsid w:val="003158F6"/>
    <w:rsid w:val="00323571"/>
    <w:rsid w:val="0033241C"/>
    <w:rsid w:val="00351C40"/>
    <w:rsid w:val="00357533"/>
    <w:rsid w:val="00365F81"/>
    <w:rsid w:val="003705CD"/>
    <w:rsid w:val="00371643"/>
    <w:rsid w:val="003719C6"/>
    <w:rsid w:val="00384A98"/>
    <w:rsid w:val="003914E0"/>
    <w:rsid w:val="003B56BE"/>
    <w:rsid w:val="003C4D3C"/>
    <w:rsid w:val="003C67EE"/>
    <w:rsid w:val="003D1A3B"/>
    <w:rsid w:val="003D2B8B"/>
    <w:rsid w:val="003D304D"/>
    <w:rsid w:val="003E2200"/>
    <w:rsid w:val="003E25B3"/>
    <w:rsid w:val="003E4C98"/>
    <w:rsid w:val="00407371"/>
    <w:rsid w:val="00407C2C"/>
    <w:rsid w:val="0041467F"/>
    <w:rsid w:val="00433D49"/>
    <w:rsid w:val="0043789C"/>
    <w:rsid w:val="00442E9D"/>
    <w:rsid w:val="00444635"/>
    <w:rsid w:val="00445E56"/>
    <w:rsid w:val="00446A14"/>
    <w:rsid w:val="00446E92"/>
    <w:rsid w:val="004669BE"/>
    <w:rsid w:val="00473805"/>
    <w:rsid w:val="00474DE8"/>
    <w:rsid w:val="00492F45"/>
    <w:rsid w:val="004B5B97"/>
    <w:rsid w:val="004C78C3"/>
    <w:rsid w:val="004E0885"/>
    <w:rsid w:val="004E41EE"/>
    <w:rsid w:val="005145A8"/>
    <w:rsid w:val="005219A5"/>
    <w:rsid w:val="005240E2"/>
    <w:rsid w:val="005263F7"/>
    <w:rsid w:val="00542684"/>
    <w:rsid w:val="00550FB5"/>
    <w:rsid w:val="00555B31"/>
    <w:rsid w:val="00562D45"/>
    <w:rsid w:val="005660AE"/>
    <w:rsid w:val="00573A80"/>
    <w:rsid w:val="00584924"/>
    <w:rsid w:val="005942E5"/>
    <w:rsid w:val="00594EC5"/>
    <w:rsid w:val="005A0A49"/>
    <w:rsid w:val="005A0F91"/>
    <w:rsid w:val="005A5957"/>
    <w:rsid w:val="005B4A55"/>
    <w:rsid w:val="005B7615"/>
    <w:rsid w:val="005E7157"/>
    <w:rsid w:val="005F3429"/>
    <w:rsid w:val="00610EAA"/>
    <w:rsid w:val="00631C7B"/>
    <w:rsid w:val="00637F1D"/>
    <w:rsid w:val="00640AFC"/>
    <w:rsid w:val="00656F24"/>
    <w:rsid w:val="00665E70"/>
    <w:rsid w:val="006754CB"/>
    <w:rsid w:val="0069200A"/>
    <w:rsid w:val="00692E5A"/>
    <w:rsid w:val="006A5D50"/>
    <w:rsid w:val="006C75E3"/>
    <w:rsid w:val="006D463D"/>
    <w:rsid w:val="006F189D"/>
    <w:rsid w:val="0070193B"/>
    <w:rsid w:val="00707C5A"/>
    <w:rsid w:val="00711676"/>
    <w:rsid w:val="00715674"/>
    <w:rsid w:val="0071708F"/>
    <w:rsid w:val="0072344A"/>
    <w:rsid w:val="00725D86"/>
    <w:rsid w:val="00731342"/>
    <w:rsid w:val="0074138B"/>
    <w:rsid w:val="007425AE"/>
    <w:rsid w:val="00746F1B"/>
    <w:rsid w:val="007470A8"/>
    <w:rsid w:val="007502D4"/>
    <w:rsid w:val="00790CAD"/>
    <w:rsid w:val="007A2439"/>
    <w:rsid w:val="007A6386"/>
    <w:rsid w:val="007B78E6"/>
    <w:rsid w:val="007C34D4"/>
    <w:rsid w:val="007C36DA"/>
    <w:rsid w:val="007C427C"/>
    <w:rsid w:val="007C766E"/>
    <w:rsid w:val="007C7BF2"/>
    <w:rsid w:val="007D0BDE"/>
    <w:rsid w:val="007D0E54"/>
    <w:rsid w:val="007D1322"/>
    <w:rsid w:val="007D63CD"/>
    <w:rsid w:val="007D7319"/>
    <w:rsid w:val="007E7D97"/>
    <w:rsid w:val="007F79E6"/>
    <w:rsid w:val="008008BF"/>
    <w:rsid w:val="00804BCD"/>
    <w:rsid w:val="00807D15"/>
    <w:rsid w:val="00824A4C"/>
    <w:rsid w:val="00824E48"/>
    <w:rsid w:val="0083517C"/>
    <w:rsid w:val="008371BB"/>
    <w:rsid w:val="008513B4"/>
    <w:rsid w:val="00857624"/>
    <w:rsid w:val="0087094B"/>
    <w:rsid w:val="008900B2"/>
    <w:rsid w:val="008927DD"/>
    <w:rsid w:val="008A4F1D"/>
    <w:rsid w:val="008A5631"/>
    <w:rsid w:val="008B01D4"/>
    <w:rsid w:val="008B76B7"/>
    <w:rsid w:val="008C0C4A"/>
    <w:rsid w:val="008D2D7E"/>
    <w:rsid w:val="008E1348"/>
    <w:rsid w:val="008F67C9"/>
    <w:rsid w:val="008F6A98"/>
    <w:rsid w:val="009006EA"/>
    <w:rsid w:val="00904B41"/>
    <w:rsid w:val="0092091F"/>
    <w:rsid w:val="00927A7D"/>
    <w:rsid w:val="009337A8"/>
    <w:rsid w:val="00935612"/>
    <w:rsid w:val="009460EC"/>
    <w:rsid w:val="0096422C"/>
    <w:rsid w:val="009722E4"/>
    <w:rsid w:val="00974860"/>
    <w:rsid w:val="00984608"/>
    <w:rsid w:val="00984AE1"/>
    <w:rsid w:val="00987A5F"/>
    <w:rsid w:val="00990464"/>
    <w:rsid w:val="009A75E8"/>
    <w:rsid w:val="009B51AE"/>
    <w:rsid w:val="009C34BD"/>
    <w:rsid w:val="009C49F9"/>
    <w:rsid w:val="009E605D"/>
    <w:rsid w:val="00A0158C"/>
    <w:rsid w:val="00A04FB2"/>
    <w:rsid w:val="00A26DDA"/>
    <w:rsid w:val="00A314C4"/>
    <w:rsid w:val="00A32AA1"/>
    <w:rsid w:val="00A352D6"/>
    <w:rsid w:val="00A57E16"/>
    <w:rsid w:val="00A60285"/>
    <w:rsid w:val="00A6036D"/>
    <w:rsid w:val="00A63D05"/>
    <w:rsid w:val="00A6711B"/>
    <w:rsid w:val="00A75E2A"/>
    <w:rsid w:val="00A81E29"/>
    <w:rsid w:val="00A84D2D"/>
    <w:rsid w:val="00A852FA"/>
    <w:rsid w:val="00A9232A"/>
    <w:rsid w:val="00A94664"/>
    <w:rsid w:val="00AA1506"/>
    <w:rsid w:val="00AA3D82"/>
    <w:rsid w:val="00AC2BF5"/>
    <w:rsid w:val="00AD216B"/>
    <w:rsid w:val="00AD65D9"/>
    <w:rsid w:val="00AE1F9A"/>
    <w:rsid w:val="00AE2601"/>
    <w:rsid w:val="00AE6419"/>
    <w:rsid w:val="00AF68EE"/>
    <w:rsid w:val="00B16F4D"/>
    <w:rsid w:val="00B26B88"/>
    <w:rsid w:val="00B429B5"/>
    <w:rsid w:val="00B5027C"/>
    <w:rsid w:val="00B51F95"/>
    <w:rsid w:val="00B5277C"/>
    <w:rsid w:val="00B53944"/>
    <w:rsid w:val="00B6070A"/>
    <w:rsid w:val="00B65F39"/>
    <w:rsid w:val="00B67AAE"/>
    <w:rsid w:val="00B73722"/>
    <w:rsid w:val="00B73D51"/>
    <w:rsid w:val="00B76D61"/>
    <w:rsid w:val="00B82326"/>
    <w:rsid w:val="00B8554F"/>
    <w:rsid w:val="00B8637D"/>
    <w:rsid w:val="00B92DAE"/>
    <w:rsid w:val="00BA5BEC"/>
    <w:rsid w:val="00BB2F25"/>
    <w:rsid w:val="00BB5629"/>
    <w:rsid w:val="00BB5BEC"/>
    <w:rsid w:val="00BB5EA5"/>
    <w:rsid w:val="00BC1A60"/>
    <w:rsid w:val="00BC3899"/>
    <w:rsid w:val="00BC44F2"/>
    <w:rsid w:val="00BD1887"/>
    <w:rsid w:val="00BD3E08"/>
    <w:rsid w:val="00BD500D"/>
    <w:rsid w:val="00BE44AA"/>
    <w:rsid w:val="00BF50A3"/>
    <w:rsid w:val="00C0167D"/>
    <w:rsid w:val="00C0362E"/>
    <w:rsid w:val="00C124B3"/>
    <w:rsid w:val="00C353FE"/>
    <w:rsid w:val="00C42150"/>
    <w:rsid w:val="00C47B01"/>
    <w:rsid w:val="00C5728F"/>
    <w:rsid w:val="00C71032"/>
    <w:rsid w:val="00CB1D55"/>
    <w:rsid w:val="00CD047A"/>
    <w:rsid w:val="00CD5DDA"/>
    <w:rsid w:val="00CE18EC"/>
    <w:rsid w:val="00CF0C2C"/>
    <w:rsid w:val="00CF765F"/>
    <w:rsid w:val="00D02F5D"/>
    <w:rsid w:val="00D0735F"/>
    <w:rsid w:val="00D11760"/>
    <w:rsid w:val="00D20F79"/>
    <w:rsid w:val="00D23130"/>
    <w:rsid w:val="00D3593A"/>
    <w:rsid w:val="00D60EA9"/>
    <w:rsid w:val="00D66787"/>
    <w:rsid w:val="00D66B28"/>
    <w:rsid w:val="00D75877"/>
    <w:rsid w:val="00D7734A"/>
    <w:rsid w:val="00D8416B"/>
    <w:rsid w:val="00D8655F"/>
    <w:rsid w:val="00D871E3"/>
    <w:rsid w:val="00D93C35"/>
    <w:rsid w:val="00D93C70"/>
    <w:rsid w:val="00DB725B"/>
    <w:rsid w:val="00DC1074"/>
    <w:rsid w:val="00DC5B03"/>
    <w:rsid w:val="00DD5080"/>
    <w:rsid w:val="00DD79A4"/>
    <w:rsid w:val="00DF0316"/>
    <w:rsid w:val="00DF4E5B"/>
    <w:rsid w:val="00DF6AF3"/>
    <w:rsid w:val="00E0036B"/>
    <w:rsid w:val="00E052DC"/>
    <w:rsid w:val="00E13835"/>
    <w:rsid w:val="00E1416D"/>
    <w:rsid w:val="00E337CF"/>
    <w:rsid w:val="00E3560C"/>
    <w:rsid w:val="00E356C6"/>
    <w:rsid w:val="00E4508E"/>
    <w:rsid w:val="00E45FCB"/>
    <w:rsid w:val="00E50769"/>
    <w:rsid w:val="00E7323E"/>
    <w:rsid w:val="00E826AF"/>
    <w:rsid w:val="00E83DAA"/>
    <w:rsid w:val="00E86D0C"/>
    <w:rsid w:val="00EA40AD"/>
    <w:rsid w:val="00EC5196"/>
    <w:rsid w:val="00EF433D"/>
    <w:rsid w:val="00EF60B5"/>
    <w:rsid w:val="00F108CD"/>
    <w:rsid w:val="00F22986"/>
    <w:rsid w:val="00F44C92"/>
    <w:rsid w:val="00F476CA"/>
    <w:rsid w:val="00F54022"/>
    <w:rsid w:val="00F804F2"/>
    <w:rsid w:val="00F83122"/>
    <w:rsid w:val="00F930A3"/>
    <w:rsid w:val="00F96049"/>
    <w:rsid w:val="00F97B7D"/>
    <w:rsid w:val="00FA0ABA"/>
    <w:rsid w:val="00FB01F3"/>
    <w:rsid w:val="00FC765C"/>
    <w:rsid w:val="00FD6D4E"/>
    <w:rsid w:val="00FD7240"/>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A4"/>
    <w:pPr>
      <w:spacing w:line="240" w:lineRule="auto"/>
    </w:pPr>
  </w:style>
  <w:style w:type="paragraph" w:styleId="ListParagraph">
    <w:name w:val="List Paragraph"/>
    <w:basedOn w:val="Normal"/>
    <w:uiPriority w:val="34"/>
    <w:qFormat/>
    <w:rsid w:val="006C75E3"/>
    <w:pPr>
      <w:ind w:left="720"/>
      <w:contextualSpacing/>
    </w:pPr>
  </w:style>
  <w:style w:type="character" w:styleId="EndnoteReference">
    <w:name w:val="endnote reference"/>
    <w:rsid w:val="007C427C"/>
    <w:rPr>
      <w:vertAlign w:val="superscript"/>
    </w:rPr>
  </w:style>
  <w:style w:type="paragraph" w:customStyle="1" w:styleId="NoParagraphStyle">
    <w:name w:val="[No Paragraph Style]"/>
    <w:rsid w:val="00B429B5"/>
    <w:pPr>
      <w:widowControl w:val="0"/>
      <w:autoSpaceDE w:val="0"/>
      <w:autoSpaceDN w:val="0"/>
      <w:adjustRightInd w:val="0"/>
      <w:spacing w:line="288" w:lineRule="auto"/>
      <w:textAlignment w:val="center"/>
    </w:pPr>
    <w:rPr>
      <w:rFonts w:ascii="Times LT Std Regular" w:eastAsia="Times New Roman" w:hAnsi="Times LT Std Regular" w:cs="Times LT Std Regular"/>
      <w:color w:val="000000"/>
      <w:sz w:val="24"/>
      <w:szCs w:val="24"/>
    </w:rPr>
  </w:style>
  <w:style w:type="paragraph" w:customStyle="1" w:styleId="PQ">
    <w:name w:val="PQ"/>
    <w:rsid w:val="0083517C"/>
    <w:pPr>
      <w:tabs>
        <w:tab w:val="left" w:pos="432"/>
      </w:tabs>
      <w:overflowPunct w:val="0"/>
      <w:autoSpaceDE w:val="0"/>
      <w:autoSpaceDN w:val="0"/>
      <w:adjustRightInd w:val="0"/>
      <w:spacing w:line="240" w:lineRule="auto"/>
      <w:ind w:left="432" w:hanging="432"/>
      <w:jc w:val="both"/>
      <w:textAlignment w:val="baseline"/>
    </w:pPr>
    <w:rPr>
      <w:rFonts w:ascii="Minion Pro" w:eastAsia="Times New Roman" w:hAnsi="Minion Pro" w:cs="Times New Roman"/>
      <w:noProof/>
      <w:sz w:val="16"/>
      <w:szCs w:val="20"/>
    </w:rPr>
  </w:style>
  <w:style w:type="paragraph" w:customStyle="1" w:styleId="HB">
    <w:name w:val="HB"/>
    <w:rsid w:val="007470A8"/>
    <w:pPr>
      <w:overflowPunct w:val="0"/>
      <w:autoSpaceDE w:val="0"/>
      <w:autoSpaceDN w:val="0"/>
      <w:adjustRightInd w:val="0"/>
      <w:spacing w:after="240" w:line="240" w:lineRule="auto"/>
      <w:jc w:val="center"/>
      <w:textAlignment w:val="baseline"/>
    </w:pPr>
    <w:rPr>
      <w:rFonts w:ascii="Arial" w:eastAsia="Times New Roman" w:hAnsi="Arial" w:cs="Times New Roman"/>
      <w:b/>
      <w:noProof/>
      <w:sz w:val="28"/>
      <w:szCs w:val="20"/>
    </w:rPr>
  </w:style>
  <w:style w:type="paragraph" w:customStyle="1" w:styleId="PA">
    <w:name w:val="PA"/>
    <w:rsid w:val="000A5784"/>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paragraph" w:customStyle="1" w:styleId="TableHead">
    <w:name w:val="Table Head"/>
    <w:basedOn w:val="NoParagraphStyle"/>
    <w:uiPriority w:val="99"/>
    <w:rsid w:val="000A5784"/>
    <w:pPr>
      <w:suppressAutoHyphens/>
    </w:pPr>
    <w:rPr>
      <w:rFonts w:ascii="Helvetica LT Std Bold Condensed" w:hAnsi="Helvetica LT Std Bold Condensed" w:cs="Helvetica LT Std Bold Condensed"/>
      <w:b/>
      <w:bCs/>
      <w:color w:val="FFFFFF"/>
      <w:sz w:val="20"/>
      <w:szCs w:val="20"/>
    </w:rPr>
  </w:style>
  <w:style w:type="paragraph" w:customStyle="1" w:styleId="PK">
    <w:name w:val="PK"/>
    <w:rsid w:val="003914E0"/>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paragraph" w:customStyle="1" w:styleId="PG">
    <w:name w:val="PG"/>
    <w:rsid w:val="003914E0"/>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PC">
    <w:name w:val="PC"/>
    <w:rsid w:val="005263F7"/>
    <w:pPr>
      <w:tabs>
        <w:tab w:val="left" w:pos="720"/>
      </w:tabs>
      <w:overflowPunct w:val="0"/>
      <w:autoSpaceDE w:val="0"/>
      <w:autoSpaceDN w:val="0"/>
      <w:adjustRightInd w:val="0"/>
      <w:spacing w:after="240" w:line="240" w:lineRule="auto"/>
      <w:ind w:left="720" w:hanging="360"/>
      <w:jc w:val="both"/>
      <w:textAlignment w:val="baseline"/>
    </w:pPr>
    <w:rPr>
      <w:rFonts w:ascii="Minion Pro" w:eastAsia="Times New Roman" w:hAnsi="Minion Pro" w:cs="Times New Roman"/>
      <w:noProof/>
      <w:sz w:val="20"/>
      <w:szCs w:val="20"/>
    </w:rPr>
  </w:style>
  <w:style w:type="paragraph" w:customStyle="1" w:styleId="PF">
    <w:name w:val="PF"/>
    <w:rsid w:val="00E3560C"/>
    <w:pPr>
      <w:tabs>
        <w:tab w:val="left" w:pos="1296"/>
      </w:tabs>
      <w:overflowPunct w:val="0"/>
      <w:autoSpaceDE w:val="0"/>
      <w:autoSpaceDN w:val="0"/>
      <w:adjustRightInd w:val="0"/>
      <w:spacing w:after="240" w:line="240" w:lineRule="auto"/>
      <w:ind w:left="1296" w:hanging="432"/>
      <w:jc w:val="both"/>
      <w:textAlignment w:val="baseline"/>
    </w:pPr>
    <w:rPr>
      <w:rFonts w:ascii="Minion Pro" w:eastAsia="Times New Roman" w:hAnsi="Minion Pro" w:cs="Times New Roman"/>
      <w:sz w:val="20"/>
      <w:szCs w:val="20"/>
    </w:rPr>
  </w:style>
  <w:style w:type="paragraph" w:customStyle="1" w:styleId="TableBody">
    <w:name w:val="Table Body"/>
    <w:basedOn w:val="NoParagraphStyle"/>
    <w:uiPriority w:val="99"/>
    <w:rsid w:val="00492F45"/>
    <w:pPr>
      <w:suppressAutoHyphens/>
    </w:pPr>
    <w:rPr>
      <w:rFonts w:ascii="Helvetica LT Std Condensed" w:hAnsi="Helvetica LT Std Condensed" w:cs="Helvetica LT Std Condensed"/>
      <w:sz w:val="20"/>
      <w:szCs w:val="20"/>
    </w:rPr>
  </w:style>
  <w:style w:type="paragraph" w:customStyle="1" w:styleId="HE">
    <w:name w:val="HE"/>
    <w:rsid w:val="003B56BE"/>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noProof/>
      <w:sz w:val="20"/>
      <w:szCs w:val="20"/>
    </w:rPr>
  </w:style>
  <w:style w:type="paragraph" w:customStyle="1" w:styleId="PD">
    <w:name w:val="PD"/>
    <w:rsid w:val="003B56BE"/>
    <w:pPr>
      <w:overflowPunct w:val="0"/>
      <w:autoSpaceDE w:val="0"/>
      <w:autoSpaceDN w:val="0"/>
      <w:adjustRightInd w:val="0"/>
      <w:spacing w:after="240" w:line="240" w:lineRule="auto"/>
      <w:ind w:left="864" w:firstLine="432"/>
      <w:jc w:val="both"/>
      <w:textAlignment w:val="baseline"/>
    </w:pPr>
    <w:rPr>
      <w:rFonts w:ascii="Minion Pro" w:eastAsia="Times New Roman" w:hAnsi="Minion Pro" w:cs="Times New Roman"/>
      <w:noProof/>
      <w:sz w:val="20"/>
      <w:szCs w:val="20"/>
    </w:rPr>
  </w:style>
  <w:style w:type="paragraph" w:customStyle="1" w:styleId="PB">
    <w:name w:val="PB"/>
    <w:rsid w:val="002B5946"/>
    <w:pPr>
      <w:overflowPunct w:val="0"/>
      <w:autoSpaceDE w:val="0"/>
      <w:autoSpaceDN w:val="0"/>
      <w:adjustRightInd w:val="0"/>
      <w:spacing w:after="240" w:line="240" w:lineRule="auto"/>
      <w:jc w:val="both"/>
      <w:textAlignment w:val="baseline"/>
    </w:pPr>
    <w:rPr>
      <w:rFonts w:ascii="Minion Pro" w:eastAsia="Times New Roman" w:hAnsi="Minion Pro" w:cs="Times New Roman"/>
      <w:noProof/>
      <w:sz w:val="20"/>
      <w:szCs w:val="20"/>
    </w:rPr>
  </w:style>
  <w:style w:type="paragraph" w:styleId="FootnoteText">
    <w:name w:val="footnote text"/>
    <w:basedOn w:val="Normal"/>
    <w:link w:val="FootnoteTextChar"/>
    <w:uiPriority w:val="99"/>
    <w:semiHidden/>
    <w:unhideWhenUsed/>
    <w:rsid w:val="00B8637D"/>
    <w:rPr>
      <w:sz w:val="20"/>
      <w:szCs w:val="20"/>
    </w:rPr>
  </w:style>
  <w:style w:type="character" w:customStyle="1" w:styleId="FootnoteTextChar">
    <w:name w:val="Footnote Text Char"/>
    <w:basedOn w:val="DefaultParagraphFont"/>
    <w:link w:val="FootnoteText"/>
    <w:uiPriority w:val="99"/>
    <w:semiHidden/>
    <w:rsid w:val="00B863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637D"/>
    <w:rPr>
      <w:vertAlign w:val="superscript"/>
    </w:rPr>
  </w:style>
  <w:style w:type="paragraph" w:styleId="BalloonText">
    <w:name w:val="Balloon Text"/>
    <w:basedOn w:val="Normal"/>
    <w:link w:val="BalloonTextChar"/>
    <w:uiPriority w:val="99"/>
    <w:semiHidden/>
    <w:unhideWhenUsed/>
    <w:rsid w:val="00B8637D"/>
    <w:rPr>
      <w:rFonts w:ascii="Tahoma" w:hAnsi="Tahoma" w:cs="Tahoma"/>
      <w:sz w:val="16"/>
      <w:szCs w:val="16"/>
    </w:rPr>
  </w:style>
  <w:style w:type="character" w:customStyle="1" w:styleId="BalloonTextChar">
    <w:name w:val="Balloon Text Char"/>
    <w:basedOn w:val="DefaultParagraphFont"/>
    <w:link w:val="BalloonText"/>
    <w:uiPriority w:val="99"/>
    <w:semiHidden/>
    <w:rsid w:val="00B863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2E4E"/>
    <w:rPr>
      <w:sz w:val="16"/>
      <w:szCs w:val="16"/>
    </w:rPr>
  </w:style>
  <w:style w:type="paragraph" w:styleId="CommentText">
    <w:name w:val="annotation text"/>
    <w:basedOn w:val="Normal"/>
    <w:link w:val="CommentTextChar"/>
    <w:uiPriority w:val="99"/>
    <w:semiHidden/>
    <w:unhideWhenUsed/>
    <w:rsid w:val="00092E4E"/>
    <w:rPr>
      <w:sz w:val="20"/>
      <w:szCs w:val="20"/>
    </w:rPr>
  </w:style>
  <w:style w:type="character" w:customStyle="1" w:styleId="CommentTextChar">
    <w:name w:val="Comment Text Char"/>
    <w:basedOn w:val="DefaultParagraphFont"/>
    <w:link w:val="CommentText"/>
    <w:uiPriority w:val="99"/>
    <w:semiHidden/>
    <w:rsid w:val="00092E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E4E"/>
    <w:rPr>
      <w:b/>
      <w:bCs/>
    </w:rPr>
  </w:style>
  <w:style w:type="character" w:customStyle="1" w:styleId="CommentSubjectChar">
    <w:name w:val="Comment Subject Char"/>
    <w:basedOn w:val="CommentTextChar"/>
    <w:link w:val="CommentSubject"/>
    <w:uiPriority w:val="99"/>
    <w:semiHidden/>
    <w:rsid w:val="00092E4E"/>
    <w:rPr>
      <w:rFonts w:ascii="Times New Roman" w:eastAsia="Times New Roman" w:hAnsi="Times New Roman" w:cs="Times New Roman"/>
      <w:b/>
      <w:bCs/>
      <w:sz w:val="20"/>
      <w:szCs w:val="20"/>
    </w:rPr>
  </w:style>
  <w:style w:type="character" w:customStyle="1" w:styleId="st">
    <w:name w:val="st"/>
    <w:basedOn w:val="DefaultParagraphFont"/>
    <w:rsid w:val="0083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A4"/>
    <w:pPr>
      <w:spacing w:line="240" w:lineRule="auto"/>
    </w:pPr>
  </w:style>
  <w:style w:type="paragraph" w:styleId="ListParagraph">
    <w:name w:val="List Paragraph"/>
    <w:basedOn w:val="Normal"/>
    <w:uiPriority w:val="34"/>
    <w:qFormat/>
    <w:rsid w:val="006C75E3"/>
    <w:pPr>
      <w:ind w:left="720"/>
      <w:contextualSpacing/>
    </w:pPr>
  </w:style>
  <w:style w:type="character" w:styleId="EndnoteReference">
    <w:name w:val="endnote reference"/>
    <w:rsid w:val="007C427C"/>
    <w:rPr>
      <w:vertAlign w:val="superscript"/>
    </w:rPr>
  </w:style>
  <w:style w:type="paragraph" w:customStyle="1" w:styleId="NoParagraphStyle">
    <w:name w:val="[No Paragraph Style]"/>
    <w:rsid w:val="00B429B5"/>
    <w:pPr>
      <w:widowControl w:val="0"/>
      <w:autoSpaceDE w:val="0"/>
      <w:autoSpaceDN w:val="0"/>
      <w:adjustRightInd w:val="0"/>
      <w:spacing w:line="288" w:lineRule="auto"/>
      <w:textAlignment w:val="center"/>
    </w:pPr>
    <w:rPr>
      <w:rFonts w:ascii="Times LT Std Regular" w:eastAsia="Times New Roman" w:hAnsi="Times LT Std Regular" w:cs="Times LT Std Regular"/>
      <w:color w:val="000000"/>
      <w:sz w:val="24"/>
      <w:szCs w:val="24"/>
    </w:rPr>
  </w:style>
  <w:style w:type="paragraph" w:customStyle="1" w:styleId="PQ">
    <w:name w:val="PQ"/>
    <w:rsid w:val="0083517C"/>
    <w:pPr>
      <w:tabs>
        <w:tab w:val="left" w:pos="432"/>
      </w:tabs>
      <w:overflowPunct w:val="0"/>
      <w:autoSpaceDE w:val="0"/>
      <w:autoSpaceDN w:val="0"/>
      <w:adjustRightInd w:val="0"/>
      <w:spacing w:line="240" w:lineRule="auto"/>
      <w:ind w:left="432" w:hanging="432"/>
      <w:jc w:val="both"/>
      <w:textAlignment w:val="baseline"/>
    </w:pPr>
    <w:rPr>
      <w:rFonts w:ascii="Minion Pro" w:eastAsia="Times New Roman" w:hAnsi="Minion Pro" w:cs="Times New Roman"/>
      <w:noProof/>
      <w:sz w:val="16"/>
      <w:szCs w:val="20"/>
    </w:rPr>
  </w:style>
  <w:style w:type="paragraph" w:customStyle="1" w:styleId="HB">
    <w:name w:val="HB"/>
    <w:rsid w:val="007470A8"/>
    <w:pPr>
      <w:overflowPunct w:val="0"/>
      <w:autoSpaceDE w:val="0"/>
      <w:autoSpaceDN w:val="0"/>
      <w:adjustRightInd w:val="0"/>
      <w:spacing w:after="240" w:line="240" w:lineRule="auto"/>
      <w:jc w:val="center"/>
      <w:textAlignment w:val="baseline"/>
    </w:pPr>
    <w:rPr>
      <w:rFonts w:ascii="Arial" w:eastAsia="Times New Roman" w:hAnsi="Arial" w:cs="Times New Roman"/>
      <w:b/>
      <w:noProof/>
      <w:sz w:val="28"/>
      <w:szCs w:val="20"/>
    </w:rPr>
  </w:style>
  <w:style w:type="paragraph" w:customStyle="1" w:styleId="PA">
    <w:name w:val="PA"/>
    <w:rsid w:val="000A5784"/>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paragraph" w:customStyle="1" w:styleId="TableHead">
    <w:name w:val="Table Head"/>
    <w:basedOn w:val="NoParagraphStyle"/>
    <w:uiPriority w:val="99"/>
    <w:rsid w:val="000A5784"/>
    <w:pPr>
      <w:suppressAutoHyphens/>
    </w:pPr>
    <w:rPr>
      <w:rFonts w:ascii="Helvetica LT Std Bold Condensed" w:hAnsi="Helvetica LT Std Bold Condensed" w:cs="Helvetica LT Std Bold Condensed"/>
      <w:b/>
      <w:bCs/>
      <w:color w:val="FFFFFF"/>
      <w:sz w:val="20"/>
      <w:szCs w:val="20"/>
    </w:rPr>
  </w:style>
  <w:style w:type="paragraph" w:customStyle="1" w:styleId="PK">
    <w:name w:val="PK"/>
    <w:rsid w:val="003914E0"/>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paragraph" w:customStyle="1" w:styleId="PG">
    <w:name w:val="PG"/>
    <w:rsid w:val="003914E0"/>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PC">
    <w:name w:val="PC"/>
    <w:rsid w:val="005263F7"/>
    <w:pPr>
      <w:tabs>
        <w:tab w:val="left" w:pos="720"/>
      </w:tabs>
      <w:overflowPunct w:val="0"/>
      <w:autoSpaceDE w:val="0"/>
      <w:autoSpaceDN w:val="0"/>
      <w:adjustRightInd w:val="0"/>
      <w:spacing w:after="240" w:line="240" w:lineRule="auto"/>
      <w:ind w:left="720" w:hanging="360"/>
      <w:jc w:val="both"/>
      <w:textAlignment w:val="baseline"/>
    </w:pPr>
    <w:rPr>
      <w:rFonts w:ascii="Minion Pro" w:eastAsia="Times New Roman" w:hAnsi="Minion Pro" w:cs="Times New Roman"/>
      <w:noProof/>
      <w:sz w:val="20"/>
      <w:szCs w:val="20"/>
    </w:rPr>
  </w:style>
  <w:style w:type="paragraph" w:customStyle="1" w:styleId="PF">
    <w:name w:val="PF"/>
    <w:rsid w:val="00E3560C"/>
    <w:pPr>
      <w:tabs>
        <w:tab w:val="left" w:pos="1296"/>
      </w:tabs>
      <w:overflowPunct w:val="0"/>
      <w:autoSpaceDE w:val="0"/>
      <w:autoSpaceDN w:val="0"/>
      <w:adjustRightInd w:val="0"/>
      <w:spacing w:after="240" w:line="240" w:lineRule="auto"/>
      <w:ind w:left="1296" w:hanging="432"/>
      <w:jc w:val="both"/>
      <w:textAlignment w:val="baseline"/>
    </w:pPr>
    <w:rPr>
      <w:rFonts w:ascii="Minion Pro" w:eastAsia="Times New Roman" w:hAnsi="Minion Pro" w:cs="Times New Roman"/>
      <w:sz w:val="20"/>
      <w:szCs w:val="20"/>
    </w:rPr>
  </w:style>
  <w:style w:type="paragraph" w:customStyle="1" w:styleId="TableBody">
    <w:name w:val="Table Body"/>
    <w:basedOn w:val="NoParagraphStyle"/>
    <w:uiPriority w:val="99"/>
    <w:rsid w:val="00492F45"/>
    <w:pPr>
      <w:suppressAutoHyphens/>
    </w:pPr>
    <w:rPr>
      <w:rFonts w:ascii="Helvetica LT Std Condensed" w:hAnsi="Helvetica LT Std Condensed" w:cs="Helvetica LT Std Condensed"/>
      <w:sz w:val="20"/>
      <w:szCs w:val="20"/>
    </w:rPr>
  </w:style>
  <w:style w:type="paragraph" w:customStyle="1" w:styleId="HE">
    <w:name w:val="HE"/>
    <w:rsid w:val="003B56BE"/>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noProof/>
      <w:sz w:val="20"/>
      <w:szCs w:val="20"/>
    </w:rPr>
  </w:style>
  <w:style w:type="paragraph" w:customStyle="1" w:styleId="PD">
    <w:name w:val="PD"/>
    <w:rsid w:val="003B56BE"/>
    <w:pPr>
      <w:overflowPunct w:val="0"/>
      <w:autoSpaceDE w:val="0"/>
      <w:autoSpaceDN w:val="0"/>
      <w:adjustRightInd w:val="0"/>
      <w:spacing w:after="240" w:line="240" w:lineRule="auto"/>
      <w:ind w:left="864" w:firstLine="432"/>
      <w:jc w:val="both"/>
      <w:textAlignment w:val="baseline"/>
    </w:pPr>
    <w:rPr>
      <w:rFonts w:ascii="Minion Pro" w:eastAsia="Times New Roman" w:hAnsi="Minion Pro" w:cs="Times New Roman"/>
      <w:noProof/>
      <w:sz w:val="20"/>
      <w:szCs w:val="20"/>
    </w:rPr>
  </w:style>
  <w:style w:type="paragraph" w:customStyle="1" w:styleId="PB">
    <w:name w:val="PB"/>
    <w:rsid w:val="002B5946"/>
    <w:pPr>
      <w:overflowPunct w:val="0"/>
      <w:autoSpaceDE w:val="0"/>
      <w:autoSpaceDN w:val="0"/>
      <w:adjustRightInd w:val="0"/>
      <w:spacing w:after="240" w:line="240" w:lineRule="auto"/>
      <w:jc w:val="both"/>
      <w:textAlignment w:val="baseline"/>
    </w:pPr>
    <w:rPr>
      <w:rFonts w:ascii="Minion Pro" w:eastAsia="Times New Roman" w:hAnsi="Minion Pro" w:cs="Times New Roman"/>
      <w:noProof/>
      <w:sz w:val="20"/>
      <w:szCs w:val="20"/>
    </w:rPr>
  </w:style>
  <w:style w:type="paragraph" w:styleId="FootnoteText">
    <w:name w:val="footnote text"/>
    <w:basedOn w:val="Normal"/>
    <w:link w:val="FootnoteTextChar"/>
    <w:uiPriority w:val="99"/>
    <w:semiHidden/>
    <w:unhideWhenUsed/>
    <w:rsid w:val="00B8637D"/>
    <w:rPr>
      <w:sz w:val="20"/>
      <w:szCs w:val="20"/>
    </w:rPr>
  </w:style>
  <w:style w:type="character" w:customStyle="1" w:styleId="FootnoteTextChar">
    <w:name w:val="Footnote Text Char"/>
    <w:basedOn w:val="DefaultParagraphFont"/>
    <w:link w:val="FootnoteText"/>
    <w:uiPriority w:val="99"/>
    <w:semiHidden/>
    <w:rsid w:val="00B863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637D"/>
    <w:rPr>
      <w:vertAlign w:val="superscript"/>
    </w:rPr>
  </w:style>
  <w:style w:type="paragraph" w:styleId="BalloonText">
    <w:name w:val="Balloon Text"/>
    <w:basedOn w:val="Normal"/>
    <w:link w:val="BalloonTextChar"/>
    <w:uiPriority w:val="99"/>
    <w:semiHidden/>
    <w:unhideWhenUsed/>
    <w:rsid w:val="00B8637D"/>
    <w:rPr>
      <w:rFonts w:ascii="Tahoma" w:hAnsi="Tahoma" w:cs="Tahoma"/>
      <w:sz w:val="16"/>
      <w:szCs w:val="16"/>
    </w:rPr>
  </w:style>
  <w:style w:type="character" w:customStyle="1" w:styleId="BalloonTextChar">
    <w:name w:val="Balloon Text Char"/>
    <w:basedOn w:val="DefaultParagraphFont"/>
    <w:link w:val="BalloonText"/>
    <w:uiPriority w:val="99"/>
    <w:semiHidden/>
    <w:rsid w:val="00B863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2E4E"/>
    <w:rPr>
      <w:sz w:val="16"/>
      <w:szCs w:val="16"/>
    </w:rPr>
  </w:style>
  <w:style w:type="paragraph" w:styleId="CommentText">
    <w:name w:val="annotation text"/>
    <w:basedOn w:val="Normal"/>
    <w:link w:val="CommentTextChar"/>
    <w:uiPriority w:val="99"/>
    <w:semiHidden/>
    <w:unhideWhenUsed/>
    <w:rsid w:val="00092E4E"/>
    <w:rPr>
      <w:sz w:val="20"/>
      <w:szCs w:val="20"/>
    </w:rPr>
  </w:style>
  <w:style w:type="character" w:customStyle="1" w:styleId="CommentTextChar">
    <w:name w:val="Comment Text Char"/>
    <w:basedOn w:val="DefaultParagraphFont"/>
    <w:link w:val="CommentText"/>
    <w:uiPriority w:val="99"/>
    <w:semiHidden/>
    <w:rsid w:val="00092E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E4E"/>
    <w:rPr>
      <w:b/>
      <w:bCs/>
    </w:rPr>
  </w:style>
  <w:style w:type="character" w:customStyle="1" w:styleId="CommentSubjectChar">
    <w:name w:val="Comment Subject Char"/>
    <w:basedOn w:val="CommentTextChar"/>
    <w:link w:val="CommentSubject"/>
    <w:uiPriority w:val="99"/>
    <w:semiHidden/>
    <w:rsid w:val="00092E4E"/>
    <w:rPr>
      <w:rFonts w:ascii="Times New Roman" w:eastAsia="Times New Roman" w:hAnsi="Times New Roman" w:cs="Times New Roman"/>
      <w:b/>
      <w:bCs/>
      <w:sz w:val="20"/>
      <w:szCs w:val="20"/>
    </w:rPr>
  </w:style>
  <w:style w:type="character" w:customStyle="1" w:styleId="st">
    <w:name w:val="st"/>
    <w:basedOn w:val="DefaultParagraphFont"/>
    <w:rsid w:val="0083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2E2A-9052-4E15-8D23-F9F47748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8530</Words>
  <Characters>48627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rcline</cp:lastModifiedBy>
  <cp:revision>2</cp:revision>
  <dcterms:created xsi:type="dcterms:W3CDTF">2014-08-07T15:23:00Z</dcterms:created>
  <dcterms:modified xsi:type="dcterms:W3CDTF">2014-08-07T15:23:00Z</dcterms:modified>
</cp:coreProperties>
</file>