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BC127" w14:textId="77777777" w:rsidR="004667A8" w:rsidRDefault="004667A8">
      <w:pPr>
        <w:pStyle w:val="wPA"/>
        <w:rPr>
          <w:b/>
        </w:rPr>
      </w:pPr>
      <w:r>
        <w:rPr>
          <w:b/>
        </w:rPr>
        <w:t>8806. What is a buy-sell agreement?</w:t>
      </w:r>
    </w:p>
    <w:p w14:paraId="1D9DA161" w14:textId="76A2683E" w:rsidR="004E2158" w:rsidRDefault="004667A8">
      <w:pPr>
        <w:pStyle w:val="wPA"/>
      </w:pPr>
      <w:r>
        <w:t>Buy-sell agreements are often used in business succession planning where the business is owned by a relatively small group of owners who would otherwise have a limited market in which to sell their business interests. A buy-sell agreement can provide the remaining shareholders or co-owners with the option</w:t>
      </w:r>
      <w:r w:rsidR="004E2158">
        <w:t xml:space="preserve"> and/or requirement</w:t>
      </w:r>
      <w:r>
        <w:t xml:space="preserve"> of purchasing the business interests of a deceased or withdrawing co-owner before the business interest is sold to a third party. </w:t>
      </w:r>
      <w:r w:rsidR="000D0EE2">
        <w:t xml:space="preserve">This power </w:t>
      </w:r>
      <w:r w:rsidR="004E2158">
        <w:t xml:space="preserve">is important </w:t>
      </w:r>
      <w:r w:rsidR="000D0EE2">
        <w:t>because i</w:t>
      </w:r>
      <w:r w:rsidR="00490C22">
        <w:t>t</w:t>
      </w:r>
      <w:bookmarkStart w:id="0" w:name="_GoBack"/>
      <w:bookmarkEnd w:id="0"/>
      <w:r w:rsidR="000D0EE2">
        <w:t xml:space="preserve"> can </w:t>
      </w:r>
      <w:r w:rsidR="004E2158">
        <w:t>control how the business interest is to be disposed of</w:t>
      </w:r>
      <w:r w:rsidR="000D0EE2">
        <w:t xml:space="preserve"> and </w:t>
      </w:r>
      <w:r w:rsidR="004E2158">
        <w:t>who will become the</w:t>
      </w:r>
      <w:r w:rsidR="00490C22">
        <w:t xml:space="preserve"> business owner’s</w:t>
      </w:r>
      <w:r w:rsidR="004E2158">
        <w:t xml:space="preserve"> new partner in business.</w:t>
      </w:r>
    </w:p>
    <w:p w14:paraId="4344C028" w14:textId="77777777" w:rsidR="004667A8" w:rsidRDefault="004667A8">
      <w:pPr>
        <w:pStyle w:val="wPA"/>
      </w:pPr>
      <w:r>
        <w:t>Business entities such as closely held corporations (Q 8776), LLCs (Q 8797), and partnerships (Q 8761) frequently rely upon buy-sell agreements when creating future business succession plans. A buy-sell agreement is essentially a contract to buy and sell a departing business owner’s interests in a business at some point in the future, usually upon the occurrence of one or more specified events.</w:t>
      </w:r>
      <w:r>
        <w:rPr>
          <w:rStyle w:val="wFootnoteReference"/>
        </w:rPr>
        <w:footnoteReference w:id="1"/>
      </w:r>
    </w:p>
    <w:p w14:paraId="3F8CA808" w14:textId="77777777" w:rsidR="004667A8" w:rsidRDefault="004667A8">
      <w:pPr>
        <w:pStyle w:val="wPA"/>
      </w:pPr>
      <w:r>
        <w:t xml:space="preserve">A buy-sell agreement is typically structured as either a cross-purchase agreement or a redemption agreement. A cross-purchase agreement is an agreement among co-owners to purchase each other’s business interests upon the death or other withdrawal of one or more owners from the business. These agreements typically specify a predetermined purchase price and, in some cases, are funded by life insurance purchased to insure the lives of the various business owners. </w:t>
      </w:r>
    </w:p>
    <w:p w14:paraId="12170B28" w14:textId="77777777" w:rsidR="004667A8" w:rsidRDefault="004667A8">
      <w:pPr>
        <w:pStyle w:val="wPA"/>
      </w:pPr>
      <w:r>
        <w:t>A redemption agreement allows the business entity to purchase the interest of a deceased or withdrawing business owner upon the occurrence of previously agreed upon “triggering events.” See Q 8811 for a discussion of the different considerations that apply depending upon whether the agreement is structured as a cross-purchase or redemption agreement.</w:t>
      </w:r>
    </w:p>
    <w:p w14:paraId="1913C59D" w14:textId="77777777" w:rsidR="004667A8" w:rsidRDefault="004667A8">
      <w:pPr>
        <w:pStyle w:val="wPA"/>
      </w:pPr>
      <w:r>
        <w:t>It is also possible to structure a buy-sell agreement so that it combines features of the cross-purchase agreement and redemption agreement.</w:t>
      </w:r>
      <w:r>
        <w:rPr>
          <w:rStyle w:val="wFootnoteReference"/>
        </w:rPr>
        <w:footnoteReference w:id="2"/>
      </w:r>
      <w:r>
        <w:t xml:space="preserve"> In these situations, the buy sell agreement will first provide the entity with the option to purchase the interest; to be followed by the remaining owners having the option to purchase; to be followed by the entity having the requirement to purchase.  In addition, the buy-sell agreement can involve a contract to sell to a third party or another entity. </w:t>
      </w:r>
    </w:p>
    <w:p w14:paraId="2690E7D6" w14:textId="77777777" w:rsidR="004667A8" w:rsidRDefault="004667A8">
      <w:pPr>
        <w:pStyle w:val="wPA"/>
      </w:pPr>
      <w:r>
        <w:t>See Q 8807 for a discussion of the importance of buy-sell agreements in business succession planning. Q 8808 outlines the primary methods for funding a buy-sell agreement and Q 8809 outlines the use of life insurance in funding the agreement. Q 8811 to Q 8813 provide an in-depth analysis of the differences between the redemption and the cross-purchase forms of agreements.</w:t>
      </w:r>
    </w:p>
    <w:p w14:paraId="201AC161" w14:textId="77777777" w:rsidR="004667A8" w:rsidRDefault="004667A8">
      <w:pPr>
        <w:pStyle w:val="wNormal"/>
      </w:pPr>
    </w:p>
    <w:sectPr w:rsidR="004667A8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6F24B" w14:textId="77777777" w:rsidR="00027734" w:rsidRDefault="00027734">
      <w:r>
        <w:separator/>
      </w:r>
    </w:p>
  </w:endnote>
  <w:endnote w:type="continuationSeparator" w:id="0">
    <w:p w14:paraId="74D3E9AA" w14:textId="77777777" w:rsidR="00027734" w:rsidRDefault="0002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Std">
    <w:altName w:val="Cambria"/>
    <w:charset w:val="00"/>
    <w:family w:val="roman"/>
    <w:pitch w:val="variable"/>
    <w:sig w:usb0="00000003" w:usb1="00000000" w:usb2="00000000" w:usb3="00000000" w:csb0="00000001" w:csb1="00000000"/>
  </w:font>
  <w:font w:name="Helvetica LT Std">
    <w:charset w:val="80"/>
    <w:family w:val="swiss"/>
    <w:pitch w:val="variable"/>
    <w:sig w:usb0="00000001" w:usb1="08070000" w:usb2="00000010" w:usb3="00000000" w:csb0="00020000" w:csb1="00000000"/>
  </w:font>
  <w:font w:name="Adobe Caslon Pro">
    <w:altName w:val="Cambri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80"/>
    <w:family w:val="roman"/>
    <w:pitch w:val="variable"/>
    <w:sig w:usb0="00000001" w:usb1="08070000" w:usb2="00000010" w:usb3="00000000" w:csb0="00020000" w:csb1="00000000"/>
  </w:font>
  <w:font w:name="Perpetua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96867" w14:textId="77777777" w:rsidR="00027734" w:rsidRDefault="00027734">
      <w:r>
        <w:separator/>
      </w:r>
    </w:p>
  </w:footnote>
  <w:footnote w:type="continuationSeparator" w:id="0">
    <w:p w14:paraId="21CA2B21" w14:textId="77777777" w:rsidR="00027734" w:rsidRDefault="00027734">
      <w:r>
        <w:continuationSeparator/>
      </w:r>
    </w:p>
  </w:footnote>
  <w:footnote w:id="1">
    <w:p w14:paraId="15702850" w14:textId="77777777" w:rsidR="004667A8" w:rsidRDefault="004667A8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</w:r>
      <w:r>
        <w:rPr>
          <w:i/>
        </w:rPr>
        <w:t>Stephenson v. Drever</w:t>
      </w:r>
      <w:r>
        <w:t>, 16 Cal. 4th 1167 (1997).</w:t>
      </w:r>
    </w:p>
  </w:footnote>
  <w:footnote w:id="2">
    <w:p w14:paraId="0AC754AD" w14:textId="77777777" w:rsidR="004667A8" w:rsidRDefault="004667A8">
      <w:pPr>
        <w:pStyle w:val="wPQ"/>
      </w:pPr>
      <w:r>
        <w:rPr>
          <w:rStyle w:val="FootnoteCharacters"/>
          <w:rFonts w:ascii="Perpetua Std" w:hAnsi="Perpetua Std"/>
        </w:rPr>
        <w:footnoteRef/>
      </w:r>
      <w:r>
        <w:tab/>
        <w:t>.</w:t>
      </w:r>
      <w:r>
        <w:tab/>
        <w:t xml:space="preserve">See </w:t>
      </w:r>
      <w:r>
        <w:rPr>
          <w:i/>
        </w:rPr>
        <w:t>Jacobs v. Commissioner</w:t>
      </w:r>
      <w:r>
        <w:t>, TC Memo 1981-81, Rev. Rul. 69-608, 1969-2 CB 42.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BC7"/>
    <w:rsid w:val="00027734"/>
    <w:rsid w:val="000D0EE2"/>
    <w:rsid w:val="004667A8"/>
    <w:rsid w:val="00490C22"/>
    <w:rsid w:val="004E2158"/>
    <w:rsid w:val="00803FB2"/>
    <w:rsid w:val="00AD7FE5"/>
    <w:rsid w:val="00BC6BC7"/>
    <w:rsid w:val="00BF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AC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PCChar">
    <w:name w:val="wPC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Strong">
    <w:name w:val="wStrong"/>
    <w:rPr>
      <w:b/>
    </w:rPr>
  </w:style>
  <w:style w:type="character" w:customStyle="1" w:styleId="wssit">
    <w:name w:val="wssit"/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eastAsia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eastAsia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eastAsia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eastAsia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  <w:style w:type="paragraph" w:customStyle="1" w:styleId="wpara">
    <w:name w:val="wpara"/>
    <w:basedOn w:val="wNormal"/>
    <w:pPr>
      <w:spacing w:before="100" w:after="100"/>
    </w:pPr>
    <w:rPr>
      <w:rFonts w:ascii="Times New Roman" w:hAnsi="Times New Roman"/>
      <w:sz w:val="24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styleId="FootnoteText">
    <w:name w:val="footnote text"/>
    <w:basedOn w:val="Normal"/>
    <w:semiHidden/>
    <w:pPr>
      <w:suppressLineNumbers/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hAnsi="StarSymbol"/>
      <w:sz w:val="18"/>
    </w:rPr>
  </w:style>
  <w:style w:type="character" w:customStyle="1" w:styleId="EndnoteCharacters">
    <w:name w:val="Endnote Characters"/>
  </w:style>
  <w:style w:type="character" w:styleId="FootnoteReference">
    <w:name w:val="footnote reference"/>
    <w:semiHidden/>
    <w:rPr>
      <w:vertAlign w:val="superscript"/>
    </w:rPr>
  </w:style>
  <w:style w:type="character" w:customStyle="1" w:styleId="wDefaultParagraphFont">
    <w:name w:val="wDefaultParagraphFont"/>
  </w:style>
  <w:style w:type="character" w:customStyle="1" w:styleId="wHeading1Char">
    <w:name w:val="wHeading1Char"/>
    <w:rPr>
      <w:b/>
    </w:rPr>
  </w:style>
  <w:style w:type="character" w:customStyle="1" w:styleId="wHeading2Char">
    <w:name w:val="wHeading2Char"/>
    <w:rPr>
      <w:b/>
      <w:i/>
    </w:rPr>
  </w:style>
  <w:style w:type="character" w:customStyle="1" w:styleId="wHeading3Char">
    <w:name w:val="wHeading3Char"/>
  </w:style>
  <w:style w:type="character" w:customStyle="1" w:styleId="wPAChar">
    <w:name w:val="wPAChar"/>
  </w:style>
  <w:style w:type="character" w:customStyle="1" w:styleId="wFootnoteTextChar">
    <w:name w:val="wFootnoteTextChar"/>
  </w:style>
  <w:style w:type="character" w:customStyle="1" w:styleId="wFootnoteReference">
    <w:name w:val="wFootnoteReference"/>
  </w:style>
  <w:style w:type="character" w:customStyle="1" w:styleId="wPQChar">
    <w:name w:val="wPQChar"/>
  </w:style>
  <w:style w:type="character" w:customStyle="1" w:styleId="wPCChar">
    <w:name w:val="wPCChar"/>
  </w:style>
  <w:style w:type="character" w:customStyle="1" w:styleId="wBalloonTextChar">
    <w:name w:val="wBalloonTextChar"/>
  </w:style>
  <w:style w:type="character" w:customStyle="1" w:styleId="wCommentReference">
    <w:name w:val="wCommentReference"/>
  </w:style>
  <w:style w:type="character" w:customStyle="1" w:styleId="wCommentTextChar">
    <w:name w:val="wCommentTextChar"/>
  </w:style>
  <w:style w:type="character" w:customStyle="1" w:styleId="wCommentSubjectChar">
    <w:name w:val="wCommentSubjectChar"/>
    <w:rPr>
      <w:b/>
    </w:rPr>
  </w:style>
  <w:style w:type="character" w:customStyle="1" w:styleId="wIndexChar">
    <w:name w:val="wIndexChar"/>
  </w:style>
  <w:style w:type="character" w:customStyle="1" w:styleId="wFooterChar">
    <w:name w:val="wFooterChar"/>
  </w:style>
  <w:style w:type="character" w:customStyle="1" w:styleId="wHeaderChar">
    <w:name w:val="wHeaderChar"/>
  </w:style>
  <w:style w:type="character" w:customStyle="1" w:styleId="wFollowedHyperlink">
    <w:name w:val="wFollowedHyperlink"/>
  </w:style>
  <w:style w:type="character" w:customStyle="1" w:styleId="wStrong">
    <w:name w:val="wStrong"/>
    <w:rPr>
      <w:b/>
    </w:rPr>
  </w:style>
  <w:style w:type="character" w:customStyle="1" w:styleId="wssit">
    <w:name w:val="wssit"/>
  </w:style>
  <w:style w:type="character" w:styleId="EndnoteReference">
    <w:name w:val="endnote reference"/>
    <w:semiHidden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Normal">
    <w:name w:val="wNormal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customStyle="1" w:styleId="wHeading1">
    <w:name w:val="wHeading1"/>
    <w:basedOn w:val="wNormal"/>
    <w:next w:val="wNormal"/>
    <w:pPr>
      <w:keepNext/>
    </w:pPr>
  </w:style>
  <w:style w:type="paragraph" w:customStyle="1" w:styleId="wHeading2">
    <w:name w:val="wHeading2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Heading3">
    <w:name w:val="wHeading3"/>
    <w:basedOn w:val="wNormal"/>
    <w:next w:val="wNormal"/>
    <w:pPr>
      <w:keepNext/>
      <w:spacing w:before="240" w:after="60"/>
    </w:pPr>
    <w:rPr>
      <w:rFonts w:ascii="Arial" w:hAnsi="Arial"/>
      <w:sz w:val="24"/>
    </w:rPr>
  </w:style>
  <w:style w:type="paragraph" w:customStyle="1" w:styleId="wListParagraph">
    <w:name w:val="wListParagraph"/>
    <w:basedOn w:val="wNormal"/>
    <w:pPr>
      <w:ind w:left="720"/>
    </w:pPr>
  </w:style>
  <w:style w:type="paragraph" w:customStyle="1" w:styleId="wTOCHeading">
    <w:name w:val="wTOCHeading"/>
    <w:basedOn w:val="wHeading1"/>
    <w:next w:val="wHeading1"/>
  </w:style>
  <w:style w:type="paragraph" w:customStyle="1" w:styleId="wQU">
    <w:name w:val="wQU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A">
    <w:name w:val="wPA"/>
    <w:pPr>
      <w:widowControl w:val="0"/>
      <w:suppressAutoHyphens/>
      <w:overflowPunct w:val="0"/>
      <w:autoSpaceDE w:val="0"/>
      <w:autoSpaceDN w:val="0"/>
      <w:adjustRightInd w:val="0"/>
      <w:spacing w:after="240"/>
      <w:ind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FootnoteText">
    <w:name w:val="wFootnoteText"/>
    <w:basedOn w:val="wNormal"/>
    <w:rPr>
      <w:rFonts w:ascii="Times New Roman" w:hAnsi="Times New Roman"/>
    </w:rPr>
  </w:style>
  <w:style w:type="paragraph" w:customStyle="1" w:styleId="wHD">
    <w:name w:val="wHD"/>
    <w:pPr>
      <w:widowControl w:val="0"/>
      <w:suppressAutoHyphen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Helvetica LT Std" w:eastAsia="Helvetica LT Std"/>
      <w:kern w:val="1"/>
      <w:sz w:val="26"/>
      <w:lang w:val="en"/>
    </w:rPr>
  </w:style>
  <w:style w:type="paragraph" w:customStyle="1" w:styleId="wPQ">
    <w:name w:val="wPQ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120"/>
      <w:ind w:left="360" w:hanging="360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C">
    <w:name w:val="wPC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BalloonText">
    <w:name w:val="wBalloonText"/>
    <w:basedOn w:val="wNormal"/>
    <w:rPr>
      <w:rFonts w:ascii="Tahoma" w:hAnsi="Tahoma"/>
      <w:sz w:val="16"/>
    </w:rPr>
  </w:style>
  <w:style w:type="paragraph" w:customStyle="1" w:styleId="wCommentText">
    <w:name w:val="wCommentText"/>
    <w:basedOn w:val="wNormal"/>
  </w:style>
  <w:style w:type="paragraph" w:customStyle="1" w:styleId="wCommentSubject">
    <w:name w:val="wCommentSubject"/>
    <w:basedOn w:val="wCommentText"/>
    <w:next w:val="wCommentText"/>
  </w:style>
  <w:style w:type="paragraph" w:customStyle="1" w:styleId="wPB">
    <w:name w:val="wPB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D">
    <w:name w:val="wPD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E">
    <w:name w:val="wPE"/>
    <w:pPr>
      <w:widowControl w:val="0"/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">
    <w:name w:val="wPF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G">
    <w:name w:val="wPG"/>
    <w:pPr>
      <w:widowControl w:val="0"/>
      <w:suppressAutoHyphens/>
      <w:overflowPunct w:val="0"/>
      <w:autoSpaceDE w:val="0"/>
      <w:autoSpaceDN w:val="0"/>
      <w:adjustRightInd w:val="0"/>
      <w:spacing w:after="240"/>
      <w:ind w:left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H">
    <w:name w:val="wPH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I">
    <w:name w:val="wPI"/>
    <w:pPr>
      <w:widowControl w:val="0"/>
      <w:suppressAutoHyphens/>
      <w:overflowPunct w:val="0"/>
      <w:autoSpaceDE w:val="0"/>
      <w:autoSpaceDN w:val="0"/>
      <w:adjustRightInd w:val="0"/>
      <w:spacing w:after="240"/>
      <w:ind w:left="360" w:hanging="36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K">
    <w:name w:val="wPK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L">
    <w:name w:val="wPL"/>
    <w:pPr>
      <w:widowControl w:val="0"/>
      <w:suppressAutoHyphens/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eastAsia="Minion Pro"/>
      <w:kern w:val="1"/>
      <w:sz w:val="16"/>
      <w:lang w:val="en"/>
    </w:rPr>
  </w:style>
  <w:style w:type="paragraph" w:customStyle="1" w:styleId="wPX">
    <w:name w:val="wPX"/>
    <w:pPr>
      <w:widowControl w:val="0"/>
      <w:suppressAutoHyphens/>
      <w:overflowPunct w:val="0"/>
      <w:autoSpaceDE w:val="0"/>
      <w:autoSpaceDN w:val="0"/>
      <w:adjustRightInd w:val="0"/>
      <w:spacing w:after="240"/>
      <w:ind w:left="432" w:right="432" w:firstLine="432"/>
      <w:jc w:val="both"/>
      <w:textAlignment w:val="baseline"/>
    </w:pPr>
    <w:rPr>
      <w:rFonts w:ascii="Minion Pro" w:eastAsia="Minion Pro"/>
      <w:kern w:val="1"/>
      <w:lang w:val="en"/>
    </w:rPr>
  </w:style>
  <w:style w:type="paragraph" w:customStyle="1" w:styleId="wTOC">
    <w:name w:val="wTOC"/>
    <w:pPr>
      <w:widowControl w:val="0"/>
      <w:tabs>
        <w:tab w:val="left" w:pos="720"/>
        <w:tab w:val="left" w:pos="1440"/>
        <w:tab w:val="right" w:leader="dot" w:pos="8639"/>
      </w:tabs>
      <w:suppressAutoHyphens/>
      <w:overflowPunct w:val="0"/>
      <w:autoSpaceDE w:val="0"/>
      <w:autoSpaceDN w:val="0"/>
      <w:adjustRightInd w:val="0"/>
      <w:ind w:left="720" w:hanging="720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Index">
    <w:name w:val="wIndex"/>
    <w:basedOn w:val="wTOC"/>
    <w:pPr>
      <w:tabs>
        <w:tab w:val="clear" w:pos="720"/>
        <w:tab w:val="left" w:pos="240"/>
        <w:tab w:val="left" w:pos="480"/>
        <w:tab w:val="decimal" w:pos="1440"/>
        <w:tab w:val="right" w:leader="dot" w:pos="4679"/>
        <w:tab w:val="decimal" w:pos="8639"/>
      </w:tabs>
      <w:ind w:left="0" w:firstLine="0"/>
    </w:pPr>
    <w:rPr>
      <w:sz w:val="22"/>
    </w:rPr>
  </w:style>
  <w:style w:type="paragraph" w:customStyle="1" w:styleId="wPP">
    <w:name w:val="wPP"/>
    <w:pPr>
      <w:widowControl w:val="0"/>
      <w:pBdr>
        <w:top w:val="single" w:sz="6" w:space="1" w:color="000000"/>
        <w:bottom w:val="single" w:sz="6" w:space="1" w:color="000000"/>
      </w:pBdr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Helvetica LT Std" w:eastAsia="Helvetica LT Std"/>
      <w:color w:val="000000"/>
      <w:kern w:val="1"/>
      <w:sz w:val="22"/>
      <w:lang w:val="en"/>
    </w:rPr>
  </w:style>
  <w:style w:type="paragraph" w:customStyle="1" w:styleId="wHE">
    <w:name w:val="wHE"/>
    <w:pPr>
      <w:widowControl w:val="0"/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kern w:val="1"/>
      <w:sz w:val="24"/>
      <w:lang w:val="en"/>
    </w:rPr>
  </w:style>
  <w:style w:type="paragraph" w:customStyle="1" w:styleId="wPN">
    <w:name w:val="wPN"/>
    <w:pPr>
      <w:widowControl w:val="0"/>
      <w:suppressAutoHyphens/>
      <w:overflowPunct w:val="0"/>
      <w:autoSpaceDE w:val="0"/>
      <w:autoSpaceDN w:val="0"/>
      <w:adjustRightInd w:val="0"/>
      <w:spacing w:after="240"/>
      <w:ind w:left="720" w:firstLine="288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HA">
    <w:name w:val="wHA"/>
    <w:pPr>
      <w:widowControl w:val="0"/>
      <w:suppressAutoHyphens/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Helvetica LT Std" w:eastAsia="Helvetica LT Std"/>
      <w:caps/>
      <w:color w:val="000000"/>
      <w:kern w:val="1"/>
      <w:sz w:val="36"/>
      <w:lang w:val="en"/>
    </w:rPr>
  </w:style>
  <w:style w:type="paragraph" w:customStyle="1" w:styleId="wHB">
    <w:name w:val="wHB"/>
    <w:pPr>
      <w:widowControl w:val="0"/>
      <w:suppressAutoHyphens/>
      <w:overflowPunct w:val="0"/>
      <w:autoSpaceDE w:val="0"/>
      <w:autoSpaceDN w:val="0"/>
      <w:adjustRightInd w:val="0"/>
      <w:spacing w:before="120" w:after="240"/>
      <w:jc w:val="center"/>
      <w:textAlignment w:val="baseline"/>
    </w:pPr>
    <w:rPr>
      <w:rFonts w:ascii="Helvetica LT Std" w:eastAsia="Helvetica LT Std"/>
      <w:color w:val="000000"/>
      <w:kern w:val="1"/>
      <w:sz w:val="32"/>
      <w:lang w:val="en"/>
    </w:rPr>
  </w:style>
  <w:style w:type="paragraph" w:customStyle="1" w:styleId="wHC">
    <w:name w:val="wHC"/>
    <w:pPr>
      <w:widowControl w:val="0"/>
      <w:tabs>
        <w:tab w:val="left" w:pos="284"/>
      </w:tabs>
      <w:suppressAutoHyphens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Helvetica LT Std" w:eastAsia="Helvetica LT Std"/>
      <w:color w:val="000000"/>
      <w:kern w:val="1"/>
      <w:sz w:val="26"/>
      <w:lang w:val="en"/>
    </w:rPr>
  </w:style>
  <w:style w:type="paragraph" w:customStyle="1" w:styleId="wPR">
    <w:name w:val="wPR"/>
    <w:pPr>
      <w:widowControl w:val="0"/>
      <w:suppressAutoHyphens/>
      <w:overflowPunct w:val="0"/>
      <w:autoSpaceDE w:val="0"/>
      <w:autoSpaceDN w:val="0"/>
      <w:adjustRightInd w:val="0"/>
      <w:spacing w:after="240"/>
      <w:ind w:left="360" w:firstLine="288"/>
      <w:jc w:val="both"/>
      <w:textAlignment w:val="baseline"/>
    </w:pPr>
    <w:rPr>
      <w:rFonts w:ascii="Adobe Caslon Pro" w:hAnsi="Adobe Caslon Pro"/>
      <w:color w:val="000000"/>
      <w:kern w:val="1"/>
      <w:sz w:val="14"/>
      <w:lang w:val="en"/>
    </w:rPr>
  </w:style>
  <w:style w:type="paragraph" w:customStyle="1" w:styleId="wPO">
    <w:name w:val="wPO"/>
    <w:pPr>
      <w:widowControl w:val="0"/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color w:val="000000"/>
      <w:kern w:val="1"/>
      <w:lang w:val="en"/>
    </w:rPr>
  </w:style>
  <w:style w:type="paragraph" w:customStyle="1" w:styleId="wGUIDEX">
    <w:name w:val="wGUIDEX"/>
    <w:pPr>
      <w:widowControl w:val="0"/>
      <w:tabs>
        <w:tab w:val="left" w:leader="dot" w:pos="4564"/>
        <w:tab w:val="center" w:pos="5759"/>
        <w:tab w:val="center" w:pos="7199"/>
        <w:tab w:val="center" w:pos="8639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Helvetica LT Std" w:eastAsia="Helvetica LT Std"/>
      <w:color w:val="000000"/>
      <w:kern w:val="1"/>
      <w:lang w:val="en"/>
    </w:rPr>
  </w:style>
  <w:style w:type="paragraph" w:customStyle="1" w:styleId="wIndex2">
    <w:name w:val="wIndex2"/>
    <w:basedOn w:val="wIndex"/>
    <w:pPr>
      <w:tabs>
        <w:tab w:val="clear" w:pos="1440"/>
        <w:tab w:val="clear" w:pos="8639"/>
        <w:tab w:val="decimal" w:pos="240"/>
        <w:tab w:val="decimal" w:pos="480"/>
        <w:tab w:val="decimal" w:pos="720"/>
        <w:tab w:val="right" w:pos="4679"/>
      </w:tabs>
    </w:pPr>
  </w:style>
  <w:style w:type="paragraph" w:customStyle="1" w:styleId="wPCB">
    <w:name w:val="wPCB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ind w:left="720"/>
      <w:jc w:val="both"/>
      <w:textAlignment w:val="baseline"/>
    </w:pPr>
    <w:rPr>
      <w:rFonts w:ascii="Perpetua Std" w:hAnsi="Perpetua Std"/>
      <w:color w:val="000000"/>
      <w:kern w:val="1"/>
      <w:sz w:val="24"/>
      <w:lang w:val="en"/>
    </w:rPr>
  </w:style>
  <w:style w:type="paragraph" w:customStyle="1" w:styleId="wPFB">
    <w:name w:val="wPFB"/>
    <w:pPr>
      <w:widowControl w:val="0"/>
      <w:tabs>
        <w:tab w:val="left" w:pos="1080"/>
      </w:tabs>
      <w:suppressAutoHyphens/>
      <w:overflowPunct w:val="0"/>
      <w:autoSpaceDE w:val="0"/>
      <w:autoSpaceDN w:val="0"/>
      <w:adjustRightInd w:val="0"/>
      <w:spacing w:after="240"/>
      <w:ind w:left="108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NoSpacing">
    <w:name w:val="wNoSpacing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" w:hAnsi="Perpetua"/>
      <w:kern w:val="1"/>
      <w:lang w:val="en"/>
    </w:rPr>
  </w:style>
  <w:style w:type="paragraph" w:customStyle="1" w:styleId="wPCA">
    <w:name w:val="wPCA"/>
    <w:pPr>
      <w:widowControl w:val="0"/>
      <w:tabs>
        <w:tab w:val="left" w:pos="72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PHB">
    <w:name w:val="wPHB"/>
    <w:pPr>
      <w:widowControl w:val="0"/>
      <w:tabs>
        <w:tab w:val="left" w:pos="360"/>
      </w:tabs>
      <w:suppressAutoHyphens/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Perpetua Std" w:hAnsi="Perpetua Std"/>
      <w:kern w:val="1"/>
      <w:sz w:val="24"/>
      <w:lang w:val="en"/>
    </w:rPr>
  </w:style>
  <w:style w:type="paragraph" w:customStyle="1" w:styleId="wFooter">
    <w:name w:val="wFooter"/>
    <w:basedOn w:val="wNormal"/>
    <w:pPr>
      <w:tabs>
        <w:tab w:val="center" w:pos="4319"/>
        <w:tab w:val="right" w:pos="8639"/>
      </w:tabs>
    </w:pPr>
  </w:style>
  <w:style w:type="paragraph" w:customStyle="1" w:styleId="wHeader">
    <w:name w:val="wHeader"/>
    <w:basedOn w:val="wNormal"/>
    <w:pPr>
      <w:tabs>
        <w:tab w:val="center" w:pos="4319"/>
        <w:tab w:val="right" w:pos="8639"/>
      </w:tabs>
    </w:pPr>
  </w:style>
  <w:style w:type="paragraph" w:customStyle="1" w:styleId="wStandard">
    <w:name w:val="wStandard"/>
    <w:pPr>
      <w:widowControl w:val="0"/>
      <w:suppressAutoHyphens/>
      <w:overflowPunct w:val="0"/>
      <w:autoSpaceDE w:val="0"/>
      <w:autoSpaceDN w:val="0"/>
      <w:adjustRightInd w:val="0"/>
      <w:spacing w:before="144"/>
      <w:jc w:val="both"/>
      <w:textAlignment w:val="baseline"/>
    </w:pPr>
    <w:rPr>
      <w:kern w:val="1"/>
      <w:lang w:val="en"/>
    </w:rPr>
  </w:style>
  <w:style w:type="paragraph" w:customStyle="1" w:styleId="wNormalWeb">
    <w:name w:val="wNormalWeb"/>
    <w:basedOn w:val="wNormal"/>
    <w:rPr>
      <w:rFonts w:ascii="Times New Roman" w:hAnsi="Times New Roman"/>
      <w:sz w:val="24"/>
    </w:rPr>
  </w:style>
  <w:style w:type="paragraph" w:customStyle="1" w:styleId="wpara">
    <w:name w:val="wpara"/>
    <w:basedOn w:val="wNormal"/>
    <w:pPr>
      <w:spacing w:before="100" w:after="100"/>
    </w:pPr>
    <w:rPr>
      <w:rFonts w:ascii="Times New Roman" w:hAnsi="Times New Roman"/>
      <w:sz w:val="24"/>
    </w:rPr>
  </w:style>
  <w:style w:type="paragraph" w:customStyle="1" w:styleId="wPerpetuaStd">
    <w:name w:val="wPerpetuaSt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Perpetua Std" w:hAnsi="Perpetua Std"/>
      <w:kern w:val="1"/>
      <w:lang w:val="en"/>
    </w:rPr>
  </w:style>
  <w:style w:type="paragraph" w:styleId="FootnoteText">
    <w:name w:val="footnote text"/>
    <w:basedOn w:val="Normal"/>
    <w:semiHidden/>
    <w:pPr>
      <w:suppressLineNumbers/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8806. What is a buy-sell agreement?</vt:lpstr>
    </vt:vector>
  </TitlesOfParts>
  <Company>Summit Business Media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8806. What is a buy-sell agreement?</dc:title>
  <dc:creator>Alexis Long</dc:creator>
  <cp:lastModifiedBy>rcline</cp:lastModifiedBy>
  <cp:revision>2</cp:revision>
  <cp:lastPrinted>1901-01-01T05:00:00Z</cp:lastPrinted>
  <dcterms:created xsi:type="dcterms:W3CDTF">2014-07-28T12:55:00Z</dcterms:created>
  <dcterms:modified xsi:type="dcterms:W3CDTF">2014-07-28T12:55:00Z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Summit Business Media</vt:lpwstr>
  </property>
  <property fmtid="{D5CDD505-2E9C-101B-9397-08002B2CF9AE}" pid="3" name="Version">
    <vt:lpwstr>14</vt:lpwstr>
  </property>
</Properties>
</file>