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82" w:rsidRDefault="0048649A">
      <w:pPr>
        <w:pStyle w:val="wPA"/>
        <w:rPr>
          <w:b/>
        </w:rPr>
      </w:pPr>
      <w:bookmarkStart w:id="0" w:name="_GoBack"/>
      <w:bookmarkEnd w:id="0"/>
      <w:r>
        <w:rPr>
          <w:b/>
        </w:rPr>
        <w:t>8792. What special considerations apply in determining a shareholder’s basis in S corporation stock?</w:t>
      </w:r>
    </w:p>
    <w:p w:rsidR="00863182" w:rsidRDefault="0048649A">
      <w:pPr>
        <w:pStyle w:val="wPA"/>
      </w:pPr>
      <w:r>
        <w:t xml:space="preserve">The basis of each shareholder’s stock is </w:t>
      </w:r>
      <w:r>
        <w:rPr>
          <w:i/>
        </w:rPr>
        <w:t>increased</w:t>
      </w:r>
      <w:r>
        <w:t xml:space="preserve"> by his share of items of separately stated income (including tax-exempt income), any nonseparately computed income, and by any excess of deductions for depletion over basis in property subject to depletion.</w:t>
      </w:r>
      <w:r>
        <w:rPr>
          <w:rStyle w:val="wFootnoteReference"/>
        </w:rPr>
        <w:footnoteReference w:id="1"/>
      </w:r>
      <w:r>
        <w:t xml:space="preserve"> </w:t>
      </w:r>
    </w:p>
    <w:p w:rsidR="00863182" w:rsidRDefault="0048649A">
      <w:pPr>
        <w:pStyle w:val="wPA"/>
      </w:pPr>
      <w:r>
        <w:t xml:space="preserve">An S corporation shareholder may </w:t>
      </w:r>
      <w:r>
        <w:rPr>
          <w:i/>
        </w:rPr>
        <w:t>not</w:t>
      </w:r>
      <w:r>
        <w:t xml:space="preserve"> increase tax basis due to excluded discharge of indebtedness income.</w:t>
      </w:r>
      <w:r>
        <w:rPr>
          <w:rStyle w:val="wFootnoteReference"/>
        </w:rPr>
        <w:footnoteReference w:id="2"/>
      </w:r>
      <w:r>
        <w:t xml:space="preserve"> The basis of each shareholder’s stock is </w:t>
      </w:r>
      <w:r>
        <w:rPr>
          <w:i/>
        </w:rPr>
        <w:t>decreased</w:t>
      </w:r>
      <w:r>
        <w:t xml:space="preserve"> (not below zero) by the following: </w:t>
      </w:r>
    </w:p>
    <w:p w:rsidR="00863182" w:rsidRDefault="0048649A">
      <w:pPr>
        <w:pStyle w:val="wPC"/>
      </w:pPr>
      <w:r>
        <w:t>(1)</w:t>
      </w:r>
      <w:r>
        <w:tab/>
        <w:t>items of distributions from the corporation that are not includable in the income of the shareholder;</w:t>
      </w:r>
    </w:p>
    <w:p w:rsidR="00863182" w:rsidRDefault="0048649A">
      <w:pPr>
        <w:pStyle w:val="wPC"/>
      </w:pPr>
      <w:r>
        <w:t>(2)</w:t>
      </w:r>
      <w:r>
        <w:tab/>
        <w:t>separately stated loss and deductions and nonseparately computed loss;</w:t>
      </w:r>
    </w:p>
    <w:p w:rsidR="00863182" w:rsidRDefault="0048649A">
      <w:pPr>
        <w:pStyle w:val="wPC"/>
      </w:pPr>
      <w:r>
        <w:t>(3)</w:t>
      </w:r>
      <w:r>
        <w:tab/>
        <w:t xml:space="preserve">any expense of the corporation not deductible in computing taxable income and not properly chargeable to capital account; and </w:t>
      </w:r>
    </w:p>
    <w:p w:rsidR="00863182" w:rsidRDefault="0048649A">
      <w:pPr>
        <w:pStyle w:val="wPC"/>
      </w:pPr>
      <w:r>
        <w:t>(4)</w:t>
      </w:r>
      <w:r>
        <w:tab/>
        <w:t xml:space="preserve">any depletion deduction with respect to oil and gas property to the extent that the deduction does not exceed the shareholder’s proportionate share of the property’s adjusted basis. </w:t>
      </w:r>
    </w:p>
    <w:p w:rsidR="00863182" w:rsidRDefault="0048649A">
      <w:pPr>
        <w:pStyle w:val="wPA"/>
      </w:pPr>
      <w:r>
        <w:t>For tax years beginning after 2005 and before 2014, if an S corporation made a charitable contribution of property, each shareholder’s basis was reduced by the pro rata share of basis in the property.</w:t>
      </w:r>
      <w:r>
        <w:rPr>
          <w:rStyle w:val="wFootnoteReference"/>
        </w:rPr>
        <w:footnoteReference w:id="3"/>
      </w:r>
      <w:r>
        <w:t xml:space="preserve"> If the aggregate of these amounts exceeds the basis in his stock, the excess reduced the shareholder’s basis in any indebtedness of the corporation to the shareholder.</w:t>
      </w:r>
      <w:r>
        <w:rPr>
          <w:rStyle w:val="wFootnoteReference"/>
        </w:rPr>
        <w:footnoteReference w:id="4"/>
      </w:r>
      <w:r>
        <w:t xml:space="preserve"> A shareholder may not take deductions and losses of the S corporation that, when aggregated, exceed the basis in S corporation stock plus his basis in any indebtedness of the corporation to the shareholder.</w:t>
      </w:r>
      <w:r>
        <w:rPr>
          <w:rStyle w:val="wFootnoteReference"/>
        </w:rPr>
        <w:footnoteReference w:id="5"/>
      </w:r>
      <w:r>
        <w:t xml:space="preserve"> Such disallowed deductions and losses may be carried over.</w:t>
      </w:r>
      <w:r>
        <w:rPr>
          <w:rStyle w:val="wFootnoteReference"/>
        </w:rPr>
        <w:footnoteReference w:id="6"/>
      </w:r>
      <w:r>
        <w:t xml:space="preserve"> In other words, the shareholder may not deduct in any tax year more than the shareholder has “at risk” in the corporation.</w:t>
      </w:r>
    </w:p>
    <w:p w:rsidR="0048649A" w:rsidRDefault="0048649A">
      <w:pPr>
        <w:pStyle w:val="wNormal"/>
      </w:pPr>
    </w:p>
    <w:sectPr w:rsidR="0048649A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9A" w:rsidRDefault="0048649A">
      <w:r>
        <w:separator/>
      </w:r>
    </w:p>
  </w:endnote>
  <w:endnote w:type="continuationSeparator" w:id="0">
    <w:p w:rsidR="0048649A" w:rsidRDefault="0048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Std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 LT Std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dobe Caslon Pro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80"/>
    <w:family w:val="roman"/>
    <w:pitch w:val="variable"/>
    <w:sig w:usb0="00000001" w:usb1="08070000" w:usb2="00000010" w:usb3="00000000" w:csb0="00020000" w:csb1="00000000"/>
  </w:font>
  <w:font w:name="Perpetu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9A" w:rsidRDefault="0048649A">
      <w:r>
        <w:separator/>
      </w:r>
    </w:p>
  </w:footnote>
  <w:footnote w:type="continuationSeparator" w:id="0">
    <w:p w:rsidR="0048649A" w:rsidRDefault="0048649A">
      <w:r>
        <w:continuationSeparator/>
      </w:r>
    </w:p>
  </w:footnote>
  <w:footnote w:id="1">
    <w:p w:rsidR="00863182" w:rsidRDefault="0048649A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IRC Sec. 1367(a)(1).</w:t>
      </w:r>
    </w:p>
  </w:footnote>
  <w:footnote w:id="2">
    <w:p w:rsidR="00863182" w:rsidRDefault="0048649A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IRC Sec. 108(d)(7)(A).</w:t>
      </w:r>
    </w:p>
  </w:footnote>
  <w:footnote w:id="3">
    <w:p w:rsidR="00863182" w:rsidRDefault="0048649A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IRC Sec. 1367(a)(2), as amended by TEAMTRA 2008 and ATRA.</w:t>
      </w:r>
    </w:p>
  </w:footnote>
  <w:footnote w:id="4">
    <w:p w:rsidR="00863182" w:rsidRDefault="0048649A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IRC. Sec. 1367(b)(2)(A).</w:t>
      </w:r>
    </w:p>
  </w:footnote>
  <w:footnote w:id="5">
    <w:p w:rsidR="00863182" w:rsidRDefault="0048649A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IRC Sec. 1366(d)(1).</w:t>
      </w:r>
    </w:p>
  </w:footnote>
  <w:footnote w:id="6">
    <w:p w:rsidR="00863182" w:rsidRDefault="0048649A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IRC Sec. 1366(d)(2).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0"/>
    <w:rsid w:val="0017250D"/>
    <w:rsid w:val="0048649A"/>
    <w:rsid w:val="00760EF0"/>
    <w:rsid w:val="00863182"/>
    <w:rsid w:val="00AB1368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Hyperlink">
    <w:name w:val="wHyperlink"/>
  </w:style>
  <w:style w:type="character" w:customStyle="1" w:styleId="wPCChar">
    <w:name w:val="wPCChar"/>
  </w:style>
  <w:style w:type="character" w:customStyle="1" w:styleId="wStrong">
    <w:name w:val="wStrong"/>
    <w:rPr>
      <w:b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eastAsia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eastAsia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eastAsia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eastAsia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pPr>
      <w:suppressLineNumbers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Hyperlink">
    <w:name w:val="wHyperlink"/>
  </w:style>
  <w:style w:type="character" w:customStyle="1" w:styleId="wPCChar">
    <w:name w:val="wPCChar"/>
  </w:style>
  <w:style w:type="character" w:customStyle="1" w:styleId="wStrong">
    <w:name w:val="wStrong"/>
    <w:rPr>
      <w:b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eastAsia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eastAsia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eastAsia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eastAsia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8792. What special considerations apply in determining an S corporation shareholder’s basis in S corporation stock?</vt:lpstr>
    </vt:vector>
  </TitlesOfParts>
  <Company>Summit Business Media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8792. What special considerations apply in determining an S corporation shareholder’s basis in S corporation stock?</dc:title>
  <dc:creator>Alexis Long</dc:creator>
  <cp:lastModifiedBy>rcline</cp:lastModifiedBy>
  <cp:revision>2</cp:revision>
  <cp:lastPrinted>1901-01-01T05:00:00Z</cp:lastPrinted>
  <dcterms:created xsi:type="dcterms:W3CDTF">2014-07-28T16:53:00Z</dcterms:created>
  <dcterms:modified xsi:type="dcterms:W3CDTF">2014-07-28T16:53:00Z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Summit Business Media</vt:lpwstr>
  </property>
  <property fmtid="{D5CDD505-2E9C-101B-9397-08002B2CF9AE}" pid="3" name="Version">
    <vt:lpwstr>14</vt:lpwstr>
  </property>
</Properties>
</file>