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1F1" w:rsidRDefault="00B46E01">
      <w:pPr>
        <w:pStyle w:val="wPA"/>
        <w:rPr>
          <w:b/>
        </w:rPr>
      </w:pPr>
      <w:bookmarkStart w:id="0" w:name="_GoBack"/>
      <w:bookmarkEnd w:id="0"/>
      <w:r>
        <w:rPr>
          <w:b/>
        </w:rPr>
        <w:t>8790. How is an S corporation taxed?  When may S corporation income be taxed at the corporate level?</w:t>
      </w:r>
    </w:p>
    <w:p w:rsidR="004E21F1" w:rsidRDefault="00B46E01">
      <w:pPr>
        <w:pStyle w:val="wPA"/>
      </w:pPr>
      <w:r>
        <w:t>An S corporation is generally not subject to tax at the corporate level.</w:t>
      </w:r>
      <w:r>
        <w:rPr>
          <w:rStyle w:val="wFootnoteReference"/>
        </w:rPr>
        <w:footnoteReference w:id="1"/>
      </w:r>
      <w:r>
        <w:t xml:space="preserve"> However, a tax is imposed at the corporate level under certain circumstances. When an S corporation disposes of property within 10 years after the S election was made, gain attributable to pre-election appreciation of the property (built in gain) is taxed at the corporate level to the extent such gain does not exceed the amount of taxable income imposed on the corporation if it were not an S corporation.</w:t>
      </w:r>
      <w:r>
        <w:rPr>
          <w:rStyle w:val="wFootnoteReference"/>
        </w:rPr>
        <w:footnoteReference w:id="2"/>
      </w:r>
      <w:r>
        <w:t xml:space="preserve"> However, ARRA 2009 provides that, in the case of a taxable year beginning in 2011, no tax is imposed on the built in gain if the fifth taxable year of the 10-year recognition period precedes such taxable year.</w:t>
      </w:r>
    </w:p>
    <w:p w:rsidR="004E21F1" w:rsidRDefault="00B46E01">
      <w:pPr>
        <w:pStyle w:val="wPA"/>
      </w:pPr>
      <w:r>
        <w:t>For S elections made after December 17, 1987, a corporation switching from C corporation status to S corporation status may also be required to recapture certain amounts at the corporate level in connection with goods previously inventoried under a LIFO method.</w:t>
      </w:r>
      <w:r>
        <w:rPr>
          <w:rStyle w:val="wFootnoteReference"/>
        </w:rPr>
        <w:footnoteReference w:id="3"/>
      </w:r>
    </w:p>
    <w:p w:rsidR="004E21F1" w:rsidRDefault="00B46E01">
      <w:pPr>
        <w:pStyle w:val="wPA"/>
      </w:pPr>
      <w:r>
        <w:t xml:space="preserve">In addition, a tax is imposed at the corporate level on </w:t>
      </w:r>
      <w:r>
        <w:rPr>
          <w:i/>
        </w:rPr>
        <w:t>excess</w:t>
      </w:r>
      <w:r>
        <w:t xml:space="preserve"> “net passive income” of an S corporation (passive investment income reduced by certain expenses connected with the production of such income) but only if the following are true:</w:t>
      </w:r>
    </w:p>
    <w:p w:rsidR="004E21F1" w:rsidRDefault="00B46E01">
      <w:pPr>
        <w:pStyle w:val="wPC"/>
      </w:pPr>
      <w:r>
        <w:t>(1)</w:t>
      </w:r>
      <w:r>
        <w:tab/>
        <w:t>The corporation, at the end of the tax year, has accumulated earnings and profits (either carried over from a year in which it was a nonelecting corporation or due to an acquisition of a C corporation);</w:t>
      </w:r>
    </w:p>
    <w:p w:rsidR="004E21F1" w:rsidRDefault="00B46E01">
      <w:pPr>
        <w:pStyle w:val="wPC"/>
      </w:pPr>
      <w:r>
        <w:t>(2)</w:t>
      </w:r>
      <w:r>
        <w:tab/>
        <w:t xml:space="preserve">Passive investment income exceeds 25 percent of gross receipts. </w:t>
      </w:r>
    </w:p>
    <w:p w:rsidR="004E21F1" w:rsidRDefault="00B46E01">
      <w:pPr>
        <w:pStyle w:val="wPA"/>
      </w:pPr>
      <w:r>
        <w:t>The highest corporate tax rate (currently 35 percent) applies.</w:t>
      </w:r>
      <w:r>
        <w:rPr>
          <w:rStyle w:val="wFootnoteReference"/>
        </w:rPr>
        <w:footnoteReference w:id="4"/>
      </w:r>
      <w:r>
        <w:t xml:space="preserve"> “Passive investment income” for means rents, royalties, dividends, interest, and annuities.</w:t>
      </w:r>
      <w:r>
        <w:rPr>
          <w:rStyle w:val="wFootnoteReference"/>
        </w:rPr>
        <w:footnoteReference w:id="5"/>
      </w:r>
      <w:r>
        <w:t xml:space="preserve"> The following items are excluded from the definition of passive investment income for this purpose:</w:t>
      </w:r>
    </w:p>
    <w:p w:rsidR="004E21F1" w:rsidRDefault="00B46E01">
      <w:pPr>
        <w:pStyle w:val="wPC"/>
      </w:pPr>
      <w:r>
        <w:t>(1)</w:t>
      </w:r>
      <w:r>
        <w:tab/>
        <w:t xml:space="preserve"> rents for the use of corporate property if the corporation also provides substantial services or incurs substantial cost in the rental business;</w:t>
      </w:r>
      <w:r>
        <w:rPr>
          <w:rStyle w:val="wFootnoteReference"/>
        </w:rPr>
        <w:footnoteReference w:id="6"/>
      </w:r>
      <w:r>
        <w:t xml:space="preserve"> </w:t>
      </w:r>
    </w:p>
    <w:p w:rsidR="004E21F1" w:rsidRDefault="00B46E01">
      <w:pPr>
        <w:pStyle w:val="wPC"/>
      </w:pPr>
      <w:r>
        <w:t>(2)</w:t>
      </w:r>
      <w:r>
        <w:tab/>
        <w:t xml:space="preserve">interest on obligations acquired from the sale of a capital asset or the performance of services in the ordinary course of a trade or business of selling the property or performing the services; </w:t>
      </w:r>
    </w:p>
    <w:p w:rsidR="004E21F1" w:rsidRDefault="00B46E01">
      <w:pPr>
        <w:pStyle w:val="wPC"/>
      </w:pPr>
      <w:r>
        <w:t>(3)</w:t>
      </w:r>
      <w:r>
        <w:tab/>
        <w:t xml:space="preserve">gross receipts derived in the ordinary course of a trade or business of lending or financing; dealing in property; purchasing or discounting accounts receivable, notes, </w:t>
      </w:r>
      <w:r>
        <w:lastRenderedPageBreak/>
        <w:t>or installment obligations; or servicing mortgages;</w:t>
      </w:r>
      <w:r>
        <w:rPr>
          <w:rStyle w:val="wFootnoteReference"/>
        </w:rPr>
        <w:footnoteReference w:id="7"/>
      </w:r>
      <w:r>
        <w:t xml:space="preserve"> and</w:t>
      </w:r>
    </w:p>
    <w:p w:rsidR="004E21F1" w:rsidRDefault="00B46E01">
      <w:pPr>
        <w:pStyle w:val="wPC"/>
      </w:pPr>
      <w:r>
        <w:t>(4)</w:t>
      </w:r>
      <w:r>
        <w:tab/>
        <w:t>if an S corporation owns 80 percent or more of a C corporation, dividends from the C corporation to the extent the dividends are attributable to the earnings and profits of the C corporation derived from the active conduct of a trade or business.</w:t>
      </w:r>
      <w:r>
        <w:rPr>
          <w:rStyle w:val="wFootnoteReference"/>
        </w:rPr>
        <w:footnoteReference w:id="8"/>
      </w:r>
      <w:r>
        <w:t xml:space="preserve"> </w:t>
      </w:r>
    </w:p>
    <w:p w:rsidR="004E21F1" w:rsidRDefault="00B46E01">
      <w:pPr>
        <w:pStyle w:val="wPA"/>
      </w:pPr>
      <w:r>
        <w:t>If amounts are subject to tax both as built-in gain and as excess net passive income, an adjustment will be made in the amount taxed as passive income.</w:t>
      </w:r>
      <w:r>
        <w:rPr>
          <w:rStyle w:val="wFootnoteReference"/>
        </w:rPr>
        <w:footnoteReference w:id="9"/>
      </w:r>
    </w:p>
    <w:p w:rsidR="004E21F1" w:rsidRDefault="00B46E01">
      <w:pPr>
        <w:pStyle w:val="wPA"/>
      </w:pPr>
      <w:r>
        <w:t>Also, tax is imposed at the corporate level if investment credit attributable to years for which the corporation was not an S corporation is required to be recaptured.</w:t>
      </w:r>
      <w:r>
        <w:rPr>
          <w:rStyle w:val="wFootnoteReference"/>
        </w:rPr>
        <w:footnoteReference w:id="10"/>
      </w:r>
    </w:p>
    <w:p w:rsidR="004E21F1" w:rsidRDefault="00B46E01">
      <w:pPr>
        <w:pStyle w:val="wPA"/>
      </w:pPr>
      <w:r>
        <w:t>Furthermore, an S corporation may be required to make an accelerated tax payment on behalf of its shareholders if the S corporation elects not to use a required taxable year.</w:t>
      </w:r>
      <w:r>
        <w:rPr>
          <w:rStyle w:val="wFootnoteReference"/>
        </w:rPr>
        <w:footnoteReference w:id="11"/>
      </w:r>
      <w:r>
        <w:t xml:space="preserve"> The corporation is also subject to estimated tax requirements with respect to the tax on built-in gain, the tax on excess net passive income and any tax attributable to recapture of investment credit.</w:t>
      </w:r>
      <w:r>
        <w:rPr>
          <w:rStyle w:val="wFootnoteReference"/>
        </w:rPr>
        <w:footnoteReference w:id="12"/>
      </w:r>
    </w:p>
    <w:p w:rsidR="00B46E01" w:rsidRDefault="00B46E01">
      <w:pPr>
        <w:pStyle w:val="wNormal"/>
      </w:pPr>
    </w:p>
    <w:sectPr w:rsidR="00B46E01">
      <w:footnotePr>
        <w:numRestart w:val="eachPage"/>
      </w:footnotePr>
      <w:endnotePr>
        <w:numFmt w:val="decimal"/>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E01" w:rsidRDefault="00B46E01">
      <w:r>
        <w:separator/>
      </w:r>
    </w:p>
  </w:endnote>
  <w:endnote w:type="continuationSeparator" w:id="0">
    <w:p w:rsidR="00B46E01" w:rsidRDefault="00B46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font>
  <w:font w:name="Arial">
    <w:panose1 w:val="020B0604020202020204"/>
    <w:charset w:val="00"/>
    <w:family w:val="swiss"/>
    <w:pitch w:val="variable"/>
    <w:sig w:usb0="E0002AFF" w:usb1="C0007843" w:usb2="00000009" w:usb3="00000000" w:csb0="000001FF" w:csb1="00000000"/>
  </w:font>
  <w:font w:name="Perpetua Std">
    <w:altName w:val="Cambria"/>
    <w:charset w:val="00"/>
    <w:family w:val="roman"/>
    <w:pitch w:val="variable"/>
    <w:sig w:usb0="00000003" w:usb1="00000000" w:usb2="00000000" w:usb3="00000000" w:csb0="00000001" w:csb1="00000000"/>
  </w:font>
  <w:font w:name="Helvetica LT Std">
    <w:altName w:val="Arial Unicode MS"/>
    <w:charset w:val="80"/>
    <w:family w:val="swiss"/>
    <w:pitch w:val="variable"/>
    <w:sig w:usb0="00000001" w:usb1="08070000" w:usb2="00000010" w:usb3="00000000" w:csb0="00020000" w:csb1="00000000"/>
  </w:font>
  <w:font w:name="Adobe Caslon Pro">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charset w:val="80"/>
    <w:family w:val="roman"/>
    <w:pitch w:val="variable"/>
    <w:sig w:usb0="00000001" w:usb1="08070000" w:usb2="00000010" w:usb3="00000000" w:csb0="00020000" w:csb1="00000000"/>
  </w:font>
  <w:font w:name="Perpetu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E01" w:rsidRDefault="00B46E01">
      <w:r>
        <w:separator/>
      </w:r>
    </w:p>
  </w:footnote>
  <w:footnote w:type="continuationSeparator" w:id="0">
    <w:p w:rsidR="00B46E01" w:rsidRDefault="00B46E01">
      <w:r>
        <w:continuationSeparator/>
      </w:r>
    </w:p>
  </w:footnote>
  <w:footnote w:id="1">
    <w:p w:rsidR="004E21F1" w:rsidRDefault="00B46E01">
      <w:pPr>
        <w:pStyle w:val="wPQ"/>
      </w:pPr>
      <w:r>
        <w:rPr>
          <w:rStyle w:val="FootnoteCharacters"/>
          <w:rFonts w:ascii="Perpetua Std" w:hAnsi="Perpetua Std"/>
        </w:rPr>
        <w:footnoteRef/>
      </w:r>
      <w:r>
        <w:tab/>
        <w:t>.</w:t>
      </w:r>
      <w:r>
        <w:tab/>
        <w:t>IRC Sec. 1363(a).</w:t>
      </w:r>
    </w:p>
  </w:footnote>
  <w:footnote w:id="2">
    <w:p w:rsidR="004E21F1" w:rsidRDefault="00B46E01">
      <w:pPr>
        <w:pStyle w:val="wPQ"/>
      </w:pPr>
      <w:r>
        <w:rPr>
          <w:rStyle w:val="FootnoteCharacters"/>
          <w:rFonts w:ascii="Perpetua Std" w:hAnsi="Perpetua Std"/>
        </w:rPr>
        <w:footnoteRef/>
      </w:r>
      <w:r>
        <w:tab/>
        <w:t>.</w:t>
      </w:r>
      <w:r>
        <w:tab/>
        <w:t>IRC Sec. 1374.</w:t>
      </w:r>
    </w:p>
  </w:footnote>
  <w:footnote w:id="3">
    <w:p w:rsidR="004E21F1" w:rsidRDefault="00B46E01">
      <w:pPr>
        <w:pStyle w:val="wPQ"/>
      </w:pPr>
      <w:r>
        <w:rPr>
          <w:rStyle w:val="FootnoteCharacters"/>
          <w:rFonts w:ascii="Perpetua Std" w:hAnsi="Perpetua Std"/>
        </w:rPr>
        <w:footnoteRef/>
      </w:r>
      <w:r>
        <w:tab/>
        <w:t>.</w:t>
      </w:r>
      <w:r>
        <w:tab/>
        <w:t>IRC Sec. 1363(d).</w:t>
      </w:r>
    </w:p>
  </w:footnote>
  <w:footnote w:id="4">
    <w:p w:rsidR="004E21F1" w:rsidRDefault="00B46E01">
      <w:pPr>
        <w:pStyle w:val="wPQ"/>
      </w:pPr>
      <w:r>
        <w:rPr>
          <w:rStyle w:val="FootnoteCharacters"/>
          <w:rFonts w:ascii="Perpetua Std" w:hAnsi="Perpetua Std"/>
        </w:rPr>
        <w:footnoteRef/>
      </w:r>
      <w:r>
        <w:tab/>
        <w:t>.</w:t>
      </w:r>
      <w:r>
        <w:tab/>
        <w:t>IRC Sec. 1375(a).</w:t>
      </w:r>
    </w:p>
  </w:footnote>
  <w:footnote w:id="5">
    <w:p w:rsidR="004E21F1" w:rsidRDefault="00B46E01">
      <w:pPr>
        <w:pStyle w:val="wPQ"/>
      </w:pPr>
      <w:r>
        <w:rPr>
          <w:rStyle w:val="FootnoteCharacters"/>
          <w:rFonts w:ascii="Perpetua Std" w:hAnsi="Perpetua Std"/>
        </w:rPr>
        <w:footnoteRef/>
      </w:r>
      <w:r>
        <w:tab/>
        <w:t>.</w:t>
      </w:r>
      <w:r>
        <w:tab/>
        <w:t>IRC Secs. 1362(d)(3), 1375(b)(3).</w:t>
      </w:r>
    </w:p>
  </w:footnote>
  <w:footnote w:id="6">
    <w:p w:rsidR="004E21F1" w:rsidRDefault="00B46E01">
      <w:pPr>
        <w:pStyle w:val="wPQ"/>
      </w:pPr>
      <w:r>
        <w:rPr>
          <w:rStyle w:val="FootnoteCharacters"/>
          <w:rFonts w:ascii="Perpetua Std" w:hAnsi="Perpetua Std"/>
        </w:rPr>
        <w:footnoteRef/>
      </w:r>
      <w:r>
        <w:tab/>
        <w:t>.</w:t>
      </w:r>
      <w:r>
        <w:tab/>
        <w:t>See Let. Ruls. 9837003, 9611009, 9610016, 9548012, 9534024, 9514005.</w:t>
      </w:r>
    </w:p>
  </w:footnote>
  <w:footnote w:id="7">
    <w:p w:rsidR="004E21F1" w:rsidRDefault="00B46E01">
      <w:pPr>
        <w:pStyle w:val="wPQ"/>
      </w:pPr>
      <w:r>
        <w:rPr>
          <w:rStyle w:val="FootnoteCharacters"/>
          <w:rFonts w:ascii="Perpetua Std" w:hAnsi="Perpetua Std"/>
        </w:rPr>
        <w:footnoteRef/>
      </w:r>
      <w:r>
        <w:tab/>
        <w:t>.</w:t>
      </w:r>
      <w:r>
        <w:tab/>
        <w:t>Treas. Reg. §1.1362-2(c)(5).</w:t>
      </w:r>
    </w:p>
  </w:footnote>
  <w:footnote w:id="8">
    <w:p w:rsidR="004E21F1" w:rsidRDefault="00B46E01">
      <w:pPr>
        <w:pStyle w:val="wPQ"/>
      </w:pPr>
      <w:r>
        <w:rPr>
          <w:rStyle w:val="FootnoteCharacters"/>
          <w:rFonts w:ascii="Perpetua Std" w:hAnsi="Perpetua Std"/>
        </w:rPr>
        <w:footnoteRef/>
      </w:r>
      <w:r>
        <w:tab/>
        <w:t>.</w:t>
      </w:r>
      <w:r>
        <w:tab/>
        <w:t>Treas. Reg. §1.1362-8(a).</w:t>
      </w:r>
    </w:p>
  </w:footnote>
  <w:footnote w:id="9">
    <w:p w:rsidR="004E21F1" w:rsidRDefault="00B46E01">
      <w:pPr>
        <w:pStyle w:val="wPQ"/>
      </w:pPr>
      <w:r>
        <w:rPr>
          <w:rStyle w:val="FootnoteCharacters"/>
          <w:rFonts w:ascii="Perpetua Std" w:hAnsi="Perpetua Std"/>
        </w:rPr>
        <w:footnoteRef/>
      </w:r>
      <w:r>
        <w:tab/>
        <w:t>.</w:t>
      </w:r>
      <w:r>
        <w:tab/>
        <w:t>IRC Sec. 1375(b)(4).</w:t>
      </w:r>
    </w:p>
  </w:footnote>
  <w:footnote w:id="10">
    <w:p w:rsidR="004E21F1" w:rsidRDefault="00B46E01">
      <w:pPr>
        <w:pStyle w:val="wPQ"/>
      </w:pPr>
      <w:r>
        <w:rPr>
          <w:rStyle w:val="FootnoteCharacters"/>
          <w:rFonts w:ascii="Perpetua Std" w:hAnsi="Perpetua Std"/>
        </w:rPr>
        <w:footnoteRef/>
      </w:r>
      <w:r>
        <w:tab/>
        <w:t>.</w:t>
      </w:r>
      <w:r>
        <w:tab/>
        <w:t>IRC Sec. 1371(d).</w:t>
      </w:r>
    </w:p>
  </w:footnote>
  <w:footnote w:id="11">
    <w:p w:rsidR="004E21F1" w:rsidRDefault="00B46E01">
      <w:pPr>
        <w:pStyle w:val="wPQ"/>
      </w:pPr>
      <w:r>
        <w:rPr>
          <w:rStyle w:val="FootnoteCharacters"/>
          <w:rFonts w:ascii="Perpetua Std" w:hAnsi="Perpetua Std"/>
        </w:rPr>
        <w:footnoteRef/>
      </w:r>
      <w:r>
        <w:tab/>
        <w:t>.</w:t>
      </w:r>
      <w:r>
        <w:tab/>
        <w:t>IRC Sec. 7519.</w:t>
      </w:r>
    </w:p>
  </w:footnote>
  <w:footnote w:id="12">
    <w:p w:rsidR="004E21F1" w:rsidRDefault="00B46E01">
      <w:pPr>
        <w:pStyle w:val="wPQ"/>
      </w:pPr>
      <w:r>
        <w:rPr>
          <w:rStyle w:val="FootnoteCharacters"/>
          <w:rFonts w:ascii="Perpetua Std" w:hAnsi="Perpetua Std"/>
        </w:rPr>
        <w:footnoteRef/>
      </w:r>
      <w:r>
        <w:tab/>
        <w:t>.</w:t>
      </w:r>
      <w:r>
        <w:tab/>
        <w:t>IRC Sec. 6655(g)(4).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trackRevisions/>
  <w:defaultTabStop w:val="720"/>
  <w:drawingGridHorizontalSpacing w:val="120"/>
  <w:drawingGridVerticalSpacing w:val="120"/>
  <w:displayVerticalDrawingGridEvery w:val="0"/>
  <w:doNotUseMarginsForDrawingGridOrigin/>
  <w:characterSpacingControl w:val="doNotCompress"/>
  <w:footnotePr>
    <w:numRestart w:val="eachPage"/>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C89"/>
    <w:rsid w:val="004E21F1"/>
    <w:rsid w:val="0062334B"/>
    <w:rsid w:val="00706A12"/>
    <w:rsid w:val="00713C89"/>
    <w:rsid w:val="007A74F0"/>
    <w:rsid w:val="00B46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hAnsi="StarSymbol"/>
      <w:sz w:val="18"/>
    </w:rPr>
  </w:style>
  <w:style w:type="character" w:customStyle="1" w:styleId="EndnoteCharacters">
    <w:name w:val="Endnote Characters"/>
  </w:style>
  <w:style w:type="character" w:styleId="FootnoteReference">
    <w:name w:val="footnote reference"/>
    <w:semiHidden/>
    <w:rPr>
      <w:vertAlign w:val="superscript"/>
    </w:rPr>
  </w:style>
  <w:style w:type="character" w:customStyle="1" w:styleId="wDefaultParagraphFont">
    <w:name w:val="wDefaultParagraphFont"/>
  </w:style>
  <w:style w:type="character" w:customStyle="1" w:styleId="wHeading1Char">
    <w:name w:val="wHeading1Char"/>
    <w:rPr>
      <w:b/>
    </w:rPr>
  </w:style>
  <w:style w:type="character" w:customStyle="1" w:styleId="wHeading2Char">
    <w:name w:val="wHeading2Char"/>
    <w:rPr>
      <w:b/>
      <w:i/>
    </w:rPr>
  </w:style>
  <w:style w:type="character" w:customStyle="1" w:styleId="wHeading3Char">
    <w:name w:val="wHeading3Char"/>
  </w:style>
  <w:style w:type="character" w:customStyle="1" w:styleId="wPAChar">
    <w:name w:val="wPAChar"/>
  </w:style>
  <w:style w:type="character" w:customStyle="1" w:styleId="wFootnoteTextChar">
    <w:name w:val="wFootnoteTextChar"/>
  </w:style>
  <w:style w:type="character" w:customStyle="1" w:styleId="wFootnoteReference">
    <w:name w:val="wFootnoteReference"/>
  </w:style>
  <w:style w:type="character" w:customStyle="1" w:styleId="wPQChar">
    <w:name w:val="wPQChar"/>
  </w:style>
  <w:style w:type="character" w:customStyle="1" w:styleId="wBalloonTextChar">
    <w:name w:val="wBalloonTextChar"/>
  </w:style>
  <w:style w:type="character" w:customStyle="1" w:styleId="wCommentReference">
    <w:name w:val="wCommentReference"/>
  </w:style>
  <w:style w:type="character" w:customStyle="1" w:styleId="wCommentTextChar">
    <w:name w:val="wCommentTextChar"/>
  </w:style>
  <w:style w:type="character" w:customStyle="1" w:styleId="wCommentSubjectChar">
    <w:name w:val="wCommentSubjectChar"/>
    <w:rPr>
      <w:b/>
    </w:rPr>
  </w:style>
  <w:style w:type="character" w:customStyle="1" w:styleId="wIndexChar">
    <w:name w:val="wIndexChar"/>
  </w:style>
  <w:style w:type="character" w:customStyle="1" w:styleId="wFooterChar">
    <w:name w:val="wFooterChar"/>
  </w:style>
  <w:style w:type="character" w:customStyle="1" w:styleId="wHeaderChar">
    <w:name w:val="wHeaderChar"/>
  </w:style>
  <w:style w:type="character" w:customStyle="1" w:styleId="wFollowedHyperlink">
    <w:name w:val="wFollowedHyperlink"/>
  </w:style>
  <w:style w:type="character" w:customStyle="1" w:styleId="wHyperlink">
    <w:name w:val="wHyperlink"/>
  </w:style>
  <w:style w:type="character" w:customStyle="1" w:styleId="wPCChar">
    <w:name w:val="wPCChar"/>
  </w:style>
  <w:style w:type="character" w:customStyle="1" w:styleId="wStrong">
    <w:name w:val="wStrong"/>
    <w:rPr>
      <w:b/>
    </w:rPr>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customStyle="1" w:styleId="wNormal">
    <w:name w:val="wNormal"/>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Heading1">
    <w:name w:val="wHeading1"/>
    <w:basedOn w:val="wNormal"/>
    <w:next w:val="wNormal"/>
    <w:pPr>
      <w:keepNext/>
    </w:pPr>
  </w:style>
  <w:style w:type="paragraph" w:customStyle="1" w:styleId="wHeading2">
    <w:name w:val="wHeading2"/>
    <w:basedOn w:val="wNormal"/>
    <w:next w:val="wNormal"/>
    <w:pPr>
      <w:keepNext/>
      <w:spacing w:before="240" w:after="60"/>
    </w:pPr>
    <w:rPr>
      <w:rFonts w:ascii="Arial" w:hAnsi="Arial"/>
      <w:sz w:val="24"/>
    </w:rPr>
  </w:style>
  <w:style w:type="paragraph" w:customStyle="1" w:styleId="wHeading3">
    <w:name w:val="wHeading3"/>
    <w:basedOn w:val="wNormal"/>
    <w:next w:val="wNormal"/>
    <w:pPr>
      <w:keepNext/>
      <w:spacing w:before="240" w:after="60"/>
    </w:pPr>
    <w:rPr>
      <w:rFonts w:ascii="Arial" w:hAnsi="Arial"/>
      <w:sz w:val="24"/>
    </w:rPr>
  </w:style>
  <w:style w:type="paragraph" w:customStyle="1" w:styleId="wListParagraph">
    <w:name w:val="wListParagraph"/>
    <w:basedOn w:val="wNormal"/>
    <w:pPr>
      <w:ind w:left="720"/>
    </w:pPr>
  </w:style>
  <w:style w:type="paragraph" w:customStyle="1" w:styleId="wTOCHeading">
    <w:name w:val="wTOCHeading"/>
    <w:basedOn w:val="wHeading1"/>
    <w:next w:val="wHeading1"/>
  </w:style>
  <w:style w:type="paragraph" w:customStyle="1" w:styleId="wQU">
    <w:name w:val="wQU"/>
    <w:pPr>
      <w:widowControl w:val="0"/>
      <w:suppressAutoHyphens/>
      <w:overflowPunct w:val="0"/>
      <w:autoSpaceDE w:val="0"/>
      <w:autoSpaceDN w:val="0"/>
      <w:adjustRightInd w:val="0"/>
      <w:spacing w:after="240"/>
      <w:jc w:val="both"/>
      <w:textAlignment w:val="baseline"/>
    </w:pPr>
    <w:rPr>
      <w:rFonts w:ascii="Helvetica LT Std" w:eastAsia="Helvetica LT Std"/>
      <w:color w:val="000000"/>
      <w:kern w:val="1"/>
      <w:sz w:val="26"/>
      <w:lang w:val="en"/>
    </w:rPr>
  </w:style>
  <w:style w:type="paragraph" w:customStyle="1" w:styleId="wPA">
    <w:name w:val="wPA"/>
    <w:pPr>
      <w:widowControl w:val="0"/>
      <w:suppressAutoHyphens/>
      <w:overflowPunct w:val="0"/>
      <w:autoSpaceDE w:val="0"/>
      <w:autoSpaceDN w:val="0"/>
      <w:adjustRightInd w:val="0"/>
      <w:spacing w:after="240"/>
      <w:ind w:firstLine="288"/>
      <w:jc w:val="both"/>
      <w:textAlignment w:val="baseline"/>
    </w:pPr>
    <w:rPr>
      <w:rFonts w:ascii="Perpetua Std" w:hAnsi="Perpetua Std"/>
      <w:color w:val="000000"/>
      <w:kern w:val="1"/>
      <w:sz w:val="24"/>
      <w:lang w:val="en"/>
    </w:rPr>
  </w:style>
  <w:style w:type="paragraph" w:customStyle="1" w:styleId="wFootnoteText">
    <w:name w:val="wFootnoteText"/>
    <w:basedOn w:val="wNormal"/>
    <w:rPr>
      <w:rFonts w:ascii="Times New Roman" w:hAnsi="Times New Roman"/>
    </w:rPr>
  </w:style>
  <w:style w:type="paragraph" w:customStyle="1" w:styleId="wHD">
    <w:name w:val="wHD"/>
    <w:pPr>
      <w:widowControl w:val="0"/>
      <w:suppressAutoHyphens/>
      <w:overflowPunct w:val="0"/>
      <w:autoSpaceDE w:val="0"/>
      <w:autoSpaceDN w:val="0"/>
      <w:adjustRightInd w:val="0"/>
      <w:spacing w:before="120"/>
      <w:jc w:val="center"/>
      <w:textAlignment w:val="baseline"/>
    </w:pPr>
    <w:rPr>
      <w:rFonts w:ascii="Helvetica LT Std" w:eastAsia="Helvetica LT Std"/>
      <w:kern w:val="1"/>
      <w:sz w:val="26"/>
      <w:lang w:val="en"/>
    </w:rPr>
  </w:style>
  <w:style w:type="paragraph" w:customStyle="1" w:styleId="wPQ">
    <w:name w:val="wPQ"/>
    <w:pPr>
      <w:widowControl w:val="0"/>
      <w:tabs>
        <w:tab w:val="left" w:pos="360"/>
      </w:tabs>
      <w:suppressAutoHyphens/>
      <w:overflowPunct w:val="0"/>
      <w:autoSpaceDE w:val="0"/>
      <w:autoSpaceDN w:val="0"/>
      <w:adjustRightInd w:val="0"/>
      <w:spacing w:after="120"/>
      <w:ind w:left="360" w:hanging="360"/>
      <w:jc w:val="both"/>
      <w:textAlignment w:val="baseline"/>
    </w:pPr>
    <w:rPr>
      <w:rFonts w:ascii="Adobe Caslon Pro" w:hAnsi="Adobe Caslon Pro"/>
      <w:color w:val="000000"/>
      <w:kern w:val="1"/>
      <w:sz w:val="14"/>
      <w:lang w:val="en"/>
    </w:rPr>
  </w:style>
  <w:style w:type="paragraph" w:customStyle="1" w:styleId="wPC">
    <w:name w:val="wPC"/>
    <w:pPr>
      <w:widowControl w:val="0"/>
      <w:tabs>
        <w:tab w:val="left" w:pos="720"/>
      </w:tabs>
      <w:suppressAutoHyphens/>
      <w:overflowPunct w:val="0"/>
      <w:autoSpaceDE w:val="0"/>
      <w:autoSpaceDN w:val="0"/>
      <w:adjustRightInd w:val="0"/>
      <w:spacing w:after="240"/>
      <w:ind w:left="720" w:hanging="360"/>
      <w:jc w:val="both"/>
      <w:textAlignment w:val="baseline"/>
    </w:pPr>
    <w:rPr>
      <w:rFonts w:ascii="Perpetua Std" w:hAnsi="Perpetua Std"/>
      <w:color w:val="000000"/>
      <w:kern w:val="1"/>
      <w:sz w:val="24"/>
      <w:lang w:val="en"/>
    </w:rPr>
  </w:style>
  <w:style w:type="paragraph" w:customStyle="1" w:styleId="wBalloonText">
    <w:name w:val="wBalloonText"/>
    <w:basedOn w:val="wNormal"/>
    <w:rPr>
      <w:rFonts w:ascii="Tahoma" w:hAnsi="Tahoma"/>
      <w:sz w:val="16"/>
    </w:rPr>
  </w:style>
  <w:style w:type="paragraph" w:customStyle="1" w:styleId="wCommentText">
    <w:name w:val="wCommentText"/>
    <w:basedOn w:val="wNormal"/>
  </w:style>
  <w:style w:type="paragraph" w:customStyle="1" w:styleId="wCommentSubject">
    <w:name w:val="wCommentSubject"/>
    <w:basedOn w:val="wCommentText"/>
    <w:next w:val="wCommentText"/>
  </w:style>
  <w:style w:type="paragraph" w:customStyle="1" w:styleId="wPB">
    <w:name w:val="wPB"/>
    <w:pPr>
      <w:widowControl w:val="0"/>
      <w:suppressAutoHyphens/>
      <w:overflowPunct w:val="0"/>
      <w:autoSpaceDE w:val="0"/>
      <w:autoSpaceDN w:val="0"/>
      <w:adjustRightInd w:val="0"/>
      <w:spacing w:after="240"/>
      <w:jc w:val="both"/>
      <w:textAlignment w:val="baseline"/>
    </w:pPr>
    <w:rPr>
      <w:rFonts w:ascii="Perpetua Std" w:hAnsi="Perpetua Std"/>
      <w:color w:val="000000"/>
      <w:kern w:val="1"/>
      <w:sz w:val="24"/>
      <w:lang w:val="en"/>
    </w:rPr>
  </w:style>
  <w:style w:type="paragraph" w:customStyle="1" w:styleId="wPD">
    <w:name w:val="wPD"/>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sz w:val="24"/>
      <w:lang w:val="en"/>
    </w:rPr>
  </w:style>
  <w:style w:type="paragraph" w:customStyle="1" w:styleId="wPE">
    <w:name w:val="wPE"/>
    <w:pPr>
      <w:widowControl w:val="0"/>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
    <w:name w:val="wPF"/>
    <w:pPr>
      <w:widowControl w:val="0"/>
      <w:tabs>
        <w:tab w:val="left" w:pos="1080"/>
      </w:tabs>
      <w:suppressAutoHyphens/>
      <w:overflowPunct w:val="0"/>
      <w:autoSpaceDE w:val="0"/>
      <w:autoSpaceDN w:val="0"/>
      <w:adjustRightInd w:val="0"/>
      <w:spacing w:after="240"/>
      <w:ind w:left="1080" w:hanging="360"/>
      <w:jc w:val="both"/>
      <w:textAlignment w:val="baseline"/>
    </w:pPr>
    <w:rPr>
      <w:rFonts w:ascii="Perpetua Std" w:hAnsi="Perpetua Std"/>
      <w:color w:val="000000"/>
      <w:kern w:val="1"/>
      <w:sz w:val="24"/>
      <w:lang w:val="en"/>
    </w:rPr>
  </w:style>
  <w:style w:type="paragraph" w:customStyle="1" w:styleId="wPG">
    <w:name w:val="wPG"/>
    <w:pPr>
      <w:widowControl w:val="0"/>
      <w:suppressAutoHyphens/>
      <w:overflowPunct w:val="0"/>
      <w:autoSpaceDE w:val="0"/>
      <w:autoSpaceDN w:val="0"/>
      <w:adjustRightInd w:val="0"/>
      <w:spacing w:after="240"/>
      <w:ind w:left="360"/>
      <w:jc w:val="both"/>
      <w:textAlignment w:val="baseline"/>
    </w:pPr>
    <w:rPr>
      <w:rFonts w:ascii="Perpetua Std" w:hAnsi="Perpetua Std"/>
      <w:color w:val="000000"/>
      <w:kern w:val="1"/>
      <w:sz w:val="24"/>
      <w:lang w:val="en"/>
    </w:rPr>
  </w:style>
  <w:style w:type="paragraph" w:customStyle="1" w:styleId="wPH">
    <w:name w:val="wPH"/>
    <w:pPr>
      <w:widowControl w:val="0"/>
      <w:tabs>
        <w:tab w:val="left" w:pos="360"/>
      </w:tabs>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I">
    <w:name w:val="wPI"/>
    <w:pPr>
      <w:widowControl w:val="0"/>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K">
    <w:name w:val="wPK"/>
    <w:pPr>
      <w:widowControl w:val="0"/>
      <w:suppressAutoHyphens/>
      <w:overflowPunct w:val="0"/>
      <w:autoSpaceDE w:val="0"/>
      <w:autoSpaceDN w:val="0"/>
      <w:adjustRightInd w:val="0"/>
      <w:spacing w:after="240"/>
      <w:ind w:left="360" w:firstLine="288"/>
      <w:jc w:val="both"/>
      <w:textAlignment w:val="baseline"/>
    </w:pPr>
    <w:rPr>
      <w:rFonts w:ascii="Perpetua Std" w:hAnsi="Perpetua Std"/>
      <w:color w:val="000000"/>
      <w:kern w:val="1"/>
      <w:sz w:val="24"/>
      <w:lang w:val="en"/>
    </w:rPr>
  </w:style>
  <w:style w:type="paragraph" w:customStyle="1" w:styleId="wPL">
    <w:name w:val="wPL"/>
    <w:pPr>
      <w:widowControl w:val="0"/>
      <w:suppressAutoHyphens/>
      <w:overflowPunct w:val="0"/>
      <w:autoSpaceDE w:val="0"/>
      <w:autoSpaceDN w:val="0"/>
      <w:adjustRightInd w:val="0"/>
      <w:spacing w:after="240"/>
      <w:jc w:val="right"/>
      <w:textAlignment w:val="baseline"/>
    </w:pPr>
    <w:rPr>
      <w:rFonts w:ascii="Minion Pro" w:eastAsia="Minion Pro"/>
      <w:kern w:val="1"/>
      <w:sz w:val="16"/>
      <w:lang w:val="en"/>
    </w:rPr>
  </w:style>
  <w:style w:type="paragraph" w:customStyle="1" w:styleId="wPX">
    <w:name w:val="wPX"/>
    <w:pPr>
      <w:widowControl w:val="0"/>
      <w:suppressAutoHyphens/>
      <w:overflowPunct w:val="0"/>
      <w:autoSpaceDE w:val="0"/>
      <w:autoSpaceDN w:val="0"/>
      <w:adjustRightInd w:val="0"/>
      <w:spacing w:after="240"/>
      <w:ind w:left="432" w:right="432" w:firstLine="432"/>
      <w:jc w:val="both"/>
      <w:textAlignment w:val="baseline"/>
    </w:pPr>
    <w:rPr>
      <w:rFonts w:ascii="Minion Pro" w:eastAsia="Minion Pro"/>
      <w:kern w:val="1"/>
      <w:lang w:val="en"/>
    </w:rPr>
  </w:style>
  <w:style w:type="paragraph" w:customStyle="1" w:styleId="wTOC">
    <w:name w:val="wTOC"/>
    <w:pPr>
      <w:widowControl w:val="0"/>
      <w:tabs>
        <w:tab w:val="left" w:pos="720"/>
        <w:tab w:val="left" w:pos="1440"/>
        <w:tab w:val="right" w:leader="dot" w:pos="8639"/>
      </w:tabs>
      <w:suppressAutoHyphens/>
      <w:overflowPunct w:val="0"/>
      <w:autoSpaceDE w:val="0"/>
      <w:autoSpaceDN w:val="0"/>
      <w:adjustRightInd w:val="0"/>
      <w:ind w:left="720" w:hanging="720"/>
      <w:textAlignment w:val="baseline"/>
    </w:pPr>
    <w:rPr>
      <w:rFonts w:ascii="Perpetua Std" w:hAnsi="Perpetua Std"/>
      <w:color w:val="000000"/>
      <w:kern w:val="1"/>
      <w:sz w:val="24"/>
      <w:lang w:val="en"/>
    </w:rPr>
  </w:style>
  <w:style w:type="paragraph" w:customStyle="1" w:styleId="wIndex">
    <w:name w:val="wIndex"/>
    <w:basedOn w:val="wTOC"/>
    <w:pPr>
      <w:tabs>
        <w:tab w:val="clear" w:pos="720"/>
        <w:tab w:val="left" w:pos="240"/>
        <w:tab w:val="left" w:pos="480"/>
        <w:tab w:val="decimal" w:pos="1440"/>
        <w:tab w:val="right" w:leader="dot" w:pos="4679"/>
        <w:tab w:val="decimal" w:pos="8639"/>
      </w:tabs>
      <w:ind w:left="0" w:firstLine="0"/>
    </w:pPr>
    <w:rPr>
      <w:sz w:val="22"/>
    </w:rPr>
  </w:style>
  <w:style w:type="paragraph" w:customStyle="1" w:styleId="wPP">
    <w:name w:val="wPP"/>
    <w:pPr>
      <w:widowControl w:val="0"/>
      <w:pBdr>
        <w:top w:val="single" w:sz="6" w:space="1" w:color="000000"/>
        <w:bottom w:val="single" w:sz="6" w:space="1" w:color="000000"/>
      </w:pBdr>
      <w:suppressAutoHyphens/>
      <w:overflowPunct w:val="0"/>
      <w:autoSpaceDE w:val="0"/>
      <w:autoSpaceDN w:val="0"/>
      <w:adjustRightInd w:val="0"/>
      <w:spacing w:after="240"/>
      <w:jc w:val="both"/>
      <w:textAlignment w:val="baseline"/>
    </w:pPr>
    <w:rPr>
      <w:rFonts w:ascii="Helvetica LT Std" w:eastAsia="Helvetica LT Std"/>
      <w:color w:val="000000"/>
      <w:kern w:val="1"/>
      <w:sz w:val="22"/>
      <w:lang w:val="en"/>
    </w:rPr>
  </w:style>
  <w:style w:type="paragraph" w:customStyle="1" w:styleId="wHE">
    <w:name w:val="wHE"/>
    <w:pPr>
      <w:widowControl w:val="0"/>
      <w:suppressAutoHyphens/>
      <w:overflowPunct w:val="0"/>
      <w:autoSpaceDE w:val="0"/>
      <w:autoSpaceDN w:val="0"/>
      <w:adjustRightInd w:val="0"/>
      <w:spacing w:before="120" w:after="120"/>
      <w:jc w:val="center"/>
      <w:textAlignment w:val="baseline"/>
    </w:pPr>
    <w:rPr>
      <w:rFonts w:ascii="Helvetica LT Std" w:eastAsia="Helvetica LT Std"/>
      <w:kern w:val="1"/>
      <w:sz w:val="24"/>
      <w:lang w:val="en"/>
    </w:rPr>
  </w:style>
  <w:style w:type="paragraph" w:customStyle="1" w:styleId="wPN">
    <w:name w:val="wPN"/>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lang w:val="en"/>
    </w:rPr>
  </w:style>
  <w:style w:type="paragraph" w:customStyle="1" w:styleId="wHA">
    <w:name w:val="wHA"/>
    <w:pPr>
      <w:widowControl w:val="0"/>
      <w:suppressAutoHyphens/>
      <w:overflowPunct w:val="0"/>
      <w:autoSpaceDE w:val="0"/>
      <w:autoSpaceDN w:val="0"/>
      <w:adjustRightInd w:val="0"/>
      <w:spacing w:after="240"/>
      <w:jc w:val="center"/>
      <w:textAlignment w:val="baseline"/>
    </w:pPr>
    <w:rPr>
      <w:rFonts w:ascii="Helvetica LT Std" w:eastAsia="Helvetica LT Std"/>
      <w:caps/>
      <w:color w:val="000000"/>
      <w:kern w:val="1"/>
      <w:sz w:val="36"/>
      <w:lang w:val="en"/>
    </w:rPr>
  </w:style>
  <w:style w:type="paragraph" w:customStyle="1" w:styleId="wHB">
    <w:name w:val="wHB"/>
    <w:pPr>
      <w:widowControl w:val="0"/>
      <w:suppressAutoHyphens/>
      <w:overflowPunct w:val="0"/>
      <w:autoSpaceDE w:val="0"/>
      <w:autoSpaceDN w:val="0"/>
      <w:adjustRightInd w:val="0"/>
      <w:spacing w:before="120" w:after="240"/>
      <w:jc w:val="center"/>
      <w:textAlignment w:val="baseline"/>
    </w:pPr>
    <w:rPr>
      <w:rFonts w:ascii="Helvetica LT Std" w:eastAsia="Helvetica LT Std"/>
      <w:color w:val="000000"/>
      <w:kern w:val="1"/>
      <w:sz w:val="32"/>
      <w:lang w:val="en"/>
    </w:rPr>
  </w:style>
  <w:style w:type="paragraph" w:customStyle="1" w:styleId="wHC">
    <w:name w:val="wHC"/>
    <w:pPr>
      <w:widowControl w:val="0"/>
      <w:tabs>
        <w:tab w:val="left" w:pos="284"/>
      </w:tabs>
      <w:suppressAutoHyphens/>
      <w:overflowPunct w:val="0"/>
      <w:autoSpaceDE w:val="0"/>
      <w:autoSpaceDN w:val="0"/>
      <w:adjustRightInd w:val="0"/>
      <w:spacing w:before="120" w:after="120"/>
      <w:jc w:val="center"/>
      <w:textAlignment w:val="baseline"/>
    </w:pPr>
    <w:rPr>
      <w:rFonts w:ascii="Helvetica LT Std" w:eastAsia="Helvetica LT Std"/>
      <w:color w:val="000000"/>
      <w:kern w:val="1"/>
      <w:sz w:val="26"/>
      <w:lang w:val="en"/>
    </w:rPr>
  </w:style>
  <w:style w:type="paragraph" w:customStyle="1" w:styleId="wPR">
    <w:name w:val="wPR"/>
    <w:pPr>
      <w:widowControl w:val="0"/>
      <w:suppressAutoHyphens/>
      <w:overflowPunct w:val="0"/>
      <w:autoSpaceDE w:val="0"/>
      <w:autoSpaceDN w:val="0"/>
      <w:adjustRightInd w:val="0"/>
      <w:spacing w:after="240"/>
      <w:ind w:left="360" w:firstLine="288"/>
      <w:jc w:val="both"/>
      <w:textAlignment w:val="baseline"/>
    </w:pPr>
    <w:rPr>
      <w:rFonts w:ascii="Adobe Caslon Pro" w:hAnsi="Adobe Caslon Pro"/>
      <w:color w:val="000000"/>
      <w:kern w:val="1"/>
      <w:sz w:val="14"/>
      <w:lang w:val="en"/>
    </w:rPr>
  </w:style>
  <w:style w:type="paragraph" w:customStyle="1" w:styleId="wPO">
    <w:name w:val="wPO"/>
    <w:pPr>
      <w:widowControl w:val="0"/>
      <w:suppressAutoHyphens/>
      <w:overflowPunct w:val="0"/>
      <w:autoSpaceDE w:val="0"/>
      <w:autoSpaceDN w:val="0"/>
      <w:adjustRightInd w:val="0"/>
      <w:spacing w:after="240"/>
      <w:jc w:val="both"/>
      <w:textAlignment w:val="baseline"/>
    </w:pPr>
    <w:rPr>
      <w:rFonts w:ascii="Perpetua Std" w:hAnsi="Perpetua Std"/>
      <w:color w:val="000000"/>
      <w:kern w:val="1"/>
      <w:lang w:val="en"/>
    </w:rPr>
  </w:style>
  <w:style w:type="paragraph" w:customStyle="1" w:styleId="wGUIDEX">
    <w:name w:val="wGUIDEX"/>
    <w:pPr>
      <w:widowControl w:val="0"/>
      <w:tabs>
        <w:tab w:val="left" w:leader="dot" w:pos="4564"/>
        <w:tab w:val="center" w:pos="5759"/>
        <w:tab w:val="center" w:pos="7199"/>
        <w:tab w:val="center" w:pos="8639"/>
      </w:tabs>
      <w:suppressAutoHyphens/>
      <w:overflowPunct w:val="0"/>
      <w:autoSpaceDE w:val="0"/>
      <w:autoSpaceDN w:val="0"/>
      <w:adjustRightInd w:val="0"/>
      <w:textAlignment w:val="baseline"/>
    </w:pPr>
    <w:rPr>
      <w:rFonts w:ascii="Helvetica LT Std" w:eastAsia="Helvetica LT Std"/>
      <w:color w:val="000000"/>
      <w:kern w:val="1"/>
      <w:lang w:val="en"/>
    </w:rPr>
  </w:style>
  <w:style w:type="paragraph" w:customStyle="1" w:styleId="wIndex2">
    <w:name w:val="wIndex2"/>
    <w:basedOn w:val="wIndex"/>
    <w:pPr>
      <w:tabs>
        <w:tab w:val="clear" w:pos="1440"/>
        <w:tab w:val="clear" w:pos="8639"/>
        <w:tab w:val="decimal" w:pos="240"/>
        <w:tab w:val="decimal" w:pos="480"/>
        <w:tab w:val="decimal" w:pos="720"/>
        <w:tab w:val="right" w:pos="4679"/>
      </w:tabs>
    </w:pPr>
  </w:style>
  <w:style w:type="paragraph" w:customStyle="1" w:styleId="wPCB">
    <w:name w:val="wPCB"/>
    <w:pPr>
      <w:widowControl w:val="0"/>
      <w:tabs>
        <w:tab w:val="left" w:pos="720"/>
      </w:tabs>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B">
    <w:name w:val="wPFB"/>
    <w:pPr>
      <w:widowControl w:val="0"/>
      <w:tabs>
        <w:tab w:val="left" w:pos="1080"/>
      </w:tabs>
      <w:suppressAutoHyphens/>
      <w:overflowPunct w:val="0"/>
      <w:autoSpaceDE w:val="0"/>
      <w:autoSpaceDN w:val="0"/>
      <w:adjustRightInd w:val="0"/>
      <w:spacing w:after="240"/>
      <w:ind w:left="1080"/>
      <w:jc w:val="both"/>
      <w:textAlignment w:val="baseline"/>
    </w:pPr>
    <w:rPr>
      <w:rFonts w:ascii="Perpetua Std" w:hAnsi="Perpetua Std"/>
      <w:kern w:val="1"/>
      <w:sz w:val="24"/>
      <w:lang w:val="en"/>
    </w:rPr>
  </w:style>
  <w:style w:type="paragraph" w:customStyle="1" w:styleId="wNoSpacing">
    <w:name w:val="wNoSpacing"/>
    <w:pPr>
      <w:widowControl w:val="0"/>
      <w:suppressAutoHyphens/>
      <w:overflowPunct w:val="0"/>
      <w:autoSpaceDE w:val="0"/>
      <w:autoSpaceDN w:val="0"/>
      <w:adjustRightInd w:val="0"/>
      <w:textAlignment w:val="baseline"/>
    </w:pPr>
    <w:rPr>
      <w:rFonts w:ascii="Perpetua" w:hAnsi="Perpetua"/>
      <w:kern w:val="1"/>
      <w:lang w:val="en"/>
    </w:rPr>
  </w:style>
  <w:style w:type="paragraph" w:customStyle="1" w:styleId="wPCA">
    <w:name w:val="wPCA"/>
    <w:pPr>
      <w:widowControl w:val="0"/>
      <w:tabs>
        <w:tab w:val="left" w:pos="72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PHB">
    <w:name w:val="wPHB"/>
    <w:pPr>
      <w:widowControl w:val="0"/>
      <w:tabs>
        <w:tab w:val="left" w:pos="36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Footer">
    <w:name w:val="wFooter"/>
    <w:basedOn w:val="wNormal"/>
    <w:pPr>
      <w:tabs>
        <w:tab w:val="center" w:pos="4319"/>
        <w:tab w:val="right" w:pos="8639"/>
      </w:tabs>
    </w:pPr>
  </w:style>
  <w:style w:type="paragraph" w:customStyle="1" w:styleId="wHeader">
    <w:name w:val="wHeader"/>
    <w:basedOn w:val="wNormal"/>
    <w:pPr>
      <w:tabs>
        <w:tab w:val="center" w:pos="4319"/>
        <w:tab w:val="right" w:pos="8639"/>
      </w:tabs>
    </w:pPr>
  </w:style>
  <w:style w:type="paragraph" w:customStyle="1" w:styleId="wStandard">
    <w:name w:val="wStandard"/>
    <w:pPr>
      <w:widowControl w:val="0"/>
      <w:suppressAutoHyphens/>
      <w:overflowPunct w:val="0"/>
      <w:autoSpaceDE w:val="0"/>
      <w:autoSpaceDN w:val="0"/>
      <w:adjustRightInd w:val="0"/>
      <w:spacing w:before="144"/>
      <w:jc w:val="both"/>
      <w:textAlignment w:val="baseline"/>
    </w:pPr>
    <w:rPr>
      <w:kern w:val="1"/>
      <w:lang w:val="en"/>
    </w:rPr>
  </w:style>
  <w:style w:type="paragraph" w:customStyle="1" w:styleId="wPerpetuaStd">
    <w:name w:val="wPerpetuaStd"/>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NormalWeb">
    <w:name w:val="wNormalWeb"/>
    <w:basedOn w:val="wNormal"/>
    <w:rPr>
      <w:rFonts w:ascii="Times New Roman" w:hAnsi="Times New Roman"/>
      <w:sz w:val="24"/>
    </w:rPr>
  </w:style>
  <w:style w:type="paragraph" w:styleId="FootnoteText">
    <w:name w:val="footnote text"/>
    <w:basedOn w:val="Normal"/>
    <w:semiHidden/>
    <w:pPr>
      <w:suppressLineNumbers/>
      <w:ind w:left="283" w:hanging="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hAnsi="StarSymbol"/>
      <w:sz w:val="18"/>
    </w:rPr>
  </w:style>
  <w:style w:type="character" w:customStyle="1" w:styleId="EndnoteCharacters">
    <w:name w:val="Endnote Characters"/>
  </w:style>
  <w:style w:type="character" w:styleId="FootnoteReference">
    <w:name w:val="footnote reference"/>
    <w:semiHidden/>
    <w:rPr>
      <w:vertAlign w:val="superscript"/>
    </w:rPr>
  </w:style>
  <w:style w:type="character" w:customStyle="1" w:styleId="wDefaultParagraphFont">
    <w:name w:val="wDefaultParagraphFont"/>
  </w:style>
  <w:style w:type="character" w:customStyle="1" w:styleId="wHeading1Char">
    <w:name w:val="wHeading1Char"/>
    <w:rPr>
      <w:b/>
    </w:rPr>
  </w:style>
  <w:style w:type="character" w:customStyle="1" w:styleId="wHeading2Char">
    <w:name w:val="wHeading2Char"/>
    <w:rPr>
      <w:b/>
      <w:i/>
    </w:rPr>
  </w:style>
  <w:style w:type="character" w:customStyle="1" w:styleId="wHeading3Char">
    <w:name w:val="wHeading3Char"/>
  </w:style>
  <w:style w:type="character" w:customStyle="1" w:styleId="wPAChar">
    <w:name w:val="wPAChar"/>
  </w:style>
  <w:style w:type="character" w:customStyle="1" w:styleId="wFootnoteTextChar">
    <w:name w:val="wFootnoteTextChar"/>
  </w:style>
  <w:style w:type="character" w:customStyle="1" w:styleId="wFootnoteReference">
    <w:name w:val="wFootnoteReference"/>
  </w:style>
  <w:style w:type="character" w:customStyle="1" w:styleId="wPQChar">
    <w:name w:val="wPQChar"/>
  </w:style>
  <w:style w:type="character" w:customStyle="1" w:styleId="wBalloonTextChar">
    <w:name w:val="wBalloonTextChar"/>
  </w:style>
  <w:style w:type="character" w:customStyle="1" w:styleId="wCommentReference">
    <w:name w:val="wCommentReference"/>
  </w:style>
  <w:style w:type="character" w:customStyle="1" w:styleId="wCommentTextChar">
    <w:name w:val="wCommentTextChar"/>
  </w:style>
  <w:style w:type="character" w:customStyle="1" w:styleId="wCommentSubjectChar">
    <w:name w:val="wCommentSubjectChar"/>
    <w:rPr>
      <w:b/>
    </w:rPr>
  </w:style>
  <w:style w:type="character" w:customStyle="1" w:styleId="wIndexChar">
    <w:name w:val="wIndexChar"/>
  </w:style>
  <w:style w:type="character" w:customStyle="1" w:styleId="wFooterChar">
    <w:name w:val="wFooterChar"/>
  </w:style>
  <w:style w:type="character" w:customStyle="1" w:styleId="wHeaderChar">
    <w:name w:val="wHeaderChar"/>
  </w:style>
  <w:style w:type="character" w:customStyle="1" w:styleId="wFollowedHyperlink">
    <w:name w:val="wFollowedHyperlink"/>
  </w:style>
  <w:style w:type="character" w:customStyle="1" w:styleId="wHyperlink">
    <w:name w:val="wHyperlink"/>
  </w:style>
  <w:style w:type="character" w:customStyle="1" w:styleId="wPCChar">
    <w:name w:val="wPCChar"/>
  </w:style>
  <w:style w:type="character" w:customStyle="1" w:styleId="wStrong">
    <w:name w:val="wStrong"/>
    <w:rPr>
      <w:b/>
    </w:rPr>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customStyle="1" w:styleId="wNormal">
    <w:name w:val="wNormal"/>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Heading1">
    <w:name w:val="wHeading1"/>
    <w:basedOn w:val="wNormal"/>
    <w:next w:val="wNormal"/>
    <w:pPr>
      <w:keepNext/>
    </w:pPr>
  </w:style>
  <w:style w:type="paragraph" w:customStyle="1" w:styleId="wHeading2">
    <w:name w:val="wHeading2"/>
    <w:basedOn w:val="wNormal"/>
    <w:next w:val="wNormal"/>
    <w:pPr>
      <w:keepNext/>
      <w:spacing w:before="240" w:after="60"/>
    </w:pPr>
    <w:rPr>
      <w:rFonts w:ascii="Arial" w:hAnsi="Arial"/>
      <w:sz w:val="24"/>
    </w:rPr>
  </w:style>
  <w:style w:type="paragraph" w:customStyle="1" w:styleId="wHeading3">
    <w:name w:val="wHeading3"/>
    <w:basedOn w:val="wNormal"/>
    <w:next w:val="wNormal"/>
    <w:pPr>
      <w:keepNext/>
      <w:spacing w:before="240" w:after="60"/>
    </w:pPr>
    <w:rPr>
      <w:rFonts w:ascii="Arial" w:hAnsi="Arial"/>
      <w:sz w:val="24"/>
    </w:rPr>
  </w:style>
  <w:style w:type="paragraph" w:customStyle="1" w:styleId="wListParagraph">
    <w:name w:val="wListParagraph"/>
    <w:basedOn w:val="wNormal"/>
    <w:pPr>
      <w:ind w:left="720"/>
    </w:pPr>
  </w:style>
  <w:style w:type="paragraph" w:customStyle="1" w:styleId="wTOCHeading">
    <w:name w:val="wTOCHeading"/>
    <w:basedOn w:val="wHeading1"/>
    <w:next w:val="wHeading1"/>
  </w:style>
  <w:style w:type="paragraph" w:customStyle="1" w:styleId="wQU">
    <w:name w:val="wQU"/>
    <w:pPr>
      <w:widowControl w:val="0"/>
      <w:suppressAutoHyphens/>
      <w:overflowPunct w:val="0"/>
      <w:autoSpaceDE w:val="0"/>
      <w:autoSpaceDN w:val="0"/>
      <w:adjustRightInd w:val="0"/>
      <w:spacing w:after="240"/>
      <w:jc w:val="both"/>
      <w:textAlignment w:val="baseline"/>
    </w:pPr>
    <w:rPr>
      <w:rFonts w:ascii="Helvetica LT Std" w:eastAsia="Helvetica LT Std"/>
      <w:color w:val="000000"/>
      <w:kern w:val="1"/>
      <w:sz w:val="26"/>
      <w:lang w:val="en"/>
    </w:rPr>
  </w:style>
  <w:style w:type="paragraph" w:customStyle="1" w:styleId="wPA">
    <w:name w:val="wPA"/>
    <w:pPr>
      <w:widowControl w:val="0"/>
      <w:suppressAutoHyphens/>
      <w:overflowPunct w:val="0"/>
      <w:autoSpaceDE w:val="0"/>
      <w:autoSpaceDN w:val="0"/>
      <w:adjustRightInd w:val="0"/>
      <w:spacing w:after="240"/>
      <w:ind w:firstLine="288"/>
      <w:jc w:val="both"/>
      <w:textAlignment w:val="baseline"/>
    </w:pPr>
    <w:rPr>
      <w:rFonts w:ascii="Perpetua Std" w:hAnsi="Perpetua Std"/>
      <w:color w:val="000000"/>
      <w:kern w:val="1"/>
      <w:sz w:val="24"/>
      <w:lang w:val="en"/>
    </w:rPr>
  </w:style>
  <w:style w:type="paragraph" w:customStyle="1" w:styleId="wFootnoteText">
    <w:name w:val="wFootnoteText"/>
    <w:basedOn w:val="wNormal"/>
    <w:rPr>
      <w:rFonts w:ascii="Times New Roman" w:hAnsi="Times New Roman"/>
    </w:rPr>
  </w:style>
  <w:style w:type="paragraph" w:customStyle="1" w:styleId="wHD">
    <w:name w:val="wHD"/>
    <w:pPr>
      <w:widowControl w:val="0"/>
      <w:suppressAutoHyphens/>
      <w:overflowPunct w:val="0"/>
      <w:autoSpaceDE w:val="0"/>
      <w:autoSpaceDN w:val="0"/>
      <w:adjustRightInd w:val="0"/>
      <w:spacing w:before="120"/>
      <w:jc w:val="center"/>
      <w:textAlignment w:val="baseline"/>
    </w:pPr>
    <w:rPr>
      <w:rFonts w:ascii="Helvetica LT Std" w:eastAsia="Helvetica LT Std"/>
      <w:kern w:val="1"/>
      <w:sz w:val="26"/>
      <w:lang w:val="en"/>
    </w:rPr>
  </w:style>
  <w:style w:type="paragraph" w:customStyle="1" w:styleId="wPQ">
    <w:name w:val="wPQ"/>
    <w:pPr>
      <w:widowControl w:val="0"/>
      <w:tabs>
        <w:tab w:val="left" w:pos="360"/>
      </w:tabs>
      <w:suppressAutoHyphens/>
      <w:overflowPunct w:val="0"/>
      <w:autoSpaceDE w:val="0"/>
      <w:autoSpaceDN w:val="0"/>
      <w:adjustRightInd w:val="0"/>
      <w:spacing w:after="120"/>
      <w:ind w:left="360" w:hanging="360"/>
      <w:jc w:val="both"/>
      <w:textAlignment w:val="baseline"/>
    </w:pPr>
    <w:rPr>
      <w:rFonts w:ascii="Adobe Caslon Pro" w:hAnsi="Adobe Caslon Pro"/>
      <w:color w:val="000000"/>
      <w:kern w:val="1"/>
      <w:sz w:val="14"/>
      <w:lang w:val="en"/>
    </w:rPr>
  </w:style>
  <w:style w:type="paragraph" w:customStyle="1" w:styleId="wPC">
    <w:name w:val="wPC"/>
    <w:pPr>
      <w:widowControl w:val="0"/>
      <w:tabs>
        <w:tab w:val="left" w:pos="720"/>
      </w:tabs>
      <w:suppressAutoHyphens/>
      <w:overflowPunct w:val="0"/>
      <w:autoSpaceDE w:val="0"/>
      <w:autoSpaceDN w:val="0"/>
      <w:adjustRightInd w:val="0"/>
      <w:spacing w:after="240"/>
      <w:ind w:left="720" w:hanging="360"/>
      <w:jc w:val="both"/>
      <w:textAlignment w:val="baseline"/>
    </w:pPr>
    <w:rPr>
      <w:rFonts w:ascii="Perpetua Std" w:hAnsi="Perpetua Std"/>
      <w:color w:val="000000"/>
      <w:kern w:val="1"/>
      <w:sz w:val="24"/>
      <w:lang w:val="en"/>
    </w:rPr>
  </w:style>
  <w:style w:type="paragraph" w:customStyle="1" w:styleId="wBalloonText">
    <w:name w:val="wBalloonText"/>
    <w:basedOn w:val="wNormal"/>
    <w:rPr>
      <w:rFonts w:ascii="Tahoma" w:hAnsi="Tahoma"/>
      <w:sz w:val="16"/>
    </w:rPr>
  </w:style>
  <w:style w:type="paragraph" w:customStyle="1" w:styleId="wCommentText">
    <w:name w:val="wCommentText"/>
    <w:basedOn w:val="wNormal"/>
  </w:style>
  <w:style w:type="paragraph" w:customStyle="1" w:styleId="wCommentSubject">
    <w:name w:val="wCommentSubject"/>
    <w:basedOn w:val="wCommentText"/>
    <w:next w:val="wCommentText"/>
  </w:style>
  <w:style w:type="paragraph" w:customStyle="1" w:styleId="wPB">
    <w:name w:val="wPB"/>
    <w:pPr>
      <w:widowControl w:val="0"/>
      <w:suppressAutoHyphens/>
      <w:overflowPunct w:val="0"/>
      <w:autoSpaceDE w:val="0"/>
      <w:autoSpaceDN w:val="0"/>
      <w:adjustRightInd w:val="0"/>
      <w:spacing w:after="240"/>
      <w:jc w:val="both"/>
      <w:textAlignment w:val="baseline"/>
    </w:pPr>
    <w:rPr>
      <w:rFonts w:ascii="Perpetua Std" w:hAnsi="Perpetua Std"/>
      <w:color w:val="000000"/>
      <w:kern w:val="1"/>
      <w:sz w:val="24"/>
      <w:lang w:val="en"/>
    </w:rPr>
  </w:style>
  <w:style w:type="paragraph" w:customStyle="1" w:styleId="wPD">
    <w:name w:val="wPD"/>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sz w:val="24"/>
      <w:lang w:val="en"/>
    </w:rPr>
  </w:style>
  <w:style w:type="paragraph" w:customStyle="1" w:styleId="wPE">
    <w:name w:val="wPE"/>
    <w:pPr>
      <w:widowControl w:val="0"/>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
    <w:name w:val="wPF"/>
    <w:pPr>
      <w:widowControl w:val="0"/>
      <w:tabs>
        <w:tab w:val="left" w:pos="1080"/>
      </w:tabs>
      <w:suppressAutoHyphens/>
      <w:overflowPunct w:val="0"/>
      <w:autoSpaceDE w:val="0"/>
      <w:autoSpaceDN w:val="0"/>
      <w:adjustRightInd w:val="0"/>
      <w:spacing w:after="240"/>
      <w:ind w:left="1080" w:hanging="360"/>
      <w:jc w:val="both"/>
      <w:textAlignment w:val="baseline"/>
    </w:pPr>
    <w:rPr>
      <w:rFonts w:ascii="Perpetua Std" w:hAnsi="Perpetua Std"/>
      <w:color w:val="000000"/>
      <w:kern w:val="1"/>
      <w:sz w:val="24"/>
      <w:lang w:val="en"/>
    </w:rPr>
  </w:style>
  <w:style w:type="paragraph" w:customStyle="1" w:styleId="wPG">
    <w:name w:val="wPG"/>
    <w:pPr>
      <w:widowControl w:val="0"/>
      <w:suppressAutoHyphens/>
      <w:overflowPunct w:val="0"/>
      <w:autoSpaceDE w:val="0"/>
      <w:autoSpaceDN w:val="0"/>
      <w:adjustRightInd w:val="0"/>
      <w:spacing w:after="240"/>
      <w:ind w:left="360"/>
      <w:jc w:val="both"/>
      <w:textAlignment w:val="baseline"/>
    </w:pPr>
    <w:rPr>
      <w:rFonts w:ascii="Perpetua Std" w:hAnsi="Perpetua Std"/>
      <w:color w:val="000000"/>
      <w:kern w:val="1"/>
      <w:sz w:val="24"/>
      <w:lang w:val="en"/>
    </w:rPr>
  </w:style>
  <w:style w:type="paragraph" w:customStyle="1" w:styleId="wPH">
    <w:name w:val="wPH"/>
    <w:pPr>
      <w:widowControl w:val="0"/>
      <w:tabs>
        <w:tab w:val="left" w:pos="360"/>
      </w:tabs>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I">
    <w:name w:val="wPI"/>
    <w:pPr>
      <w:widowControl w:val="0"/>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K">
    <w:name w:val="wPK"/>
    <w:pPr>
      <w:widowControl w:val="0"/>
      <w:suppressAutoHyphens/>
      <w:overflowPunct w:val="0"/>
      <w:autoSpaceDE w:val="0"/>
      <w:autoSpaceDN w:val="0"/>
      <w:adjustRightInd w:val="0"/>
      <w:spacing w:after="240"/>
      <w:ind w:left="360" w:firstLine="288"/>
      <w:jc w:val="both"/>
      <w:textAlignment w:val="baseline"/>
    </w:pPr>
    <w:rPr>
      <w:rFonts w:ascii="Perpetua Std" w:hAnsi="Perpetua Std"/>
      <w:color w:val="000000"/>
      <w:kern w:val="1"/>
      <w:sz w:val="24"/>
      <w:lang w:val="en"/>
    </w:rPr>
  </w:style>
  <w:style w:type="paragraph" w:customStyle="1" w:styleId="wPL">
    <w:name w:val="wPL"/>
    <w:pPr>
      <w:widowControl w:val="0"/>
      <w:suppressAutoHyphens/>
      <w:overflowPunct w:val="0"/>
      <w:autoSpaceDE w:val="0"/>
      <w:autoSpaceDN w:val="0"/>
      <w:adjustRightInd w:val="0"/>
      <w:spacing w:after="240"/>
      <w:jc w:val="right"/>
      <w:textAlignment w:val="baseline"/>
    </w:pPr>
    <w:rPr>
      <w:rFonts w:ascii="Minion Pro" w:eastAsia="Minion Pro"/>
      <w:kern w:val="1"/>
      <w:sz w:val="16"/>
      <w:lang w:val="en"/>
    </w:rPr>
  </w:style>
  <w:style w:type="paragraph" w:customStyle="1" w:styleId="wPX">
    <w:name w:val="wPX"/>
    <w:pPr>
      <w:widowControl w:val="0"/>
      <w:suppressAutoHyphens/>
      <w:overflowPunct w:val="0"/>
      <w:autoSpaceDE w:val="0"/>
      <w:autoSpaceDN w:val="0"/>
      <w:adjustRightInd w:val="0"/>
      <w:spacing w:after="240"/>
      <w:ind w:left="432" w:right="432" w:firstLine="432"/>
      <w:jc w:val="both"/>
      <w:textAlignment w:val="baseline"/>
    </w:pPr>
    <w:rPr>
      <w:rFonts w:ascii="Minion Pro" w:eastAsia="Minion Pro"/>
      <w:kern w:val="1"/>
      <w:lang w:val="en"/>
    </w:rPr>
  </w:style>
  <w:style w:type="paragraph" w:customStyle="1" w:styleId="wTOC">
    <w:name w:val="wTOC"/>
    <w:pPr>
      <w:widowControl w:val="0"/>
      <w:tabs>
        <w:tab w:val="left" w:pos="720"/>
        <w:tab w:val="left" w:pos="1440"/>
        <w:tab w:val="right" w:leader="dot" w:pos="8639"/>
      </w:tabs>
      <w:suppressAutoHyphens/>
      <w:overflowPunct w:val="0"/>
      <w:autoSpaceDE w:val="0"/>
      <w:autoSpaceDN w:val="0"/>
      <w:adjustRightInd w:val="0"/>
      <w:ind w:left="720" w:hanging="720"/>
      <w:textAlignment w:val="baseline"/>
    </w:pPr>
    <w:rPr>
      <w:rFonts w:ascii="Perpetua Std" w:hAnsi="Perpetua Std"/>
      <w:color w:val="000000"/>
      <w:kern w:val="1"/>
      <w:sz w:val="24"/>
      <w:lang w:val="en"/>
    </w:rPr>
  </w:style>
  <w:style w:type="paragraph" w:customStyle="1" w:styleId="wIndex">
    <w:name w:val="wIndex"/>
    <w:basedOn w:val="wTOC"/>
    <w:pPr>
      <w:tabs>
        <w:tab w:val="clear" w:pos="720"/>
        <w:tab w:val="left" w:pos="240"/>
        <w:tab w:val="left" w:pos="480"/>
        <w:tab w:val="decimal" w:pos="1440"/>
        <w:tab w:val="right" w:leader="dot" w:pos="4679"/>
        <w:tab w:val="decimal" w:pos="8639"/>
      </w:tabs>
      <w:ind w:left="0" w:firstLine="0"/>
    </w:pPr>
    <w:rPr>
      <w:sz w:val="22"/>
    </w:rPr>
  </w:style>
  <w:style w:type="paragraph" w:customStyle="1" w:styleId="wPP">
    <w:name w:val="wPP"/>
    <w:pPr>
      <w:widowControl w:val="0"/>
      <w:pBdr>
        <w:top w:val="single" w:sz="6" w:space="1" w:color="000000"/>
        <w:bottom w:val="single" w:sz="6" w:space="1" w:color="000000"/>
      </w:pBdr>
      <w:suppressAutoHyphens/>
      <w:overflowPunct w:val="0"/>
      <w:autoSpaceDE w:val="0"/>
      <w:autoSpaceDN w:val="0"/>
      <w:adjustRightInd w:val="0"/>
      <w:spacing w:after="240"/>
      <w:jc w:val="both"/>
      <w:textAlignment w:val="baseline"/>
    </w:pPr>
    <w:rPr>
      <w:rFonts w:ascii="Helvetica LT Std" w:eastAsia="Helvetica LT Std"/>
      <w:color w:val="000000"/>
      <w:kern w:val="1"/>
      <w:sz w:val="22"/>
      <w:lang w:val="en"/>
    </w:rPr>
  </w:style>
  <w:style w:type="paragraph" w:customStyle="1" w:styleId="wHE">
    <w:name w:val="wHE"/>
    <w:pPr>
      <w:widowControl w:val="0"/>
      <w:suppressAutoHyphens/>
      <w:overflowPunct w:val="0"/>
      <w:autoSpaceDE w:val="0"/>
      <w:autoSpaceDN w:val="0"/>
      <w:adjustRightInd w:val="0"/>
      <w:spacing w:before="120" w:after="120"/>
      <w:jc w:val="center"/>
      <w:textAlignment w:val="baseline"/>
    </w:pPr>
    <w:rPr>
      <w:rFonts w:ascii="Helvetica LT Std" w:eastAsia="Helvetica LT Std"/>
      <w:kern w:val="1"/>
      <w:sz w:val="24"/>
      <w:lang w:val="en"/>
    </w:rPr>
  </w:style>
  <w:style w:type="paragraph" w:customStyle="1" w:styleId="wPN">
    <w:name w:val="wPN"/>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lang w:val="en"/>
    </w:rPr>
  </w:style>
  <w:style w:type="paragraph" w:customStyle="1" w:styleId="wHA">
    <w:name w:val="wHA"/>
    <w:pPr>
      <w:widowControl w:val="0"/>
      <w:suppressAutoHyphens/>
      <w:overflowPunct w:val="0"/>
      <w:autoSpaceDE w:val="0"/>
      <w:autoSpaceDN w:val="0"/>
      <w:adjustRightInd w:val="0"/>
      <w:spacing w:after="240"/>
      <w:jc w:val="center"/>
      <w:textAlignment w:val="baseline"/>
    </w:pPr>
    <w:rPr>
      <w:rFonts w:ascii="Helvetica LT Std" w:eastAsia="Helvetica LT Std"/>
      <w:caps/>
      <w:color w:val="000000"/>
      <w:kern w:val="1"/>
      <w:sz w:val="36"/>
      <w:lang w:val="en"/>
    </w:rPr>
  </w:style>
  <w:style w:type="paragraph" w:customStyle="1" w:styleId="wHB">
    <w:name w:val="wHB"/>
    <w:pPr>
      <w:widowControl w:val="0"/>
      <w:suppressAutoHyphens/>
      <w:overflowPunct w:val="0"/>
      <w:autoSpaceDE w:val="0"/>
      <w:autoSpaceDN w:val="0"/>
      <w:adjustRightInd w:val="0"/>
      <w:spacing w:before="120" w:after="240"/>
      <w:jc w:val="center"/>
      <w:textAlignment w:val="baseline"/>
    </w:pPr>
    <w:rPr>
      <w:rFonts w:ascii="Helvetica LT Std" w:eastAsia="Helvetica LT Std"/>
      <w:color w:val="000000"/>
      <w:kern w:val="1"/>
      <w:sz w:val="32"/>
      <w:lang w:val="en"/>
    </w:rPr>
  </w:style>
  <w:style w:type="paragraph" w:customStyle="1" w:styleId="wHC">
    <w:name w:val="wHC"/>
    <w:pPr>
      <w:widowControl w:val="0"/>
      <w:tabs>
        <w:tab w:val="left" w:pos="284"/>
      </w:tabs>
      <w:suppressAutoHyphens/>
      <w:overflowPunct w:val="0"/>
      <w:autoSpaceDE w:val="0"/>
      <w:autoSpaceDN w:val="0"/>
      <w:adjustRightInd w:val="0"/>
      <w:spacing w:before="120" w:after="120"/>
      <w:jc w:val="center"/>
      <w:textAlignment w:val="baseline"/>
    </w:pPr>
    <w:rPr>
      <w:rFonts w:ascii="Helvetica LT Std" w:eastAsia="Helvetica LT Std"/>
      <w:color w:val="000000"/>
      <w:kern w:val="1"/>
      <w:sz w:val="26"/>
      <w:lang w:val="en"/>
    </w:rPr>
  </w:style>
  <w:style w:type="paragraph" w:customStyle="1" w:styleId="wPR">
    <w:name w:val="wPR"/>
    <w:pPr>
      <w:widowControl w:val="0"/>
      <w:suppressAutoHyphens/>
      <w:overflowPunct w:val="0"/>
      <w:autoSpaceDE w:val="0"/>
      <w:autoSpaceDN w:val="0"/>
      <w:adjustRightInd w:val="0"/>
      <w:spacing w:after="240"/>
      <w:ind w:left="360" w:firstLine="288"/>
      <w:jc w:val="both"/>
      <w:textAlignment w:val="baseline"/>
    </w:pPr>
    <w:rPr>
      <w:rFonts w:ascii="Adobe Caslon Pro" w:hAnsi="Adobe Caslon Pro"/>
      <w:color w:val="000000"/>
      <w:kern w:val="1"/>
      <w:sz w:val="14"/>
      <w:lang w:val="en"/>
    </w:rPr>
  </w:style>
  <w:style w:type="paragraph" w:customStyle="1" w:styleId="wPO">
    <w:name w:val="wPO"/>
    <w:pPr>
      <w:widowControl w:val="0"/>
      <w:suppressAutoHyphens/>
      <w:overflowPunct w:val="0"/>
      <w:autoSpaceDE w:val="0"/>
      <w:autoSpaceDN w:val="0"/>
      <w:adjustRightInd w:val="0"/>
      <w:spacing w:after="240"/>
      <w:jc w:val="both"/>
      <w:textAlignment w:val="baseline"/>
    </w:pPr>
    <w:rPr>
      <w:rFonts w:ascii="Perpetua Std" w:hAnsi="Perpetua Std"/>
      <w:color w:val="000000"/>
      <w:kern w:val="1"/>
      <w:lang w:val="en"/>
    </w:rPr>
  </w:style>
  <w:style w:type="paragraph" w:customStyle="1" w:styleId="wGUIDEX">
    <w:name w:val="wGUIDEX"/>
    <w:pPr>
      <w:widowControl w:val="0"/>
      <w:tabs>
        <w:tab w:val="left" w:leader="dot" w:pos="4564"/>
        <w:tab w:val="center" w:pos="5759"/>
        <w:tab w:val="center" w:pos="7199"/>
        <w:tab w:val="center" w:pos="8639"/>
      </w:tabs>
      <w:suppressAutoHyphens/>
      <w:overflowPunct w:val="0"/>
      <w:autoSpaceDE w:val="0"/>
      <w:autoSpaceDN w:val="0"/>
      <w:adjustRightInd w:val="0"/>
      <w:textAlignment w:val="baseline"/>
    </w:pPr>
    <w:rPr>
      <w:rFonts w:ascii="Helvetica LT Std" w:eastAsia="Helvetica LT Std"/>
      <w:color w:val="000000"/>
      <w:kern w:val="1"/>
      <w:lang w:val="en"/>
    </w:rPr>
  </w:style>
  <w:style w:type="paragraph" w:customStyle="1" w:styleId="wIndex2">
    <w:name w:val="wIndex2"/>
    <w:basedOn w:val="wIndex"/>
    <w:pPr>
      <w:tabs>
        <w:tab w:val="clear" w:pos="1440"/>
        <w:tab w:val="clear" w:pos="8639"/>
        <w:tab w:val="decimal" w:pos="240"/>
        <w:tab w:val="decimal" w:pos="480"/>
        <w:tab w:val="decimal" w:pos="720"/>
        <w:tab w:val="right" w:pos="4679"/>
      </w:tabs>
    </w:pPr>
  </w:style>
  <w:style w:type="paragraph" w:customStyle="1" w:styleId="wPCB">
    <w:name w:val="wPCB"/>
    <w:pPr>
      <w:widowControl w:val="0"/>
      <w:tabs>
        <w:tab w:val="left" w:pos="720"/>
      </w:tabs>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B">
    <w:name w:val="wPFB"/>
    <w:pPr>
      <w:widowControl w:val="0"/>
      <w:tabs>
        <w:tab w:val="left" w:pos="1080"/>
      </w:tabs>
      <w:suppressAutoHyphens/>
      <w:overflowPunct w:val="0"/>
      <w:autoSpaceDE w:val="0"/>
      <w:autoSpaceDN w:val="0"/>
      <w:adjustRightInd w:val="0"/>
      <w:spacing w:after="240"/>
      <w:ind w:left="1080"/>
      <w:jc w:val="both"/>
      <w:textAlignment w:val="baseline"/>
    </w:pPr>
    <w:rPr>
      <w:rFonts w:ascii="Perpetua Std" w:hAnsi="Perpetua Std"/>
      <w:kern w:val="1"/>
      <w:sz w:val="24"/>
      <w:lang w:val="en"/>
    </w:rPr>
  </w:style>
  <w:style w:type="paragraph" w:customStyle="1" w:styleId="wNoSpacing">
    <w:name w:val="wNoSpacing"/>
    <w:pPr>
      <w:widowControl w:val="0"/>
      <w:suppressAutoHyphens/>
      <w:overflowPunct w:val="0"/>
      <w:autoSpaceDE w:val="0"/>
      <w:autoSpaceDN w:val="0"/>
      <w:adjustRightInd w:val="0"/>
      <w:textAlignment w:val="baseline"/>
    </w:pPr>
    <w:rPr>
      <w:rFonts w:ascii="Perpetua" w:hAnsi="Perpetua"/>
      <w:kern w:val="1"/>
      <w:lang w:val="en"/>
    </w:rPr>
  </w:style>
  <w:style w:type="paragraph" w:customStyle="1" w:styleId="wPCA">
    <w:name w:val="wPCA"/>
    <w:pPr>
      <w:widowControl w:val="0"/>
      <w:tabs>
        <w:tab w:val="left" w:pos="72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PHB">
    <w:name w:val="wPHB"/>
    <w:pPr>
      <w:widowControl w:val="0"/>
      <w:tabs>
        <w:tab w:val="left" w:pos="36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Footer">
    <w:name w:val="wFooter"/>
    <w:basedOn w:val="wNormal"/>
    <w:pPr>
      <w:tabs>
        <w:tab w:val="center" w:pos="4319"/>
        <w:tab w:val="right" w:pos="8639"/>
      </w:tabs>
    </w:pPr>
  </w:style>
  <w:style w:type="paragraph" w:customStyle="1" w:styleId="wHeader">
    <w:name w:val="wHeader"/>
    <w:basedOn w:val="wNormal"/>
    <w:pPr>
      <w:tabs>
        <w:tab w:val="center" w:pos="4319"/>
        <w:tab w:val="right" w:pos="8639"/>
      </w:tabs>
    </w:pPr>
  </w:style>
  <w:style w:type="paragraph" w:customStyle="1" w:styleId="wStandard">
    <w:name w:val="wStandard"/>
    <w:pPr>
      <w:widowControl w:val="0"/>
      <w:suppressAutoHyphens/>
      <w:overflowPunct w:val="0"/>
      <w:autoSpaceDE w:val="0"/>
      <w:autoSpaceDN w:val="0"/>
      <w:adjustRightInd w:val="0"/>
      <w:spacing w:before="144"/>
      <w:jc w:val="both"/>
      <w:textAlignment w:val="baseline"/>
    </w:pPr>
    <w:rPr>
      <w:kern w:val="1"/>
      <w:lang w:val="en"/>
    </w:rPr>
  </w:style>
  <w:style w:type="paragraph" w:customStyle="1" w:styleId="wPerpetuaStd">
    <w:name w:val="wPerpetuaStd"/>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NormalWeb">
    <w:name w:val="wNormalWeb"/>
    <w:basedOn w:val="wNormal"/>
    <w:rPr>
      <w:rFonts w:ascii="Times New Roman" w:hAnsi="Times New Roman"/>
      <w:sz w:val="24"/>
    </w:rPr>
  </w:style>
  <w:style w:type="paragraph" w:styleId="FootnoteText">
    <w:name w:val="footnote text"/>
    <w:basedOn w:val="Normal"/>
    <w:semiHidden/>
    <w:pPr>
      <w:suppressLineNumbers/>
      <w:ind w:left="283"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8790. How is an S corporation taxed? When may S corporation income be taxed at the corporate level?</vt:lpstr>
    </vt:vector>
  </TitlesOfParts>
  <Company>Summit Business Media</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8790. How is an S corporation taxed? When may S corporation income be taxed at the corporate level?</dc:title>
  <dc:creator>Alexis Long</dc:creator>
  <cp:lastModifiedBy>rcline</cp:lastModifiedBy>
  <cp:revision>2</cp:revision>
  <cp:lastPrinted>1901-01-01T05:00:00Z</cp:lastPrinted>
  <dcterms:created xsi:type="dcterms:W3CDTF">2014-07-28T16:50:00Z</dcterms:created>
  <dcterms:modified xsi:type="dcterms:W3CDTF">2014-07-28T16:50:00Z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Summit Business Media</vt:lpwstr>
  </property>
  <property fmtid="{D5CDD505-2E9C-101B-9397-08002B2CF9AE}" pid="3" name="Version">
    <vt:lpwstr>14</vt:lpwstr>
  </property>
</Properties>
</file>