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27" w:rsidRPr="00CB2D27" w:rsidRDefault="00CB2D27" w:rsidP="00351992">
      <w:pPr>
        <w:pStyle w:val="PA"/>
        <w:rPr>
          <w:b/>
          <w:sz w:val="28"/>
          <w:szCs w:val="28"/>
        </w:rPr>
      </w:pPr>
      <w:r w:rsidRPr="00CB2D27">
        <w:rPr>
          <w:b/>
          <w:sz w:val="28"/>
          <w:szCs w:val="28"/>
        </w:rPr>
        <w:t xml:space="preserve">8588.  Can a taxpayer exclude gain on the sale of vacant land under the same principles that apply </w:t>
      </w:r>
      <w:r w:rsidR="00E82FF5">
        <w:rPr>
          <w:b/>
          <w:sz w:val="28"/>
          <w:szCs w:val="28"/>
        </w:rPr>
        <w:t>to</w:t>
      </w:r>
      <w:r w:rsidRPr="00CB2D27">
        <w:rPr>
          <w:b/>
          <w:sz w:val="28"/>
          <w:szCs w:val="28"/>
        </w:rPr>
        <w:t xml:space="preserve"> excluding gain on the sale of a principal residence?</w:t>
      </w:r>
    </w:p>
    <w:p w:rsidR="00351992" w:rsidRDefault="00351992" w:rsidP="00351992">
      <w:pPr>
        <w:pStyle w:val="PA"/>
        <w:rPr>
          <w:b/>
        </w:rPr>
      </w:pPr>
      <w:r>
        <w:t>A taxpayer may be able to exclude gain on a sale of vacant land made within two years of the sale of a residence if certain requirements are met.</w:t>
      </w:r>
      <w:r w:rsidR="00B4630A">
        <w:t xml:space="preserve"> </w:t>
      </w:r>
      <w:r>
        <w:t xml:space="preserve">A sale of vacant land can </w:t>
      </w:r>
      <w:r w:rsidR="00E82FF5">
        <w:t xml:space="preserve">piggy back onto </w:t>
      </w:r>
      <w:r>
        <w:t>the sale of a</w:t>
      </w:r>
      <w:r w:rsidR="00E82FF5">
        <w:t xml:space="preserve"> taxpayer’s principal residence provided </w:t>
      </w:r>
      <w:r>
        <w:t>(a) the vacant land is adjacent to a dwelling unit used by the taxpayer as the</w:t>
      </w:r>
      <w:r w:rsidR="00885BCD">
        <w:t xml:space="preserve"> taxpayer’s principal residence; </w:t>
      </w:r>
      <w:r>
        <w:t>(b)</w:t>
      </w:r>
      <w:r w:rsidR="00B92ED7">
        <w:t xml:space="preserve"> the taxpayer owned </w:t>
      </w:r>
      <w:r>
        <w:t>and used the vacant land as part of the taxpayer’s principal residence</w:t>
      </w:r>
      <w:r w:rsidR="00885BCD">
        <w:t>; (c) the taxpayer sells the</w:t>
      </w:r>
      <w:r w:rsidR="00B92ED7">
        <w:t xml:space="preserve"> dwelling unit in a sale that meets</w:t>
      </w:r>
      <w:r w:rsidR="00885BCD">
        <w:t xml:space="preserve"> the requirements of IRC Section 121 within two years before or two years after the date of the sale of the vacant land; and (d) the requirements of IRC Section 121 must have been otherwise met with respect to the land</w:t>
      </w:r>
      <w:r>
        <w:t>.</w:t>
      </w:r>
      <w:r>
        <w:rPr>
          <w:rStyle w:val="FootnoteReference"/>
          <w:color w:val="auto"/>
        </w:rPr>
        <w:footnoteReference w:id="1"/>
      </w:r>
    </w:p>
    <w:p w:rsidR="00351992" w:rsidRPr="001E628A" w:rsidRDefault="00885BCD" w:rsidP="00351992">
      <w:pPr>
        <w:pStyle w:val="PA"/>
        <w:rPr>
          <w:szCs w:val="24"/>
        </w:rPr>
      </w:pPr>
      <w:r>
        <w:t>For purposes of excluding the gain on the sale of the vacant land, the</w:t>
      </w:r>
      <w:r w:rsidR="00351992">
        <w:t xml:space="preserve"> sale of the land and the dwelling </w:t>
      </w:r>
      <w:r>
        <w:t xml:space="preserve">is treated as a single </w:t>
      </w:r>
      <w:r w:rsidR="00351992">
        <w:t>sale.</w:t>
      </w:r>
      <w:r w:rsidR="00B4630A">
        <w:t xml:space="preserve"> </w:t>
      </w:r>
      <w:r w:rsidR="00351992">
        <w:t>Therefore, the taxpayer</w:t>
      </w:r>
      <w:r w:rsidR="00E82FF5">
        <w:t>’s</w:t>
      </w:r>
      <w:r w:rsidR="00351992">
        <w:t xml:space="preserve"> $250,000 ($500,000 for married couples) </w:t>
      </w:r>
      <w:r>
        <w:t xml:space="preserve">exclusion applies to the </w:t>
      </w:r>
      <w:r w:rsidR="00351992">
        <w:t xml:space="preserve">combined sale. If the sales take place in different tax years, gain on the sale of the dwelling unit is </w:t>
      </w:r>
      <w:r>
        <w:t xml:space="preserve">taken into account and </w:t>
      </w:r>
      <w:r w:rsidR="00351992">
        <w:t>excluded first.</w:t>
      </w:r>
      <w:r>
        <w:t xml:space="preserve">  If after that, there is any of exclusion amount remaining it will be applied to the sale of the vacant land.</w:t>
      </w:r>
      <w:r w:rsidR="00351992">
        <w:rPr>
          <w:rStyle w:val="FootnoteReference"/>
          <w:color w:val="auto"/>
        </w:rPr>
        <w:footnoteReference w:id="2"/>
      </w:r>
      <w:r w:rsidR="00B4630A">
        <w:t xml:space="preserve"> </w:t>
      </w:r>
    </w:p>
    <w:p w:rsidR="001E628A" w:rsidRPr="001E628A" w:rsidRDefault="001E628A" w:rsidP="001E628A">
      <w:pPr>
        <w:jc w:val="both"/>
        <w:rPr>
          <w:sz w:val="24"/>
          <w:szCs w:val="24"/>
        </w:rPr>
      </w:pPr>
      <w:r w:rsidRPr="001E628A">
        <w:rPr>
          <w:i/>
          <w:sz w:val="24"/>
          <w:szCs w:val="24"/>
        </w:rPr>
        <w:t xml:space="preserve">    Example</w:t>
      </w:r>
      <w:r>
        <w:rPr>
          <w:i/>
        </w:rPr>
        <w:t xml:space="preserve">: </w:t>
      </w:r>
      <w:r>
        <w:rPr>
          <w:sz w:val="24"/>
          <w:szCs w:val="24"/>
        </w:rPr>
        <w:t xml:space="preserve">  In 2013, Asher, a single taxpayer who owns a primary residence with adjacent land sells the primary residence for $400,000 with respect to which there is a $100,000 gain.  Assuming Asher meets all the requirements of IRC Section 121, the entire $100,000 gain is excluded from gross income.  Becaus</w:t>
      </w:r>
      <w:r w:rsidR="00E82FF5">
        <w:rPr>
          <w:sz w:val="24"/>
          <w:szCs w:val="24"/>
        </w:rPr>
        <w:t>e a single taxpayer can exclude</w:t>
      </w:r>
      <w:r>
        <w:rPr>
          <w:sz w:val="24"/>
          <w:szCs w:val="24"/>
        </w:rPr>
        <w:t xml:space="preserve"> up to $250,000 of gain, there is $150,000 of remaining available exclusion.  In 2014, Asher sells the adjacent land for $300,000 and realizes a $200,000 gain.  Again, assuming the requirements of IRC Section 121 are met, Asher can exclude $150,000 of the $200,000 gain.  This is because the sale of the home and the vacant land are treated</w:t>
      </w:r>
      <w:r w:rsidR="00E82FF5">
        <w:rPr>
          <w:sz w:val="24"/>
          <w:szCs w:val="24"/>
        </w:rPr>
        <w:t xml:space="preserve"> as</w:t>
      </w:r>
      <w:r w:rsidR="00B92ED7">
        <w:rPr>
          <w:sz w:val="24"/>
          <w:szCs w:val="24"/>
        </w:rPr>
        <w:t xml:space="preserve"> a</w:t>
      </w:r>
      <w:bookmarkStart w:id="0" w:name="_GoBack"/>
      <w:bookmarkEnd w:id="0"/>
      <w:r w:rsidR="00E82FF5">
        <w:rPr>
          <w:sz w:val="24"/>
          <w:szCs w:val="24"/>
        </w:rPr>
        <w:t xml:space="preserve"> single transaction.  Since </w:t>
      </w:r>
      <w:r>
        <w:rPr>
          <w:sz w:val="24"/>
          <w:szCs w:val="24"/>
        </w:rPr>
        <w:t xml:space="preserve">the total gain was $300,000 ($100,000 on the home and $200,000 on the vacant land), the $100,000 gain on </w:t>
      </w:r>
      <w:r w:rsidR="0055754C">
        <w:rPr>
          <w:sz w:val="24"/>
          <w:szCs w:val="24"/>
        </w:rPr>
        <w:t>the sale of the home is excluded, $150,000 of the gain on the land is excluded and $50,000 of the gain in excess of $250,000 is included in gross income.</w:t>
      </w:r>
      <w:r>
        <w:rPr>
          <w:sz w:val="24"/>
          <w:szCs w:val="24"/>
        </w:rPr>
        <w:t xml:space="preserve"> </w:t>
      </w:r>
    </w:p>
    <w:p w:rsidR="001E628A" w:rsidRDefault="001E628A" w:rsidP="001E628A">
      <w:pPr>
        <w:rPr>
          <w:i/>
        </w:rPr>
      </w:pPr>
    </w:p>
    <w:p w:rsidR="00351992" w:rsidRPr="007032BA" w:rsidRDefault="00351992" w:rsidP="00351992">
      <w:pPr>
        <w:pStyle w:val="PA"/>
        <w:rPr>
          <w:b/>
        </w:rPr>
      </w:pPr>
      <w:r>
        <w:t xml:space="preserve">If the taxpayer sells the dwelling unit in a tax year that begins </w:t>
      </w:r>
      <w:r w:rsidRPr="00D43536">
        <w:rPr>
          <w:i/>
        </w:rPr>
        <w:t>after</w:t>
      </w:r>
      <w:r>
        <w:t xml:space="preserve"> the tax year in which the vacant land is sold, and </w:t>
      </w:r>
      <w:r w:rsidRPr="00D43536">
        <w:rPr>
          <w:i/>
        </w:rPr>
        <w:t>after</w:t>
      </w:r>
      <w:r>
        <w:t xml:space="preserve"> the due date for the tax return for that earlier year, the taxpayer must </w:t>
      </w:r>
      <w:r w:rsidR="0055754C">
        <w:t xml:space="preserve">include in gross income </w:t>
      </w:r>
      <w:r>
        <w:t>any gain on the sale of the vacant land in the year it is sold.</w:t>
      </w:r>
      <w:r w:rsidR="00B4630A">
        <w:t xml:space="preserve"> </w:t>
      </w:r>
      <w:r w:rsidR="00E82FF5">
        <w:t xml:space="preserve">Then upon the later sale of </w:t>
      </w:r>
      <w:r>
        <w:t>the dwelling unit</w:t>
      </w:r>
      <w:r w:rsidR="00E82FF5">
        <w:t xml:space="preserve">, </w:t>
      </w:r>
      <w:r>
        <w:t xml:space="preserve">the taxpayer is permitted to claim the </w:t>
      </w:r>
      <w:r w:rsidR="00E82FF5">
        <w:t xml:space="preserve">appropriate IRC </w:t>
      </w:r>
      <w:r>
        <w:t>Section 121 exclusion with respect to the vacant land by filing an amended return.</w:t>
      </w:r>
      <w:r>
        <w:rPr>
          <w:rStyle w:val="FootnoteReference"/>
          <w:color w:val="auto"/>
        </w:rPr>
        <w:footnoteReference w:id="3"/>
      </w:r>
      <w:r w:rsidR="00B4630A">
        <w:t xml:space="preserve"> </w:t>
      </w:r>
    </w:p>
    <w:p w:rsidR="00844CAC" w:rsidRPr="00351992" w:rsidRDefault="00844CAC" w:rsidP="00351992"/>
    <w:sectPr w:rsidR="00844CAC" w:rsidRPr="00351992" w:rsidSect="00AE032A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B7" w:rsidRDefault="006E0CB7">
      <w:r>
        <w:separator/>
      </w:r>
    </w:p>
  </w:endnote>
  <w:endnote w:type="continuationSeparator" w:id="0">
    <w:p w:rsidR="006E0CB7" w:rsidRDefault="006E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B7" w:rsidRDefault="006E0CB7">
      <w:r>
        <w:separator/>
      </w:r>
    </w:p>
  </w:footnote>
  <w:footnote w:type="continuationSeparator" w:id="0">
    <w:p w:rsidR="006E0CB7" w:rsidRDefault="006E0CB7">
      <w:r>
        <w:continuationSeparator/>
      </w:r>
    </w:p>
  </w:footnote>
  <w:footnote w:id="1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Treas. Reg. </w:t>
      </w:r>
      <w:r w:rsidRPr="00B4630A">
        <w:rPr>
          <w:rFonts w:cs="Calibri"/>
        </w:rPr>
        <w:t>§</w:t>
      </w:r>
      <w:r w:rsidRPr="00B4630A">
        <w:t>1.121-1(b</w:t>
      </w:r>
      <w:proofErr w:type="gramStart"/>
      <w:r w:rsidRPr="00B4630A">
        <w:t>)(</w:t>
      </w:r>
      <w:proofErr w:type="gramEnd"/>
      <w:r w:rsidRPr="00B4630A">
        <w:t>3)(i).</w:t>
      </w:r>
    </w:p>
  </w:footnote>
  <w:footnote w:id="2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Treas. Reg. </w:t>
      </w:r>
      <w:r w:rsidRPr="00B4630A">
        <w:rPr>
          <w:rFonts w:cs="Calibri"/>
        </w:rPr>
        <w:t>§</w:t>
      </w:r>
      <w:r w:rsidRPr="00B4630A">
        <w:t>1.121-1(b</w:t>
      </w:r>
      <w:proofErr w:type="gramStart"/>
      <w:r w:rsidRPr="00B4630A">
        <w:t>)(</w:t>
      </w:r>
      <w:proofErr w:type="gramEnd"/>
      <w:r w:rsidRPr="00B4630A">
        <w:t>3)(ii)(A).</w:t>
      </w:r>
    </w:p>
  </w:footnote>
  <w:footnote w:id="3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Treas. Reg. </w:t>
      </w:r>
      <w:r w:rsidRPr="00B4630A">
        <w:rPr>
          <w:rFonts w:cs="Calibri"/>
        </w:rPr>
        <w:t>§</w:t>
      </w:r>
      <w:r w:rsidRPr="00B4630A">
        <w:t>1.121-1(b</w:t>
      </w:r>
      <w:proofErr w:type="gramStart"/>
      <w:r w:rsidRPr="00B4630A">
        <w:t>)(</w:t>
      </w:r>
      <w:proofErr w:type="gramEnd"/>
      <w:r w:rsidRPr="00B4630A">
        <w:t>3)(ii)(C).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4B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1C4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39B3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4ED8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28A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594C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8CA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9CA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68E"/>
    <w:rsid w:val="00377840"/>
    <w:rsid w:val="0037787E"/>
    <w:rsid w:val="00377CEE"/>
    <w:rsid w:val="00377D6C"/>
    <w:rsid w:val="00377DD7"/>
    <w:rsid w:val="0038199D"/>
    <w:rsid w:val="00381A73"/>
    <w:rsid w:val="00381CD3"/>
    <w:rsid w:val="00381F37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5F2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169E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583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1D9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36A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4C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29F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CB7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458"/>
    <w:rsid w:val="006F7B4C"/>
    <w:rsid w:val="00700013"/>
    <w:rsid w:val="00700229"/>
    <w:rsid w:val="00700256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0E28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4EA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BCD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57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A0D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32A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40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ED7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77E"/>
    <w:rsid w:val="00BA5F9A"/>
    <w:rsid w:val="00BA6556"/>
    <w:rsid w:val="00BA67D5"/>
    <w:rsid w:val="00BA6815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07C8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AC6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2D27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841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32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210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AD6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2FF5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365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CB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21594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21594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1594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21594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1594C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21594C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21594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21594C"/>
    <w:rPr>
      <w:rFonts w:ascii="Perpetua Std" w:hAnsi="Perpetua Std"/>
      <w:color w:val="000000"/>
      <w:sz w:val="24"/>
    </w:rPr>
  </w:style>
  <w:style w:type="paragraph" w:customStyle="1" w:styleId="PB">
    <w:name w:val="PB"/>
    <w:rsid w:val="0021594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21594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21594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21594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21594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21594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21594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21594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21594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21594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21594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21594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21594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21594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21594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21594C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21594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21594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21594C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21594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21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1594C"/>
    <w:rPr>
      <w:vertAlign w:val="superscript"/>
    </w:rPr>
  </w:style>
  <w:style w:type="paragraph" w:customStyle="1" w:styleId="HA">
    <w:name w:val="HA"/>
    <w:autoRedefine/>
    <w:rsid w:val="0021594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21594C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21594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21594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21594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21594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21594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21594C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21594C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21594C"/>
    <w:rPr>
      <w:rFonts w:ascii="Perpetua Std" w:hAnsi="Perpetua Std"/>
    </w:rPr>
  </w:style>
  <w:style w:type="paragraph" w:styleId="NoSpacing">
    <w:name w:val="No Spacing"/>
    <w:qFormat/>
    <w:rsid w:val="0021594C"/>
    <w:rPr>
      <w:rFonts w:ascii="Perpetua" w:hAnsi="Perpetua"/>
    </w:rPr>
  </w:style>
  <w:style w:type="paragraph" w:customStyle="1" w:styleId="PCA">
    <w:name w:val="PCA"/>
    <w:rsid w:val="0021594C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21594C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21594C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21594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21594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1594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21594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1594C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21594C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21594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21594C"/>
    <w:rPr>
      <w:rFonts w:ascii="Perpetua Std" w:hAnsi="Perpetua Std"/>
      <w:color w:val="000000"/>
      <w:sz w:val="24"/>
    </w:rPr>
  </w:style>
  <w:style w:type="paragraph" w:customStyle="1" w:styleId="PB">
    <w:name w:val="PB"/>
    <w:rsid w:val="0021594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21594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21594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21594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21594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21594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21594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21594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21594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21594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21594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21594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21594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21594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21594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21594C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21594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21594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21594C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21594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21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1594C"/>
    <w:rPr>
      <w:vertAlign w:val="superscript"/>
    </w:rPr>
  </w:style>
  <w:style w:type="paragraph" w:customStyle="1" w:styleId="HA">
    <w:name w:val="HA"/>
    <w:autoRedefine/>
    <w:rsid w:val="0021594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21594C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21594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21594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21594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21594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21594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21594C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21594C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21594C"/>
    <w:rPr>
      <w:rFonts w:ascii="Perpetua Std" w:hAnsi="Perpetua Std"/>
    </w:rPr>
  </w:style>
  <w:style w:type="paragraph" w:styleId="NoSpacing">
    <w:name w:val="No Spacing"/>
    <w:qFormat/>
    <w:rsid w:val="0021594C"/>
    <w:rPr>
      <w:rFonts w:ascii="Perpetua" w:hAnsi="Perpetua"/>
    </w:rPr>
  </w:style>
  <w:style w:type="paragraph" w:customStyle="1" w:styleId="PCA">
    <w:name w:val="PCA"/>
    <w:rsid w:val="0021594C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21594C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21594C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8588. Can a taxpayer exclude gain on the sale of vacant land under the same principles that apply in excluding gain on the sale of a principal residence?</vt:lpstr>
    </vt:vector>
  </TitlesOfParts>
  <Company>National Underwriter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8588. Can a taxpayer exclude gain on the sale of vacant land under the same principles that apply in excluding gain on the sale of a principal residence?</dc:title>
  <dc:creator>cjump</dc:creator>
  <cp:lastModifiedBy>rcline</cp:lastModifiedBy>
  <cp:revision>2</cp:revision>
  <dcterms:created xsi:type="dcterms:W3CDTF">2014-08-21T16:05:00Z</dcterms:created>
  <dcterms:modified xsi:type="dcterms:W3CDTF">2014-08-21T16:05:00Z</dcterms:modified>
</cp:coreProperties>
</file>