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D9" w:rsidRDefault="007043D9" w:rsidP="00351992">
      <w:pPr>
        <w:pStyle w:val="PA"/>
      </w:pPr>
    </w:p>
    <w:p w:rsidR="007043D9" w:rsidRDefault="007043D9" w:rsidP="00351992">
      <w:pPr>
        <w:pStyle w:val="PA"/>
        <w:rPr>
          <w:b/>
        </w:rPr>
      </w:pPr>
      <w:r w:rsidRPr="007043D9">
        <w:rPr>
          <w:b/>
        </w:rPr>
        <w:t>8587.  Is a taxpayer permitted to exclude gain on the sale of a principal residence used partially for business purposes?</w:t>
      </w:r>
    </w:p>
    <w:p w:rsidR="004D713C" w:rsidRPr="004D713C" w:rsidRDefault="004D713C" w:rsidP="004D713C">
      <w:pPr>
        <w:jc w:val="center"/>
        <w:rPr>
          <w:b/>
          <w:sz w:val="24"/>
          <w:szCs w:val="24"/>
        </w:rPr>
      </w:pPr>
    </w:p>
    <w:p w:rsidR="004D713C" w:rsidRPr="004D713C" w:rsidRDefault="00952DAA" w:rsidP="004D713C">
      <w:pPr>
        <w:jc w:val="center"/>
        <w:rPr>
          <w:b/>
          <w:sz w:val="24"/>
          <w:szCs w:val="24"/>
        </w:rPr>
      </w:pPr>
      <w:r>
        <w:rPr>
          <w:b/>
          <w:sz w:val="24"/>
          <w:szCs w:val="24"/>
        </w:rPr>
        <w:t xml:space="preserve">Business </w:t>
      </w:r>
      <w:r w:rsidR="00931D67">
        <w:rPr>
          <w:b/>
          <w:sz w:val="24"/>
          <w:szCs w:val="24"/>
        </w:rPr>
        <w:t>Portion of Property</w:t>
      </w:r>
      <w:r w:rsidR="004D713C">
        <w:rPr>
          <w:b/>
          <w:sz w:val="24"/>
          <w:szCs w:val="24"/>
        </w:rPr>
        <w:t xml:space="preserve"> Separate from Taxpayer’s Dwelling Unit</w:t>
      </w:r>
      <w:r w:rsidR="004D713C">
        <w:rPr>
          <w:b/>
          <w:sz w:val="24"/>
          <w:szCs w:val="24"/>
        </w:rPr>
        <w:br/>
      </w:r>
    </w:p>
    <w:p w:rsidR="00351992" w:rsidRDefault="00351992" w:rsidP="00351992">
      <w:pPr>
        <w:pStyle w:val="PA"/>
        <w:rPr>
          <w:b/>
        </w:rPr>
      </w:pPr>
      <w:r>
        <w:t xml:space="preserve">If a portion of </w:t>
      </w:r>
      <w:r w:rsidR="00125B93">
        <w:t xml:space="preserve">a piece of </w:t>
      </w:r>
      <w:r>
        <w:t xml:space="preserve">property is used as the taxpayer’s principal residence and another portion of that same property is used for business purposes, the taxpayer is required to allocate any gain on the sale of the property between the residential and business portions </w:t>
      </w:r>
      <w:r>
        <w:rPr>
          <w:i/>
        </w:rPr>
        <w:t>if</w:t>
      </w:r>
      <w:r>
        <w:t xml:space="preserve"> the portion used for business is separate from the taxpayer’s “dwelling unit.”</w:t>
      </w:r>
      <w:r w:rsidR="00B4630A">
        <w:t xml:space="preserve"> </w:t>
      </w:r>
    </w:p>
    <w:p w:rsidR="00351992" w:rsidRDefault="00351992" w:rsidP="00351992">
      <w:pPr>
        <w:pStyle w:val="PA"/>
        <w:rPr>
          <w:b/>
        </w:rPr>
      </w:pPr>
      <w:r>
        <w:t>“Dwelling unit,” for this purpose, is defined in IRC Section 280A (a house, apartment, condominium, mobile home, boat or similar property) except appurtenant structures (such as a detached garage, barn or stable located on the same land) are excluded for purposes of Section 121.</w:t>
      </w:r>
      <w:r>
        <w:rPr>
          <w:rStyle w:val="FootnoteReference"/>
          <w:color w:val="auto"/>
        </w:rPr>
        <w:footnoteReference w:id="1"/>
      </w:r>
      <w:r w:rsidR="00B4630A">
        <w:t xml:space="preserve"> </w:t>
      </w:r>
      <w:r w:rsidRPr="00E923C6">
        <w:t>Only</w:t>
      </w:r>
      <w:r>
        <w:t xml:space="preserve"> the gain from the portion of the property that is used as the taxpayer’s primary residence </w:t>
      </w:r>
      <w:r w:rsidR="004D713C">
        <w:t xml:space="preserve">(dwelling unit) </w:t>
      </w:r>
      <w:r>
        <w:t>may be excluded under Section 121.</w:t>
      </w:r>
      <w:r>
        <w:rPr>
          <w:rStyle w:val="FootnoteReference"/>
          <w:color w:val="auto"/>
        </w:rPr>
        <w:footnoteReference w:id="2"/>
      </w:r>
    </w:p>
    <w:p w:rsidR="00F22C37" w:rsidRDefault="00351992" w:rsidP="00DA754C">
      <w:pPr>
        <w:pStyle w:val="PN"/>
        <w:ind w:left="0"/>
        <w:rPr>
          <w:sz w:val="24"/>
          <w:szCs w:val="24"/>
        </w:rPr>
      </w:pPr>
      <w:r w:rsidRPr="00DA754C">
        <w:rPr>
          <w:i/>
          <w:sz w:val="24"/>
          <w:szCs w:val="24"/>
        </w:rPr>
        <w:t>Example</w:t>
      </w:r>
      <w:r w:rsidRPr="00DA754C">
        <w:rPr>
          <w:sz w:val="24"/>
          <w:szCs w:val="24"/>
        </w:rPr>
        <w:t>: Joe operates a dock installation business on a small lake.</w:t>
      </w:r>
      <w:r w:rsidR="00B4630A" w:rsidRPr="00DA754C">
        <w:rPr>
          <w:sz w:val="24"/>
          <w:szCs w:val="24"/>
        </w:rPr>
        <w:t xml:space="preserve"> </w:t>
      </w:r>
      <w:r w:rsidRPr="00DA754C">
        <w:rPr>
          <w:sz w:val="24"/>
          <w:szCs w:val="24"/>
        </w:rPr>
        <w:t>Rather than renting a separate office space, Joe uses a barn located 100 feet from his home (the “dwelling unit”) to store and repair any broken portions of the docks, as well as for general office space.</w:t>
      </w:r>
      <w:r w:rsidR="00B4630A" w:rsidRPr="00DA754C">
        <w:rPr>
          <w:sz w:val="24"/>
          <w:szCs w:val="24"/>
        </w:rPr>
        <w:t xml:space="preserve"> </w:t>
      </w:r>
      <w:r w:rsidRPr="00DA754C">
        <w:rPr>
          <w:sz w:val="24"/>
          <w:szCs w:val="24"/>
        </w:rPr>
        <w:t xml:space="preserve">During the past ten years, the barn has </w:t>
      </w:r>
      <w:r w:rsidR="004D713C">
        <w:rPr>
          <w:sz w:val="24"/>
          <w:szCs w:val="24"/>
        </w:rPr>
        <w:t xml:space="preserve">been </w:t>
      </w:r>
      <w:r w:rsidRPr="00DA754C">
        <w:rPr>
          <w:sz w:val="24"/>
          <w:szCs w:val="24"/>
        </w:rPr>
        <w:t xml:space="preserve">his place of business and the home has </w:t>
      </w:r>
      <w:r w:rsidR="004D713C">
        <w:rPr>
          <w:sz w:val="24"/>
          <w:szCs w:val="24"/>
        </w:rPr>
        <w:t xml:space="preserve">been </w:t>
      </w:r>
      <w:r w:rsidRPr="00DA754C">
        <w:rPr>
          <w:sz w:val="24"/>
          <w:szCs w:val="24"/>
        </w:rPr>
        <w:t>his pri</w:t>
      </w:r>
      <w:r w:rsidR="004D713C">
        <w:rPr>
          <w:sz w:val="24"/>
          <w:szCs w:val="24"/>
        </w:rPr>
        <w:t xml:space="preserve">mary </w:t>
      </w:r>
      <w:r w:rsidRPr="00DA754C">
        <w:rPr>
          <w:sz w:val="24"/>
          <w:szCs w:val="24"/>
        </w:rPr>
        <w:t>residence.</w:t>
      </w:r>
      <w:r w:rsidR="00B4630A" w:rsidRPr="00DA754C">
        <w:rPr>
          <w:sz w:val="24"/>
          <w:szCs w:val="24"/>
        </w:rPr>
        <w:t xml:space="preserve"> </w:t>
      </w:r>
      <w:r w:rsidR="004D713C">
        <w:rPr>
          <w:sz w:val="24"/>
          <w:szCs w:val="24"/>
        </w:rPr>
        <w:t xml:space="preserve">  In year 11, </w:t>
      </w:r>
      <w:r w:rsidRPr="00DA754C">
        <w:rPr>
          <w:sz w:val="24"/>
          <w:szCs w:val="24"/>
        </w:rPr>
        <w:t xml:space="preserve">Joe sells the </w:t>
      </w:r>
      <w:r w:rsidR="004D713C">
        <w:rPr>
          <w:sz w:val="24"/>
          <w:szCs w:val="24"/>
        </w:rPr>
        <w:t xml:space="preserve">entire </w:t>
      </w:r>
      <w:r w:rsidRPr="00DA754C">
        <w:rPr>
          <w:sz w:val="24"/>
          <w:szCs w:val="24"/>
        </w:rPr>
        <w:t>property</w:t>
      </w:r>
      <w:r w:rsidR="004D713C">
        <w:rPr>
          <w:sz w:val="24"/>
          <w:szCs w:val="24"/>
        </w:rPr>
        <w:t xml:space="preserve"> for $360,000.  </w:t>
      </w:r>
      <w:r w:rsidRPr="00DA754C">
        <w:rPr>
          <w:sz w:val="24"/>
          <w:szCs w:val="24"/>
        </w:rPr>
        <w:t xml:space="preserve">Because </w:t>
      </w:r>
      <w:r w:rsidR="004D713C">
        <w:rPr>
          <w:sz w:val="24"/>
          <w:szCs w:val="24"/>
        </w:rPr>
        <w:t xml:space="preserve">the barn he used for his business is separate from his dwelling unit, </w:t>
      </w:r>
      <w:r w:rsidRPr="00DA754C">
        <w:rPr>
          <w:sz w:val="24"/>
          <w:szCs w:val="24"/>
        </w:rPr>
        <w:t>he must allocate</w:t>
      </w:r>
      <w:r w:rsidR="00F22C37">
        <w:rPr>
          <w:sz w:val="24"/>
          <w:szCs w:val="24"/>
        </w:rPr>
        <w:t xml:space="preserve"> the basis of the property </w:t>
      </w:r>
      <w:r w:rsidRPr="00DA754C">
        <w:rPr>
          <w:sz w:val="24"/>
          <w:szCs w:val="24"/>
        </w:rPr>
        <w:t xml:space="preserve">between the </w:t>
      </w:r>
      <w:r w:rsidR="004D713C">
        <w:rPr>
          <w:sz w:val="24"/>
          <w:szCs w:val="24"/>
        </w:rPr>
        <w:t xml:space="preserve">barn and the </w:t>
      </w:r>
      <w:r w:rsidRPr="00DA754C">
        <w:rPr>
          <w:sz w:val="24"/>
          <w:szCs w:val="24"/>
        </w:rPr>
        <w:t>home.</w:t>
      </w:r>
      <w:r w:rsidR="00F22C37">
        <w:rPr>
          <w:rStyle w:val="FootnoteReference"/>
          <w:color w:val="auto"/>
          <w:szCs w:val="24"/>
        </w:rPr>
        <w:footnoteReference w:id="3"/>
      </w:r>
      <w:r w:rsidR="00F22C37">
        <w:t xml:space="preserve"> </w:t>
      </w:r>
      <w:r w:rsidR="00B4630A" w:rsidRPr="00DA754C">
        <w:rPr>
          <w:sz w:val="24"/>
          <w:szCs w:val="24"/>
        </w:rPr>
        <w:t xml:space="preserve"> </w:t>
      </w:r>
    </w:p>
    <w:p w:rsidR="004D713C" w:rsidRDefault="004D713C" w:rsidP="00DA754C">
      <w:pPr>
        <w:pStyle w:val="PN"/>
        <w:ind w:left="0"/>
        <w:rPr>
          <w:sz w:val="24"/>
          <w:szCs w:val="24"/>
        </w:rPr>
      </w:pPr>
      <w:r>
        <w:rPr>
          <w:sz w:val="24"/>
          <w:szCs w:val="24"/>
        </w:rPr>
        <w:t>One way to allocate basis is based on physical size.  To this point, when Joe acquired the property, t</w:t>
      </w:r>
      <w:r w:rsidR="00F22C37">
        <w:rPr>
          <w:sz w:val="24"/>
          <w:szCs w:val="24"/>
        </w:rPr>
        <w:t>he purchase price</w:t>
      </w:r>
      <w:r>
        <w:rPr>
          <w:sz w:val="24"/>
          <w:szCs w:val="24"/>
        </w:rPr>
        <w:t xml:space="preserve"> and basis</w:t>
      </w:r>
      <w:r w:rsidR="00F22C37">
        <w:rPr>
          <w:sz w:val="24"/>
          <w:szCs w:val="24"/>
        </w:rPr>
        <w:t xml:space="preserve"> for the entire property was $300,000.  Physically, the home occupies 2/3rds of the property and the barn occupies 1/3</w:t>
      </w:r>
      <w:r w:rsidR="00F22C37" w:rsidRPr="00DA754C">
        <w:rPr>
          <w:sz w:val="24"/>
          <w:szCs w:val="24"/>
          <w:vertAlign w:val="superscript"/>
        </w:rPr>
        <w:t>rd</w:t>
      </w:r>
      <w:r w:rsidR="00F22C37">
        <w:rPr>
          <w:sz w:val="24"/>
          <w:szCs w:val="24"/>
        </w:rPr>
        <w:t xml:space="preserve"> of the property.  Thus, </w:t>
      </w:r>
      <w:r>
        <w:rPr>
          <w:sz w:val="24"/>
          <w:szCs w:val="24"/>
        </w:rPr>
        <w:t xml:space="preserve">based on size, the basis of home should be </w:t>
      </w:r>
      <w:r w:rsidR="00F22C37">
        <w:rPr>
          <w:sz w:val="24"/>
          <w:szCs w:val="24"/>
        </w:rPr>
        <w:t xml:space="preserve">$200,000 and the basis of the barn </w:t>
      </w:r>
      <w:r>
        <w:rPr>
          <w:sz w:val="24"/>
          <w:szCs w:val="24"/>
        </w:rPr>
        <w:t>should be</w:t>
      </w:r>
      <w:r w:rsidR="00F22C37">
        <w:rPr>
          <w:sz w:val="24"/>
          <w:szCs w:val="24"/>
        </w:rPr>
        <w:t xml:space="preserve"> $100,000. </w:t>
      </w:r>
      <w:r w:rsidR="00952DAA">
        <w:rPr>
          <w:sz w:val="24"/>
          <w:szCs w:val="24"/>
        </w:rPr>
        <w:t xml:space="preserve">  However, as a result of depreciation deductions Joe claimed on the barn, the basis had been decreased to $45,000.</w:t>
      </w:r>
    </w:p>
    <w:p w:rsidR="00710DF1" w:rsidRDefault="004D713C" w:rsidP="00DA754C">
      <w:pPr>
        <w:pStyle w:val="PN"/>
        <w:ind w:left="0"/>
        <w:rPr>
          <w:sz w:val="24"/>
          <w:szCs w:val="24"/>
        </w:rPr>
      </w:pPr>
      <w:r>
        <w:rPr>
          <w:sz w:val="24"/>
          <w:szCs w:val="24"/>
        </w:rPr>
        <w:t xml:space="preserve">As to the sale of the property in year 11, Joe’s overall </w:t>
      </w:r>
      <w:r w:rsidR="00952DAA">
        <w:rPr>
          <w:sz w:val="24"/>
          <w:szCs w:val="24"/>
        </w:rPr>
        <w:t xml:space="preserve">economic </w:t>
      </w:r>
      <w:r>
        <w:rPr>
          <w:sz w:val="24"/>
          <w:szCs w:val="24"/>
        </w:rPr>
        <w:t>gain is $60,000 ($360,000 selling</w:t>
      </w:r>
      <w:r w:rsidR="00952DAA">
        <w:rPr>
          <w:sz w:val="24"/>
          <w:szCs w:val="24"/>
        </w:rPr>
        <w:t xml:space="preserve"> price less $300,000 original purchase price).  </w:t>
      </w:r>
      <w:r>
        <w:rPr>
          <w:sz w:val="24"/>
          <w:szCs w:val="24"/>
        </w:rPr>
        <w:t xml:space="preserve"> </w:t>
      </w:r>
      <w:r w:rsidR="00952DAA">
        <w:rPr>
          <w:sz w:val="24"/>
          <w:szCs w:val="24"/>
        </w:rPr>
        <w:t>Based on the same allocation method described above, the gain should be allocated $40,000 to the home and $20,000 to the barn.  As to the gain allocated to the home, since Joe meets the requirements of IRS Section 121, the entire amount of that gain is excluded from gross income.</w:t>
      </w:r>
      <w:r w:rsidR="00710DF1">
        <w:rPr>
          <w:sz w:val="24"/>
          <w:szCs w:val="24"/>
        </w:rPr>
        <w:t xml:space="preserve"> </w:t>
      </w:r>
    </w:p>
    <w:p w:rsidR="00710DF1" w:rsidRDefault="00710DF1" w:rsidP="00952DAA">
      <w:pPr>
        <w:pStyle w:val="PN"/>
        <w:ind w:left="0"/>
      </w:pPr>
      <w:r>
        <w:rPr>
          <w:sz w:val="24"/>
          <w:szCs w:val="24"/>
        </w:rPr>
        <w:t xml:space="preserve">On the other hand, $20,000 of the gain is attributable to the barn.  </w:t>
      </w:r>
      <w:r w:rsidR="00952DAA">
        <w:rPr>
          <w:sz w:val="24"/>
          <w:szCs w:val="24"/>
        </w:rPr>
        <w:t xml:space="preserve">None of the gain attributable to the barn is excludible pursuant to IRC Section 121.  </w:t>
      </w:r>
      <w:r w:rsidR="00DA6B21">
        <w:rPr>
          <w:sz w:val="24"/>
          <w:szCs w:val="24"/>
        </w:rPr>
        <w:t>Thus, it is as if</w:t>
      </w:r>
      <w:r>
        <w:rPr>
          <w:sz w:val="24"/>
          <w:szCs w:val="24"/>
        </w:rPr>
        <w:t xml:space="preserve"> Joe sold </w:t>
      </w:r>
      <w:r>
        <w:rPr>
          <w:sz w:val="24"/>
          <w:szCs w:val="24"/>
        </w:rPr>
        <w:lastRenderedPageBreak/>
        <w:t>the barn for $120,000</w:t>
      </w:r>
      <w:r w:rsidR="00952DAA">
        <w:rPr>
          <w:sz w:val="24"/>
          <w:szCs w:val="24"/>
        </w:rPr>
        <w:t xml:space="preserve"> (allocating 2/3rds of the $360,000 sales price to the barn)</w:t>
      </w:r>
      <w:r>
        <w:rPr>
          <w:sz w:val="24"/>
          <w:szCs w:val="24"/>
        </w:rPr>
        <w:t xml:space="preserve">.  </w:t>
      </w:r>
      <w:r w:rsidR="00DA6B21">
        <w:rPr>
          <w:sz w:val="24"/>
          <w:szCs w:val="24"/>
        </w:rPr>
        <w:t>In other words</w:t>
      </w:r>
      <w:proofErr w:type="gramStart"/>
      <w:r w:rsidR="00DA6B21">
        <w:rPr>
          <w:sz w:val="24"/>
          <w:szCs w:val="24"/>
        </w:rPr>
        <w:t xml:space="preserve">, </w:t>
      </w:r>
      <w:r w:rsidR="00952DAA">
        <w:rPr>
          <w:sz w:val="24"/>
          <w:szCs w:val="24"/>
        </w:rPr>
        <w:t xml:space="preserve"> Joe’s</w:t>
      </w:r>
      <w:proofErr w:type="gramEnd"/>
      <w:r w:rsidR="00952DAA">
        <w:rPr>
          <w:sz w:val="24"/>
          <w:szCs w:val="24"/>
        </w:rPr>
        <w:t xml:space="preserve"> gain would be computed in the same way as if he had simply sold the barn.  Thus, b</w:t>
      </w:r>
      <w:r>
        <w:rPr>
          <w:sz w:val="24"/>
          <w:szCs w:val="24"/>
        </w:rPr>
        <w:t>ec</w:t>
      </w:r>
      <w:r w:rsidR="00952DAA">
        <w:rPr>
          <w:sz w:val="24"/>
          <w:szCs w:val="24"/>
        </w:rPr>
        <w:t>ause his basis in the barn is $4</w:t>
      </w:r>
      <w:r>
        <w:rPr>
          <w:sz w:val="24"/>
          <w:szCs w:val="24"/>
        </w:rPr>
        <w:t xml:space="preserve">5,000, Joe’s </w:t>
      </w:r>
      <w:r w:rsidR="00952DAA">
        <w:rPr>
          <w:sz w:val="24"/>
          <w:szCs w:val="24"/>
        </w:rPr>
        <w:t xml:space="preserve">taxable gain </w:t>
      </w:r>
      <w:r>
        <w:rPr>
          <w:sz w:val="24"/>
          <w:szCs w:val="24"/>
        </w:rPr>
        <w:t xml:space="preserve">would be </w:t>
      </w:r>
      <w:r w:rsidR="00952DAA">
        <w:rPr>
          <w:sz w:val="24"/>
          <w:szCs w:val="24"/>
        </w:rPr>
        <w:t xml:space="preserve">computed </w:t>
      </w:r>
      <w:r>
        <w:rPr>
          <w:sz w:val="24"/>
          <w:szCs w:val="24"/>
        </w:rPr>
        <w:t>as follows</w:t>
      </w:r>
      <w:r w:rsidR="00DA6B21">
        <w:rPr>
          <w:sz w:val="24"/>
          <w:szCs w:val="24"/>
        </w:rPr>
        <w:t>:</w:t>
      </w:r>
    </w:p>
    <w:p w:rsidR="00710DF1" w:rsidRDefault="00710DF1" w:rsidP="00DA754C">
      <w:pPr>
        <w:pStyle w:val="PN"/>
        <w:ind w:left="0"/>
        <w:rPr>
          <w:sz w:val="24"/>
          <w:szCs w:val="24"/>
        </w:rPr>
      </w:pPr>
      <w:r>
        <w:rPr>
          <w:sz w:val="24"/>
          <w:szCs w:val="24"/>
        </w:rPr>
        <w:t>Amount Realized</w:t>
      </w:r>
      <w:r>
        <w:rPr>
          <w:sz w:val="24"/>
          <w:szCs w:val="24"/>
        </w:rPr>
        <w:tab/>
      </w:r>
      <w:r>
        <w:rPr>
          <w:sz w:val="24"/>
          <w:szCs w:val="24"/>
        </w:rPr>
        <w:tab/>
        <w:t>$120,000</w:t>
      </w:r>
    </w:p>
    <w:p w:rsidR="00710DF1" w:rsidRDefault="00710DF1" w:rsidP="00DA754C">
      <w:pPr>
        <w:pStyle w:val="PN"/>
        <w:ind w:hanging="432"/>
        <w:rPr>
          <w:sz w:val="24"/>
          <w:szCs w:val="24"/>
        </w:rPr>
      </w:pPr>
      <w:r>
        <w:rPr>
          <w:sz w:val="24"/>
          <w:szCs w:val="24"/>
        </w:rPr>
        <w:t>Original Basis</w:t>
      </w:r>
      <w:r>
        <w:rPr>
          <w:sz w:val="24"/>
          <w:szCs w:val="24"/>
        </w:rPr>
        <w:tab/>
      </w:r>
      <w:r>
        <w:rPr>
          <w:sz w:val="24"/>
          <w:szCs w:val="24"/>
        </w:rPr>
        <w:tab/>
        <w:t>$100,000</w:t>
      </w:r>
    </w:p>
    <w:p w:rsidR="00710DF1" w:rsidRDefault="00710DF1" w:rsidP="00DA754C">
      <w:pPr>
        <w:pStyle w:val="PN"/>
        <w:ind w:left="4320" w:hanging="4050"/>
        <w:rPr>
          <w:sz w:val="24"/>
          <w:szCs w:val="24"/>
        </w:rPr>
      </w:pPr>
      <w:r>
        <w:rPr>
          <w:sz w:val="24"/>
          <w:szCs w:val="24"/>
        </w:rPr>
        <w:t>Capital Gain                         $20,000 (amount of gain attributable to the appreciation of   the barn from $100,000 to $120,000)</w:t>
      </w:r>
    </w:p>
    <w:p w:rsidR="00710DF1" w:rsidRDefault="00710DF1" w:rsidP="00DA754C">
      <w:pPr>
        <w:pStyle w:val="PN"/>
        <w:ind w:left="4320" w:hanging="4050"/>
        <w:rPr>
          <w:sz w:val="24"/>
          <w:szCs w:val="24"/>
        </w:rPr>
      </w:pPr>
      <w:r>
        <w:rPr>
          <w:sz w:val="24"/>
          <w:szCs w:val="24"/>
        </w:rPr>
        <w:t>Adjus</w:t>
      </w:r>
      <w:r w:rsidR="00952DAA">
        <w:rPr>
          <w:sz w:val="24"/>
          <w:szCs w:val="24"/>
        </w:rPr>
        <w:t>ted Basis                     $45,000 ($100,000 minus $5</w:t>
      </w:r>
      <w:r>
        <w:rPr>
          <w:sz w:val="24"/>
          <w:szCs w:val="24"/>
        </w:rPr>
        <w:t>5,000 depreciation deductions)</w:t>
      </w:r>
    </w:p>
    <w:p w:rsidR="00952DAA" w:rsidRDefault="00952DAA" w:rsidP="00DA754C">
      <w:pPr>
        <w:pStyle w:val="PN"/>
        <w:ind w:left="4320" w:hanging="4050"/>
        <w:rPr>
          <w:sz w:val="24"/>
          <w:szCs w:val="24"/>
        </w:rPr>
      </w:pPr>
      <w:proofErr w:type="spellStart"/>
      <w:r>
        <w:rPr>
          <w:sz w:val="24"/>
          <w:szCs w:val="24"/>
        </w:rPr>
        <w:t>Unrecap</w:t>
      </w:r>
      <w:proofErr w:type="spellEnd"/>
      <w:r>
        <w:rPr>
          <w:sz w:val="24"/>
          <w:szCs w:val="24"/>
        </w:rPr>
        <w:t xml:space="preserve"> Sec 1250 gain     $5</w:t>
      </w:r>
      <w:r w:rsidR="00710DF1">
        <w:rPr>
          <w:sz w:val="24"/>
          <w:szCs w:val="24"/>
        </w:rPr>
        <w:t>5,000</w:t>
      </w:r>
      <w:r>
        <w:rPr>
          <w:sz w:val="24"/>
          <w:szCs w:val="24"/>
        </w:rPr>
        <w:t xml:space="preserve"> ($100,000 original basis minus adjusted basis).</w:t>
      </w:r>
    </w:p>
    <w:p w:rsidR="00710DF1" w:rsidRDefault="00931D67" w:rsidP="00952DAA">
      <w:pPr>
        <w:pStyle w:val="PN"/>
        <w:ind w:left="0" w:firstLine="0"/>
        <w:jc w:val="center"/>
        <w:rPr>
          <w:sz w:val="24"/>
          <w:szCs w:val="24"/>
        </w:rPr>
      </w:pPr>
      <w:r>
        <w:rPr>
          <w:b/>
          <w:sz w:val="24"/>
          <w:szCs w:val="24"/>
        </w:rPr>
        <w:t xml:space="preserve">Business Portion of </w:t>
      </w:r>
      <w:r w:rsidR="00952DAA">
        <w:rPr>
          <w:b/>
          <w:sz w:val="24"/>
          <w:szCs w:val="24"/>
        </w:rPr>
        <w:t>Property Not Separate from Taxpayer’s Dwelling Unit</w:t>
      </w:r>
    </w:p>
    <w:p w:rsidR="00351992" w:rsidRDefault="00C14B0A" w:rsidP="00351992">
      <w:pPr>
        <w:pStyle w:val="PA"/>
        <w:rPr>
          <w:b/>
        </w:rPr>
      </w:pPr>
      <w:r>
        <w:t>Al</w:t>
      </w:r>
      <w:r w:rsidR="00351992">
        <w:t>location is only required if the property used for business purposes is separate from the taxpayer’s principal residence.</w:t>
      </w:r>
      <w:r w:rsidR="00B4630A">
        <w:t xml:space="preserve"> </w:t>
      </w:r>
      <w:r w:rsidR="00351992">
        <w:t xml:space="preserve">However, if a taxpayer uses a </w:t>
      </w:r>
      <w:r w:rsidR="00351992">
        <w:rPr>
          <w:i/>
        </w:rPr>
        <w:t xml:space="preserve">non-separate </w:t>
      </w:r>
      <w:r w:rsidR="00351992">
        <w:t>portion of the residence for business and claims a depreciation deduction as a result of such use, the taxpayer may be required to recognize unrecaptured gain under IRC Section 1250.</w:t>
      </w:r>
      <w:r w:rsidR="00351992">
        <w:rPr>
          <w:rStyle w:val="FootnoteReference"/>
          <w:color w:val="auto"/>
          <w:szCs w:val="24"/>
        </w:rPr>
        <w:footnoteReference w:id="4"/>
      </w:r>
    </w:p>
    <w:p w:rsidR="00351992" w:rsidRPr="00DA754C" w:rsidRDefault="00351992" w:rsidP="00DA754C">
      <w:pPr>
        <w:pStyle w:val="PN"/>
        <w:tabs>
          <w:tab w:val="left" w:pos="360"/>
        </w:tabs>
        <w:ind w:left="0" w:firstLine="360"/>
        <w:rPr>
          <w:b/>
          <w:sz w:val="24"/>
          <w:szCs w:val="24"/>
        </w:rPr>
      </w:pPr>
      <w:r w:rsidRPr="00DA754C">
        <w:rPr>
          <w:i/>
          <w:sz w:val="24"/>
          <w:szCs w:val="24"/>
        </w:rPr>
        <w:t>Example</w:t>
      </w:r>
      <w:r w:rsidRPr="00DA754C">
        <w:rPr>
          <w:sz w:val="24"/>
          <w:szCs w:val="24"/>
        </w:rPr>
        <w:t xml:space="preserve">: Kacey is a lawyer and </w:t>
      </w:r>
      <w:r w:rsidR="00975780">
        <w:rPr>
          <w:sz w:val="24"/>
          <w:szCs w:val="24"/>
        </w:rPr>
        <w:t xml:space="preserve">has </w:t>
      </w:r>
      <w:proofErr w:type="gramStart"/>
      <w:r w:rsidRPr="00DA754C">
        <w:rPr>
          <w:sz w:val="24"/>
          <w:szCs w:val="24"/>
        </w:rPr>
        <w:t>use</w:t>
      </w:r>
      <w:r w:rsidR="00975780">
        <w:rPr>
          <w:sz w:val="24"/>
          <w:szCs w:val="24"/>
        </w:rPr>
        <w:t>d</w:t>
      </w:r>
      <w:r w:rsidR="00DA6B21">
        <w:rPr>
          <w:sz w:val="24"/>
          <w:szCs w:val="24"/>
        </w:rPr>
        <w:t xml:space="preserve"> </w:t>
      </w:r>
      <w:bookmarkStart w:id="0" w:name="_GoBack"/>
      <w:bookmarkEnd w:id="0"/>
      <w:r w:rsidRPr="00DA754C">
        <w:rPr>
          <w:sz w:val="24"/>
          <w:szCs w:val="24"/>
        </w:rPr>
        <w:t xml:space="preserve"> </w:t>
      </w:r>
      <w:r w:rsidR="00931D67">
        <w:rPr>
          <w:sz w:val="24"/>
          <w:szCs w:val="24"/>
        </w:rPr>
        <w:t>three</w:t>
      </w:r>
      <w:proofErr w:type="gramEnd"/>
      <w:r w:rsidR="00931D67">
        <w:rPr>
          <w:sz w:val="24"/>
          <w:szCs w:val="24"/>
        </w:rPr>
        <w:t xml:space="preserve"> rooms in her </w:t>
      </w:r>
      <w:r w:rsidRPr="00DA754C">
        <w:rPr>
          <w:sz w:val="24"/>
          <w:szCs w:val="24"/>
        </w:rPr>
        <w:t xml:space="preserve">residence as her law office between </w:t>
      </w:r>
      <w:r w:rsidR="00125B93" w:rsidRPr="00DA754C">
        <w:rPr>
          <w:sz w:val="24"/>
          <w:szCs w:val="24"/>
        </w:rPr>
        <w:t xml:space="preserve">2008 </w:t>
      </w:r>
      <w:r w:rsidRPr="00DA754C">
        <w:rPr>
          <w:sz w:val="24"/>
          <w:szCs w:val="24"/>
        </w:rPr>
        <w:t xml:space="preserve">and </w:t>
      </w:r>
      <w:r w:rsidR="00125B93" w:rsidRPr="00DA754C">
        <w:rPr>
          <w:sz w:val="24"/>
          <w:szCs w:val="24"/>
        </w:rPr>
        <w:t>2014</w:t>
      </w:r>
      <w:r w:rsidRPr="00DA754C">
        <w:rPr>
          <w:sz w:val="24"/>
          <w:szCs w:val="24"/>
        </w:rPr>
        <w:t>.</w:t>
      </w:r>
      <w:r w:rsidR="00B4630A" w:rsidRPr="00DA754C">
        <w:rPr>
          <w:sz w:val="24"/>
          <w:szCs w:val="24"/>
        </w:rPr>
        <w:t xml:space="preserve"> </w:t>
      </w:r>
      <w:r w:rsidRPr="00DA754C">
        <w:rPr>
          <w:sz w:val="24"/>
          <w:szCs w:val="24"/>
        </w:rPr>
        <w:t>Over this period, she claim</w:t>
      </w:r>
      <w:r w:rsidR="00975780">
        <w:rPr>
          <w:sz w:val="24"/>
          <w:szCs w:val="24"/>
        </w:rPr>
        <w:t>ed</w:t>
      </w:r>
      <w:r w:rsidRPr="00DA754C">
        <w:rPr>
          <w:sz w:val="24"/>
          <w:szCs w:val="24"/>
        </w:rPr>
        <w:t xml:space="preserve"> depreciation deductions totaling $10,000.</w:t>
      </w:r>
      <w:r w:rsidR="00B4630A" w:rsidRPr="00DA754C">
        <w:rPr>
          <w:sz w:val="24"/>
          <w:szCs w:val="24"/>
        </w:rPr>
        <w:t xml:space="preserve"> </w:t>
      </w:r>
      <w:r w:rsidRPr="00DA754C">
        <w:rPr>
          <w:sz w:val="24"/>
          <w:szCs w:val="24"/>
        </w:rPr>
        <w:t xml:space="preserve">In </w:t>
      </w:r>
      <w:r w:rsidR="00125B93" w:rsidRPr="00DA754C">
        <w:rPr>
          <w:sz w:val="24"/>
          <w:szCs w:val="24"/>
        </w:rPr>
        <w:t>2014</w:t>
      </w:r>
      <w:r w:rsidRPr="00DA754C">
        <w:rPr>
          <w:sz w:val="24"/>
          <w:szCs w:val="24"/>
        </w:rPr>
        <w:t>, she sells the house for a $30,000 gain.</w:t>
      </w:r>
      <w:r w:rsidR="00B4630A" w:rsidRPr="00DA754C">
        <w:rPr>
          <w:sz w:val="24"/>
          <w:szCs w:val="24"/>
        </w:rPr>
        <w:t xml:space="preserve"> </w:t>
      </w:r>
      <w:r w:rsidRPr="00DA754C">
        <w:rPr>
          <w:sz w:val="24"/>
          <w:szCs w:val="24"/>
        </w:rPr>
        <w:t>She has no other capital gains or losses for the year.</w:t>
      </w:r>
      <w:r w:rsidR="00B4630A" w:rsidRPr="00DA754C">
        <w:rPr>
          <w:sz w:val="24"/>
          <w:szCs w:val="24"/>
        </w:rPr>
        <w:t xml:space="preserve"> </w:t>
      </w:r>
      <w:r w:rsidRPr="00DA754C">
        <w:rPr>
          <w:sz w:val="24"/>
          <w:szCs w:val="24"/>
        </w:rPr>
        <w:t>She mus</w:t>
      </w:r>
      <w:r w:rsidR="00931D67">
        <w:rPr>
          <w:sz w:val="24"/>
          <w:szCs w:val="24"/>
        </w:rPr>
        <w:t>t recognize $10,000 of the gain (an amount equal to her depreciation deductions)</w:t>
      </w:r>
      <w:r w:rsidRPr="00DA754C">
        <w:rPr>
          <w:sz w:val="24"/>
          <w:szCs w:val="24"/>
        </w:rPr>
        <w:t xml:space="preserve"> but may exclude the remaining $20,000 because she is not required to allocate gain between residential and business use property under Treasury Regulation Section 1.121-1(e)(1).</w:t>
      </w:r>
      <w:r w:rsidR="00B4630A" w:rsidRPr="00DA754C">
        <w:rPr>
          <w:sz w:val="24"/>
          <w:szCs w:val="24"/>
        </w:rPr>
        <w:t xml:space="preserve"> </w:t>
      </w:r>
      <w:r w:rsidRPr="00DA754C">
        <w:rPr>
          <w:sz w:val="24"/>
          <w:szCs w:val="24"/>
        </w:rPr>
        <w:t xml:space="preserve">If Kacey had not </w:t>
      </w:r>
      <w:r w:rsidR="00DA754C">
        <w:rPr>
          <w:sz w:val="24"/>
          <w:szCs w:val="24"/>
        </w:rPr>
        <w:t>been entitled to claim depreciation deductions with respect to the business use of the house, the entire $30,000 of gain would be excluded from gross income</w:t>
      </w:r>
      <w:r w:rsidRPr="00DA754C">
        <w:rPr>
          <w:sz w:val="24"/>
          <w:szCs w:val="24"/>
        </w:rPr>
        <w:t>.</w:t>
      </w:r>
      <w:r w:rsidRPr="00DA754C">
        <w:rPr>
          <w:rStyle w:val="FootnoteReference"/>
          <w:color w:val="auto"/>
          <w:sz w:val="24"/>
          <w:szCs w:val="24"/>
        </w:rPr>
        <w:footnoteReference w:id="5"/>
      </w:r>
    </w:p>
    <w:p w:rsidR="00844CAC" w:rsidRPr="00DA754C" w:rsidRDefault="00844CAC" w:rsidP="00351992">
      <w:pPr>
        <w:rPr>
          <w:sz w:val="24"/>
          <w:szCs w:val="24"/>
        </w:rPr>
      </w:pPr>
    </w:p>
    <w:sectPr w:rsidR="00844CAC" w:rsidRPr="00DA754C" w:rsidSect="0024796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A6" w:rsidRDefault="00B310A6">
      <w:r>
        <w:separator/>
      </w:r>
    </w:p>
  </w:endnote>
  <w:endnote w:type="continuationSeparator" w:id="0">
    <w:p w:rsidR="00B310A6" w:rsidRDefault="00B3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A6" w:rsidRDefault="00B310A6">
      <w:r>
        <w:separator/>
      </w:r>
    </w:p>
  </w:footnote>
  <w:footnote w:type="continuationSeparator" w:id="0">
    <w:p w:rsidR="00B310A6" w:rsidRDefault="00B310A6">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1.121-1(e</w:t>
      </w:r>
      <w:proofErr w:type="gramStart"/>
      <w:r w:rsidRPr="00B4630A">
        <w:t>)(</w:t>
      </w:r>
      <w:proofErr w:type="gramEnd"/>
      <w:r w:rsidRPr="00B4630A">
        <w:t>1), IRC Sec. 280A(f)(1)(A).</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1.121-1(e</w:t>
      </w:r>
      <w:proofErr w:type="gramStart"/>
      <w:r w:rsidRPr="00B4630A">
        <w:t>)(</w:t>
      </w:r>
      <w:proofErr w:type="gramEnd"/>
      <w:r w:rsidRPr="00B4630A">
        <w:t>1).</w:t>
      </w:r>
    </w:p>
  </w:footnote>
  <w:footnote w:id="3">
    <w:p w:rsidR="00F22C37" w:rsidRPr="00B4630A" w:rsidRDefault="00F22C37" w:rsidP="00F22C37">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1.121-1(e</w:t>
      </w:r>
      <w:proofErr w:type="gramStart"/>
      <w:r w:rsidRPr="00B4630A">
        <w:t>)(</w:t>
      </w:r>
      <w:proofErr w:type="gramEnd"/>
      <w:r w:rsidRPr="00B4630A">
        <w:t>3).</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1.121-1(e</w:t>
      </w:r>
      <w:proofErr w:type="gramStart"/>
      <w:r w:rsidRPr="00B4630A">
        <w:t>)(</w:t>
      </w:r>
      <w:proofErr w:type="gramEnd"/>
      <w:r w:rsidRPr="00B4630A">
        <w:t>1).</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1.121-1(e)(4), Ex.6.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B93"/>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4ED8"/>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967"/>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538"/>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2F"/>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89D"/>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13C"/>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36A"/>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3D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0DF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0E28"/>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4F40"/>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986"/>
    <w:rsid w:val="00904B57"/>
    <w:rsid w:val="00904EA4"/>
    <w:rsid w:val="00904EB6"/>
    <w:rsid w:val="0090534B"/>
    <w:rsid w:val="00905A8F"/>
    <w:rsid w:val="00905BE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1D67"/>
    <w:rsid w:val="00932380"/>
    <w:rsid w:val="00932537"/>
    <w:rsid w:val="009325CC"/>
    <w:rsid w:val="00932855"/>
    <w:rsid w:val="0093295A"/>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DA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80"/>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972"/>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2B2"/>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0A6"/>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4B0A"/>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6FE5"/>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C3F"/>
    <w:rsid w:val="00DA4E8D"/>
    <w:rsid w:val="00DA553D"/>
    <w:rsid w:val="00DA5802"/>
    <w:rsid w:val="00DA5830"/>
    <w:rsid w:val="00DA64AD"/>
    <w:rsid w:val="00DA6B21"/>
    <w:rsid w:val="00DA6D84"/>
    <w:rsid w:val="00DA6E3C"/>
    <w:rsid w:val="00DA6FBD"/>
    <w:rsid w:val="00DA7521"/>
    <w:rsid w:val="00DA754C"/>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2C9"/>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AD6"/>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0D1"/>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42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C37"/>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8D3"/>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A4C3F"/>
    <w:rPr>
      <w:rFonts w:ascii="Perpetua Std" w:hAnsi="Perpetua Std"/>
    </w:rPr>
  </w:style>
  <w:style w:type="paragraph" w:styleId="Heading1">
    <w:name w:val="heading 1"/>
    <w:basedOn w:val="Normal"/>
    <w:next w:val="Normal"/>
    <w:link w:val="Heading1Char"/>
    <w:qFormat/>
    <w:rsid w:val="00DA4C3F"/>
    <w:pPr>
      <w:keepNext/>
      <w:outlineLvl w:val="0"/>
    </w:pPr>
    <w:rPr>
      <w:b/>
    </w:rPr>
  </w:style>
  <w:style w:type="paragraph" w:styleId="Heading2">
    <w:name w:val="heading 2"/>
    <w:basedOn w:val="Normal"/>
    <w:next w:val="Normal"/>
    <w:link w:val="Heading2Char"/>
    <w:qFormat/>
    <w:rsid w:val="00DA4C3F"/>
    <w:pPr>
      <w:keepNext/>
      <w:spacing w:before="240" w:after="60"/>
      <w:outlineLvl w:val="1"/>
    </w:pPr>
    <w:rPr>
      <w:rFonts w:ascii="Arial" w:hAnsi="Arial"/>
      <w:b/>
      <w:i/>
      <w:sz w:val="24"/>
    </w:rPr>
  </w:style>
  <w:style w:type="paragraph" w:styleId="Heading3">
    <w:name w:val="heading 3"/>
    <w:basedOn w:val="Normal"/>
    <w:next w:val="Normal"/>
    <w:link w:val="Heading3Char"/>
    <w:qFormat/>
    <w:rsid w:val="00DA4C3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C3F"/>
    <w:pPr>
      <w:tabs>
        <w:tab w:val="center" w:pos="4320"/>
        <w:tab w:val="right" w:pos="8640"/>
      </w:tabs>
    </w:pPr>
  </w:style>
  <w:style w:type="paragraph" w:styleId="Header">
    <w:name w:val="header"/>
    <w:basedOn w:val="Normal"/>
    <w:rsid w:val="00DA4C3F"/>
    <w:pPr>
      <w:tabs>
        <w:tab w:val="center" w:pos="4320"/>
        <w:tab w:val="right" w:pos="8640"/>
      </w:tabs>
    </w:pPr>
  </w:style>
  <w:style w:type="paragraph" w:customStyle="1" w:styleId="Standard">
    <w:name w:val="Standard"/>
    <w:rsid w:val="00DA4C3F"/>
    <w:pPr>
      <w:spacing w:before="144"/>
      <w:jc w:val="both"/>
    </w:pPr>
    <w:rPr>
      <w:noProof/>
    </w:rPr>
  </w:style>
  <w:style w:type="paragraph" w:customStyle="1" w:styleId="PA">
    <w:name w:val="PA"/>
    <w:next w:val="Normal"/>
    <w:link w:val="PAChar"/>
    <w:rsid w:val="00DA4C3F"/>
    <w:pPr>
      <w:spacing w:after="240"/>
      <w:ind w:firstLine="288"/>
      <w:jc w:val="both"/>
    </w:pPr>
    <w:rPr>
      <w:rFonts w:ascii="Perpetua Std" w:hAnsi="Perpetua Std"/>
      <w:color w:val="000000"/>
      <w:sz w:val="24"/>
    </w:rPr>
  </w:style>
  <w:style w:type="character" w:customStyle="1" w:styleId="PAChar">
    <w:name w:val="PA Char"/>
    <w:link w:val="PA"/>
    <w:rsid w:val="00DA4C3F"/>
    <w:rPr>
      <w:rFonts w:ascii="Perpetua Std" w:hAnsi="Perpetua Std"/>
      <w:color w:val="000000"/>
      <w:sz w:val="24"/>
    </w:rPr>
  </w:style>
  <w:style w:type="paragraph" w:customStyle="1" w:styleId="PB">
    <w:name w:val="PB"/>
    <w:rsid w:val="00DA4C3F"/>
    <w:pPr>
      <w:spacing w:after="240"/>
      <w:jc w:val="both"/>
    </w:pPr>
    <w:rPr>
      <w:rFonts w:ascii="Perpetua Std" w:hAnsi="Perpetua Std"/>
      <w:color w:val="000000"/>
      <w:sz w:val="24"/>
    </w:rPr>
  </w:style>
  <w:style w:type="paragraph" w:customStyle="1" w:styleId="PC">
    <w:name w:val="PC"/>
    <w:rsid w:val="00DA4C3F"/>
    <w:pPr>
      <w:tabs>
        <w:tab w:val="left" w:pos="720"/>
      </w:tabs>
      <w:spacing w:after="240"/>
      <w:ind w:left="720" w:hanging="360"/>
      <w:jc w:val="both"/>
    </w:pPr>
    <w:rPr>
      <w:rFonts w:ascii="Perpetua Std" w:hAnsi="Perpetua Std"/>
      <w:color w:val="000000"/>
      <w:sz w:val="24"/>
    </w:rPr>
  </w:style>
  <w:style w:type="paragraph" w:customStyle="1" w:styleId="PD">
    <w:name w:val="PD"/>
    <w:rsid w:val="00DA4C3F"/>
    <w:pPr>
      <w:spacing w:after="240"/>
      <w:ind w:left="720" w:firstLine="288"/>
      <w:jc w:val="both"/>
    </w:pPr>
    <w:rPr>
      <w:rFonts w:ascii="Perpetua Std" w:hAnsi="Perpetua Std"/>
      <w:color w:val="000000"/>
      <w:sz w:val="24"/>
    </w:rPr>
  </w:style>
  <w:style w:type="paragraph" w:customStyle="1" w:styleId="PE">
    <w:name w:val="PE"/>
    <w:rsid w:val="00DA4C3F"/>
    <w:pPr>
      <w:spacing w:after="240"/>
      <w:ind w:left="720"/>
      <w:jc w:val="both"/>
    </w:pPr>
    <w:rPr>
      <w:rFonts w:ascii="Perpetua Std" w:hAnsi="Perpetua Std"/>
      <w:color w:val="000000"/>
      <w:sz w:val="24"/>
    </w:rPr>
  </w:style>
  <w:style w:type="paragraph" w:customStyle="1" w:styleId="PF">
    <w:name w:val="PF"/>
    <w:rsid w:val="00DA4C3F"/>
    <w:pPr>
      <w:tabs>
        <w:tab w:val="left" w:pos="1080"/>
      </w:tabs>
      <w:spacing w:after="240"/>
      <w:ind w:left="1080" w:hanging="360"/>
      <w:jc w:val="both"/>
    </w:pPr>
    <w:rPr>
      <w:rFonts w:ascii="Perpetua Std" w:hAnsi="Perpetua Std"/>
      <w:color w:val="000000"/>
      <w:sz w:val="24"/>
    </w:rPr>
  </w:style>
  <w:style w:type="paragraph" w:customStyle="1" w:styleId="PG">
    <w:name w:val="PG"/>
    <w:rsid w:val="00DA4C3F"/>
    <w:pPr>
      <w:spacing w:after="240"/>
      <w:ind w:left="360"/>
      <w:jc w:val="both"/>
    </w:pPr>
    <w:rPr>
      <w:rFonts w:ascii="Perpetua Std" w:hAnsi="Perpetua Std"/>
      <w:color w:val="000000"/>
      <w:sz w:val="24"/>
    </w:rPr>
  </w:style>
  <w:style w:type="paragraph" w:customStyle="1" w:styleId="PH">
    <w:name w:val="PH"/>
    <w:rsid w:val="00DA4C3F"/>
    <w:pPr>
      <w:tabs>
        <w:tab w:val="left" w:pos="360"/>
      </w:tabs>
      <w:spacing w:after="240"/>
      <w:ind w:left="360" w:hanging="360"/>
      <w:jc w:val="both"/>
    </w:pPr>
    <w:rPr>
      <w:rFonts w:ascii="Perpetua Std" w:hAnsi="Perpetua Std"/>
      <w:color w:val="000000"/>
      <w:sz w:val="24"/>
    </w:rPr>
  </w:style>
  <w:style w:type="paragraph" w:customStyle="1" w:styleId="PI">
    <w:name w:val="PI"/>
    <w:rsid w:val="00DA4C3F"/>
    <w:pPr>
      <w:spacing w:after="240"/>
      <w:ind w:left="360" w:hanging="360"/>
      <w:jc w:val="both"/>
    </w:pPr>
    <w:rPr>
      <w:rFonts w:ascii="Perpetua Std" w:hAnsi="Perpetua Std"/>
      <w:color w:val="000000"/>
      <w:sz w:val="24"/>
    </w:rPr>
  </w:style>
  <w:style w:type="paragraph" w:customStyle="1" w:styleId="PK">
    <w:name w:val="PK"/>
    <w:rsid w:val="00DA4C3F"/>
    <w:pPr>
      <w:spacing w:after="240"/>
      <w:ind w:left="360" w:firstLine="288"/>
      <w:jc w:val="both"/>
    </w:pPr>
    <w:rPr>
      <w:rFonts w:ascii="Perpetua Std" w:hAnsi="Perpetua Std"/>
      <w:color w:val="000000"/>
      <w:sz w:val="24"/>
    </w:rPr>
  </w:style>
  <w:style w:type="paragraph" w:customStyle="1" w:styleId="PL">
    <w:name w:val="PL"/>
    <w:rsid w:val="00DA4C3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A4C3F"/>
    <w:pPr>
      <w:spacing w:after="240"/>
      <w:ind w:left="432" w:right="432" w:firstLine="432"/>
      <w:jc w:val="both"/>
    </w:pPr>
    <w:rPr>
      <w:rFonts w:ascii="Minion Pro" w:hAnsi="Minion Pro"/>
    </w:rPr>
  </w:style>
  <w:style w:type="paragraph" w:customStyle="1" w:styleId="TOC">
    <w:name w:val="TOC"/>
    <w:autoRedefine/>
    <w:rsid w:val="00DA4C3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A4C3F"/>
    <w:pPr>
      <w:tabs>
        <w:tab w:val="clear" w:pos="1440"/>
        <w:tab w:val="clear" w:pos="8640"/>
        <w:tab w:val="left" w:pos="240"/>
        <w:tab w:val="left" w:pos="480"/>
        <w:tab w:val="right" w:leader="dot" w:pos="4680"/>
      </w:tabs>
      <w:ind w:left="0" w:firstLine="0"/>
    </w:pPr>
    <w:rPr>
      <w:sz w:val="22"/>
    </w:rPr>
  </w:style>
  <w:style w:type="paragraph" w:customStyle="1" w:styleId="QU">
    <w:name w:val="QU"/>
    <w:rsid w:val="00DA4C3F"/>
    <w:pPr>
      <w:spacing w:after="240"/>
      <w:jc w:val="both"/>
    </w:pPr>
    <w:rPr>
      <w:rFonts w:ascii="Helvetica LT Std" w:hAnsi="Helvetica LT Std"/>
      <w:b/>
      <w:color w:val="000000"/>
      <w:sz w:val="26"/>
    </w:rPr>
  </w:style>
  <w:style w:type="paragraph" w:customStyle="1" w:styleId="PQ">
    <w:name w:val="PQ"/>
    <w:link w:val="PQChar"/>
    <w:rsid w:val="00DA4C3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A4C3F"/>
    <w:rPr>
      <w:rFonts w:ascii="Adobe Caslon Pro" w:hAnsi="Adobe Caslon Pro"/>
      <w:color w:val="000000"/>
      <w:sz w:val="14"/>
    </w:rPr>
  </w:style>
  <w:style w:type="paragraph" w:customStyle="1" w:styleId="HD">
    <w:name w:val="HD"/>
    <w:rsid w:val="00DA4C3F"/>
    <w:pPr>
      <w:suppressAutoHyphens/>
      <w:spacing w:before="120"/>
      <w:jc w:val="center"/>
    </w:pPr>
    <w:rPr>
      <w:rFonts w:ascii="Helvetica LT Std" w:hAnsi="Helvetica LT Std"/>
      <w:sz w:val="26"/>
      <w:szCs w:val="18"/>
    </w:rPr>
  </w:style>
  <w:style w:type="paragraph" w:customStyle="1" w:styleId="PP">
    <w:name w:val="PP"/>
    <w:rsid w:val="00DA4C3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DA4C3F"/>
    <w:pPr>
      <w:spacing w:before="120" w:after="120"/>
      <w:jc w:val="center"/>
    </w:pPr>
    <w:rPr>
      <w:rFonts w:ascii="Helvetica LT Std" w:hAnsi="Helvetica LT Std"/>
      <w:sz w:val="24"/>
    </w:rPr>
  </w:style>
  <w:style w:type="paragraph" w:customStyle="1" w:styleId="PN">
    <w:name w:val="PN"/>
    <w:rsid w:val="00DA4C3F"/>
    <w:pPr>
      <w:spacing w:after="240"/>
      <w:ind w:left="720" w:firstLine="288"/>
      <w:jc w:val="both"/>
    </w:pPr>
    <w:rPr>
      <w:rFonts w:ascii="Perpetua Std" w:eastAsia="MS Mincho" w:hAnsi="Perpetua Std"/>
      <w:color w:val="000000"/>
    </w:rPr>
  </w:style>
  <w:style w:type="table" w:styleId="TableGrid">
    <w:name w:val="Table Grid"/>
    <w:basedOn w:val="TableNormal"/>
    <w:rsid w:val="00DA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A4C3F"/>
    <w:rPr>
      <w:vertAlign w:val="superscript"/>
    </w:rPr>
  </w:style>
  <w:style w:type="paragraph" w:customStyle="1" w:styleId="HA">
    <w:name w:val="HA"/>
    <w:autoRedefine/>
    <w:rsid w:val="00DA4C3F"/>
    <w:pPr>
      <w:spacing w:after="240"/>
      <w:jc w:val="center"/>
    </w:pPr>
    <w:rPr>
      <w:rFonts w:ascii="Helvetica LT Std" w:hAnsi="Helvetica LT Std"/>
      <w:b/>
      <w:caps/>
      <w:color w:val="000000"/>
      <w:sz w:val="36"/>
      <w:szCs w:val="32"/>
    </w:rPr>
  </w:style>
  <w:style w:type="paragraph" w:customStyle="1" w:styleId="HB">
    <w:name w:val="HB"/>
    <w:rsid w:val="00DA4C3F"/>
    <w:pPr>
      <w:spacing w:before="120" w:after="240"/>
      <w:jc w:val="center"/>
    </w:pPr>
    <w:rPr>
      <w:rFonts w:ascii="Helvetica LT Std" w:hAnsi="Helvetica LT Std"/>
      <w:b/>
      <w:color w:val="333333"/>
      <w:w w:val="105"/>
      <w:sz w:val="32"/>
    </w:rPr>
  </w:style>
  <w:style w:type="paragraph" w:customStyle="1" w:styleId="HC">
    <w:name w:val="HC"/>
    <w:autoRedefine/>
    <w:rsid w:val="00DA4C3F"/>
    <w:pPr>
      <w:tabs>
        <w:tab w:val="left" w:pos="284"/>
      </w:tabs>
      <w:spacing w:before="120" w:after="120"/>
      <w:jc w:val="center"/>
    </w:pPr>
    <w:rPr>
      <w:rFonts w:ascii="Helvetica LT Std" w:hAnsi="Helvetica LT Std"/>
      <w:b/>
      <w:color w:val="000000"/>
      <w:w w:val="110"/>
      <w:sz w:val="26"/>
    </w:rPr>
  </w:style>
  <w:style w:type="paragraph" w:customStyle="1" w:styleId="PR">
    <w:name w:val="PR"/>
    <w:rsid w:val="00DA4C3F"/>
    <w:pPr>
      <w:spacing w:after="240"/>
      <w:ind w:left="360" w:firstLine="288"/>
      <w:jc w:val="both"/>
    </w:pPr>
    <w:rPr>
      <w:rFonts w:ascii="Adobe Caslon Pro" w:hAnsi="Adobe Caslon Pro"/>
      <w:color w:val="000000"/>
      <w:sz w:val="14"/>
    </w:rPr>
  </w:style>
  <w:style w:type="paragraph" w:customStyle="1" w:styleId="PO">
    <w:name w:val="PO"/>
    <w:rsid w:val="00DA4C3F"/>
    <w:pPr>
      <w:spacing w:after="240"/>
      <w:jc w:val="both"/>
    </w:pPr>
    <w:rPr>
      <w:rFonts w:ascii="Perpetua Std" w:hAnsi="Perpetua Std"/>
      <w:color w:val="000000"/>
      <w:w w:val="95"/>
      <w:szCs w:val="16"/>
    </w:rPr>
  </w:style>
  <w:style w:type="paragraph" w:customStyle="1" w:styleId="GUIDEX">
    <w:name w:val="GUIDEX"/>
    <w:rsid w:val="00DA4C3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A4C3F"/>
    <w:pPr>
      <w:tabs>
        <w:tab w:val="clear" w:pos="240"/>
        <w:tab w:val="clear" w:pos="480"/>
        <w:tab w:val="clear" w:pos="720"/>
        <w:tab w:val="right" w:pos="4680"/>
      </w:tabs>
    </w:pPr>
  </w:style>
  <w:style w:type="paragraph" w:customStyle="1" w:styleId="PCB">
    <w:name w:val="PCB"/>
    <w:autoRedefine/>
    <w:rsid w:val="00DA4C3F"/>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DA4C3F"/>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A4C3F"/>
    <w:rPr>
      <w:rFonts w:ascii="Perpetua Std" w:hAnsi="Perpetua Std"/>
    </w:rPr>
  </w:style>
  <w:style w:type="paragraph" w:styleId="NoSpacing">
    <w:name w:val="No Spacing"/>
    <w:qFormat/>
    <w:rsid w:val="00DA4C3F"/>
    <w:rPr>
      <w:rFonts w:ascii="Perpetua" w:hAnsi="Perpetua"/>
    </w:rPr>
  </w:style>
  <w:style w:type="paragraph" w:customStyle="1" w:styleId="PCA">
    <w:name w:val="PCA"/>
    <w:rsid w:val="00DA4C3F"/>
    <w:pPr>
      <w:numPr>
        <w:numId w:val="22"/>
      </w:numPr>
      <w:tabs>
        <w:tab w:val="left" w:pos="720"/>
      </w:tabs>
      <w:spacing w:after="240"/>
      <w:jc w:val="both"/>
    </w:pPr>
    <w:rPr>
      <w:rFonts w:ascii="Perpetua Std" w:hAnsi="Perpetua Std"/>
      <w:sz w:val="24"/>
    </w:rPr>
  </w:style>
  <w:style w:type="paragraph" w:customStyle="1" w:styleId="PHB">
    <w:name w:val="PHB"/>
    <w:rsid w:val="00DA4C3F"/>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DA4C3F"/>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A4C3F"/>
    <w:rPr>
      <w:rFonts w:ascii="Perpetua Std" w:hAnsi="Perpetua Std"/>
    </w:rPr>
  </w:style>
  <w:style w:type="paragraph" w:styleId="Heading1">
    <w:name w:val="heading 1"/>
    <w:basedOn w:val="Normal"/>
    <w:next w:val="Normal"/>
    <w:link w:val="Heading1Char"/>
    <w:qFormat/>
    <w:rsid w:val="00DA4C3F"/>
    <w:pPr>
      <w:keepNext/>
      <w:outlineLvl w:val="0"/>
    </w:pPr>
    <w:rPr>
      <w:b/>
    </w:rPr>
  </w:style>
  <w:style w:type="paragraph" w:styleId="Heading2">
    <w:name w:val="heading 2"/>
    <w:basedOn w:val="Normal"/>
    <w:next w:val="Normal"/>
    <w:link w:val="Heading2Char"/>
    <w:qFormat/>
    <w:rsid w:val="00DA4C3F"/>
    <w:pPr>
      <w:keepNext/>
      <w:spacing w:before="240" w:after="60"/>
      <w:outlineLvl w:val="1"/>
    </w:pPr>
    <w:rPr>
      <w:rFonts w:ascii="Arial" w:hAnsi="Arial"/>
      <w:b/>
      <w:i/>
      <w:sz w:val="24"/>
    </w:rPr>
  </w:style>
  <w:style w:type="paragraph" w:styleId="Heading3">
    <w:name w:val="heading 3"/>
    <w:basedOn w:val="Normal"/>
    <w:next w:val="Normal"/>
    <w:link w:val="Heading3Char"/>
    <w:qFormat/>
    <w:rsid w:val="00DA4C3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C3F"/>
    <w:pPr>
      <w:tabs>
        <w:tab w:val="center" w:pos="4320"/>
        <w:tab w:val="right" w:pos="8640"/>
      </w:tabs>
    </w:pPr>
  </w:style>
  <w:style w:type="paragraph" w:styleId="Header">
    <w:name w:val="header"/>
    <w:basedOn w:val="Normal"/>
    <w:rsid w:val="00DA4C3F"/>
    <w:pPr>
      <w:tabs>
        <w:tab w:val="center" w:pos="4320"/>
        <w:tab w:val="right" w:pos="8640"/>
      </w:tabs>
    </w:pPr>
  </w:style>
  <w:style w:type="paragraph" w:customStyle="1" w:styleId="Standard">
    <w:name w:val="Standard"/>
    <w:rsid w:val="00DA4C3F"/>
    <w:pPr>
      <w:spacing w:before="144"/>
      <w:jc w:val="both"/>
    </w:pPr>
    <w:rPr>
      <w:noProof/>
    </w:rPr>
  </w:style>
  <w:style w:type="paragraph" w:customStyle="1" w:styleId="PA">
    <w:name w:val="PA"/>
    <w:next w:val="Normal"/>
    <w:link w:val="PAChar"/>
    <w:rsid w:val="00DA4C3F"/>
    <w:pPr>
      <w:spacing w:after="240"/>
      <w:ind w:firstLine="288"/>
      <w:jc w:val="both"/>
    </w:pPr>
    <w:rPr>
      <w:rFonts w:ascii="Perpetua Std" w:hAnsi="Perpetua Std"/>
      <w:color w:val="000000"/>
      <w:sz w:val="24"/>
    </w:rPr>
  </w:style>
  <w:style w:type="character" w:customStyle="1" w:styleId="PAChar">
    <w:name w:val="PA Char"/>
    <w:link w:val="PA"/>
    <w:rsid w:val="00DA4C3F"/>
    <w:rPr>
      <w:rFonts w:ascii="Perpetua Std" w:hAnsi="Perpetua Std"/>
      <w:color w:val="000000"/>
      <w:sz w:val="24"/>
    </w:rPr>
  </w:style>
  <w:style w:type="paragraph" w:customStyle="1" w:styleId="PB">
    <w:name w:val="PB"/>
    <w:rsid w:val="00DA4C3F"/>
    <w:pPr>
      <w:spacing w:after="240"/>
      <w:jc w:val="both"/>
    </w:pPr>
    <w:rPr>
      <w:rFonts w:ascii="Perpetua Std" w:hAnsi="Perpetua Std"/>
      <w:color w:val="000000"/>
      <w:sz w:val="24"/>
    </w:rPr>
  </w:style>
  <w:style w:type="paragraph" w:customStyle="1" w:styleId="PC">
    <w:name w:val="PC"/>
    <w:rsid w:val="00DA4C3F"/>
    <w:pPr>
      <w:tabs>
        <w:tab w:val="left" w:pos="720"/>
      </w:tabs>
      <w:spacing w:after="240"/>
      <w:ind w:left="720" w:hanging="360"/>
      <w:jc w:val="both"/>
    </w:pPr>
    <w:rPr>
      <w:rFonts w:ascii="Perpetua Std" w:hAnsi="Perpetua Std"/>
      <w:color w:val="000000"/>
      <w:sz w:val="24"/>
    </w:rPr>
  </w:style>
  <w:style w:type="paragraph" w:customStyle="1" w:styleId="PD">
    <w:name w:val="PD"/>
    <w:rsid w:val="00DA4C3F"/>
    <w:pPr>
      <w:spacing w:after="240"/>
      <w:ind w:left="720" w:firstLine="288"/>
      <w:jc w:val="both"/>
    </w:pPr>
    <w:rPr>
      <w:rFonts w:ascii="Perpetua Std" w:hAnsi="Perpetua Std"/>
      <w:color w:val="000000"/>
      <w:sz w:val="24"/>
    </w:rPr>
  </w:style>
  <w:style w:type="paragraph" w:customStyle="1" w:styleId="PE">
    <w:name w:val="PE"/>
    <w:rsid w:val="00DA4C3F"/>
    <w:pPr>
      <w:spacing w:after="240"/>
      <w:ind w:left="720"/>
      <w:jc w:val="both"/>
    </w:pPr>
    <w:rPr>
      <w:rFonts w:ascii="Perpetua Std" w:hAnsi="Perpetua Std"/>
      <w:color w:val="000000"/>
      <w:sz w:val="24"/>
    </w:rPr>
  </w:style>
  <w:style w:type="paragraph" w:customStyle="1" w:styleId="PF">
    <w:name w:val="PF"/>
    <w:rsid w:val="00DA4C3F"/>
    <w:pPr>
      <w:tabs>
        <w:tab w:val="left" w:pos="1080"/>
      </w:tabs>
      <w:spacing w:after="240"/>
      <w:ind w:left="1080" w:hanging="360"/>
      <w:jc w:val="both"/>
    </w:pPr>
    <w:rPr>
      <w:rFonts w:ascii="Perpetua Std" w:hAnsi="Perpetua Std"/>
      <w:color w:val="000000"/>
      <w:sz w:val="24"/>
    </w:rPr>
  </w:style>
  <w:style w:type="paragraph" w:customStyle="1" w:styleId="PG">
    <w:name w:val="PG"/>
    <w:rsid w:val="00DA4C3F"/>
    <w:pPr>
      <w:spacing w:after="240"/>
      <w:ind w:left="360"/>
      <w:jc w:val="both"/>
    </w:pPr>
    <w:rPr>
      <w:rFonts w:ascii="Perpetua Std" w:hAnsi="Perpetua Std"/>
      <w:color w:val="000000"/>
      <w:sz w:val="24"/>
    </w:rPr>
  </w:style>
  <w:style w:type="paragraph" w:customStyle="1" w:styleId="PH">
    <w:name w:val="PH"/>
    <w:rsid w:val="00DA4C3F"/>
    <w:pPr>
      <w:tabs>
        <w:tab w:val="left" w:pos="360"/>
      </w:tabs>
      <w:spacing w:after="240"/>
      <w:ind w:left="360" w:hanging="360"/>
      <w:jc w:val="both"/>
    </w:pPr>
    <w:rPr>
      <w:rFonts w:ascii="Perpetua Std" w:hAnsi="Perpetua Std"/>
      <w:color w:val="000000"/>
      <w:sz w:val="24"/>
    </w:rPr>
  </w:style>
  <w:style w:type="paragraph" w:customStyle="1" w:styleId="PI">
    <w:name w:val="PI"/>
    <w:rsid w:val="00DA4C3F"/>
    <w:pPr>
      <w:spacing w:after="240"/>
      <w:ind w:left="360" w:hanging="360"/>
      <w:jc w:val="both"/>
    </w:pPr>
    <w:rPr>
      <w:rFonts w:ascii="Perpetua Std" w:hAnsi="Perpetua Std"/>
      <w:color w:val="000000"/>
      <w:sz w:val="24"/>
    </w:rPr>
  </w:style>
  <w:style w:type="paragraph" w:customStyle="1" w:styleId="PK">
    <w:name w:val="PK"/>
    <w:rsid w:val="00DA4C3F"/>
    <w:pPr>
      <w:spacing w:after="240"/>
      <w:ind w:left="360" w:firstLine="288"/>
      <w:jc w:val="both"/>
    </w:pPr>
    <w:rPr>
      <w:rFonts w:ascii="Perpetua Std" w:hAnsi="Perpetua Std"/>
      <w:color w:val="000000"/>
      <w:sz w:val="24"/>
    </w:rPr>
  </w:style>
  <w:style w:type="paragraph" w:customStyle="1" w:styleId="PL">
    <w:name w:val="PL"/>
    <w:rsid w:val="00DA4C3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A4C3F"/>
    <w:pPr>
      <w:spacing w:after="240"/>
      <w:ind w:left="432" w:right="432" w:firstLine="432"/>
      <w:jc w:val="both"/>
    </w:pPr>
    <w:rPr>
      <w:rFonts w:ascii="Minion Pro" w:hAnsi="Minion Pro"/>
    </w:rPr>
  </w:style>
  <w:style w:type="paragraph" w:customStyle="1" w:styleId="TOC">
    <w:name w:val="TOC"/>
    <w:autoRedefine/>
    <w:rsid w:val="00DA4C3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A4C3F"/>
    <w:pPr>
      <w:tabs>
        <w:tab w:val="clear" w:pos="1440"/>
        <w:tab w:val="clear" w:pos="8640"/>
        <w:tab w:val="left" w:pos="240"/>
        <w:tab w:val="left" w:pos="480"/>
        <w:tab w:val="right" w:leader="dot" w:pos="4680"/>
      </w:tabs>
      <w:ind w:left="0" w:firstLine="0"/>
    </w:pPr>
    <w:rPr>
      <w:sz w:val="22"/>
    </w:rPr>
  </w:style>
  <w:style w:type="paragraph" w:customStyle="1" w:styleId="QU">
    <w:name w:val="QU"/>
    <w:rsid w:val="00DA4C3F"/>
    <w:pPr>
      <w:spacing w:after="240"/>
      <w:jc w:val="both"/>
    </w:pPr>
    <w:rPr>
      <w:rFonts w:ascii="Helvetica LT Std" w:hAnsi="Helvetica LT Std"/>
      <w:b/>
      <w:color w:val="000000"/>
      <w:sz w:val="26"/>
    </w:rPr>
  </w:style>
  <w:style w:type="paragraph" w:customStyle="1" w:styleId="PQ">
    <w:name w:val="PQ"/>
    <w:link w:val="PQChar"/>
    <w:rsid w:val="00DA4C3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A4C3F"/>
    <w:rPr>
      <w:rFonts w:ascii="Adobe Caslon Pro" w:hAnsi="Adobe Caslon Pro"/>
      <w:color w:val="000000"/>
      <w:sz w:val="14"/>
    </w:rPr>
  </w:style>
  <w:style w:type="paragraph" w:customStyle="1" w:styleId="HD">
    <w:name w:val="HD"/>
    <w:rsid w:val="00DA4C3F"/>
    <w:pPr>
      <w:suppressAutoHyphens/>
      <w:spacing w:before="120"/>
      <w:jc w:val="center"/>
    </w:pPr>
    <w:rPr>
      <w:rFonts w:ascii="Helvetica LT Std" w:hAnsi="Helvetica LT Std"/>
      <w:sz w:val="26"/>
      <w:szCs w:val="18"/>
    </w:rPr>
  </w:style>
  <w:style w:type="paragraph" w:customStyle="1" w:styleId="PP">
    <w:name w:val="PP"/>
    <w:rsid w:val="00DA4C3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DA4C3F"/>
    <w:pPr>
      <w:spacing w:before="120" w:after="120"/>
      <w:jc w:val="center"/>
    </w:pPr>
    <w:rPr>
      <w:rFonts w:ascii="Helvetica LT Std" w:hAnsi="Helvetica LT Std"/>
      <w:sz w:val="24"/>
    </w:rPr>
  </w:style>
  <w:style w:type="paragraph" w:customStyle="1" w:styleId="PN">
    <w:name w:val="PN"/>
    <w:rsid w:val="00DA4C3F"/>
    <w:pPr>
      <w:spacing w:after="240"/>
      <w:ind w:left="720" w:firstLine="288"/>
      <w:jc w:val="both"/>
    </w:pPr>
    <w:rPr>
      <w:rFonts w:ascii="Perpetua Std" w:eastAsia="MS Mincho" w:hAnsi="Perpetua Std"/>
      <w:color w:val="000000"/>
    </w:rPr>
  </w:style>
  <w:style w:type="table" w:styleId="TableGrid">
    <w:name w:val="Table Grid"/>
    <w:basedOn w:val="TableNormal"/>
    <w:rsid w:val="00DA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A4C3F"/>
    <w:rPr>
      <w:vertAlign w:val="superscript"/>
    </w:rPr>
  </w:style>
  <w:style w:type="paragraph" w:customStyle="1" w:styleId="HA">
    <w:name w:val="HA"/>
    <w:autoRedefine/>
    <w:rsid w:val="00DA4C3F"/>
    <w:pPr>
      <w:spacing w:after="240"/>
      <w:jc w:val="center"/>
    </w:pPr>
    <w:rPr>
      <w:rFonts w:ascii="Helvetica LT Std" w:hAnsi="Helvetica LT Std"/>
      <w:b/>
      <w:caps/>
      <w:color w:val="000000"/>
      <w:sz w:val="36"/>
      <w:szCs w:val="32"/>
    </w:rPr>
  </w:style>
  <w:style w:type="paragraph" w:customStyle="1" w:styleId="HB">
    <w:name w:val="HB"/>
    <w:rsid w:val="00DA4C3F"/>
    <w:pPr>
      <w:spacing w:before="120" w:after="240"/>
      <w:jc w:val="center"/>
    </w:pPr>
    <w:rPr>
      <w:rFonts w:ascii="Helvetica LT Std" w:hAnsi="Helvetica LT Std"/>
      <w:b/>
      <w:color w:val="333333"/>
      <w:w w:val="105"/>
      <w:sz w:val="32"/>
    </w:rPr>
  </w:style>
  <w:style w:type="paragraph" w:customStyle="1" w:styleId="HC">
    <w:name w:val="HC"/>
    <w:autoRedefine/>
    <w:rsid w:val="00DA4C3F"/>
    <w:pPr>
      <w:tabs>
        <w:tab w:val="left" w:pos="284"/>
      </w:tabs>
      <w:spacing w:before="120" w:after="120"/>
      <w:jc w:val="center"/>
    </w:pPr>
    <w:rPr>
      <w:rFonts w:ascii="Helvetica LT Std" w:hAnsi="Helvetica LT Std"/>
      <w:b/>
      <w:color w:val="000000"/>
      <w:w w:val="110"/>
      <w:sz w:val="26"/>
    </w:rPr>
  </w:style>
  <w:style w:type="paragraph" w:customStyle="1" w:styleId="PR">
    <w:name w:val="PR"/>
    <w:rsid w:val="00DA4C3F"/>
    <w:pPr>
      <w:spacing w:after="240"/>
      <w:ind w:left="360" w:firstLine="288"/>
      <w:jc w:val="both"/>
    </w:pPr>
    <w:rPr>
      <w:rFonts w:ascii="Adobe Caslon Pro" w:hAnsi="Adobe Caslon Pro"/>
      <w:color w:val="000000"/>
      <w:sz w:val="14"/>
    </w:rPr>
  </w:style>
  <w:style w:type="paragraph" w:customStyle="1" w:styleId="PO">
    <w:name w:val="PO"/>
    <w:rsid w:val="00DA4C3F"/>
    <w:pPr>
      <w:spacing w:after="240"/>
      <w:jc w:val="both"/>
    </w:pPr>
    <w:rPr>
      <w:rFonts w:ascii="Perpetua Std" w:hAnsi="Perpetua Std"/>
      <w:color w:val="000000"/>
      <w:w w:val="95"/>
      <w:szCs w:val="16"/>
    </w:rPr>
  </w:style>
  <w:style w:type="paragraph" w:customStyle="1" w:styleId="GUIDEX">
    <w:name w:val="GUIDEX"/>
    <w:rsid w:val="00DA4C3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A4C3F"/>
    <w:pPr>
      <w:tabs>
        <w:tab w:val="clear" w:pos="240"/>
        <w:tab w:val="clear" w:pos="480"/>
        <w:tab w:val="clear" w:pos="720"/>
        <w:tab w:val="right" w:pos="4680"/>
      </w:tabs>
    </w:pPr>
  </w:style>
  <w:style w:type="paragraph" w:customStyle="1" w:styleId="PCB">
    <w:name w:val="PCB"/>
    <w:autoRedefine/>
    <w:rsid w:val="00DA4C3F"/>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DA4C3F"/>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A4C3F"/>
    <w:rPr>
      <w:rFonts w:ascii="Perpetua Std" w:hAnsi="Perpetua Std"/>
    </w:rPr>
  </w:style>
  <w:style w:type="paragraph" w:styleId="NoSpacing">
    <w:name w:val="No Spacing"/>
    <w:qFormat/>
    <w:rsid w:val="00DA4C3F"/>
    <w:rPr>
      <w:rFonts w:ascii="Perpetua" w:hAnsi="Perpetua"/>
    </w:rPr>
  </w:style>
  <w:style w:type="paragraph" w:customStyle="1" w:styleId="PCA">
    <w:name w:val="PCA"/>
    <w:rsid w:val="00DA4C3F"/>
    <w:pPr>
      <w:numPr>
        <w:numId w:val="22"/>
      </w:numPr>
      <w:tabs>
        <w:tab w:val="left" w:pos="720"/>
      </w:tabs>
      <w:spacing w:after="240"/>
      <w:jc w:val="both"/>
    </w:pPr>
    <w:rPr>
      <w:rFonts w:ascii="Perpetua Std" w:hAnsi="Perpetua Std"/>
      <w:sz w:val="24"/>
    </w:rPr>
  </w:style>
  <w:style w:type="paragraph" w:customStyle="1" w:styleId="PHB">
    <w:name w:val="PHB"/>
    <w:rsid w:val="00DA4C3F"/>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DA4C3F"/>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8587. Is a taxpayer permitted to exclude gain on the sale of a principal residence that is used partially for business purposes?</vt:lpstr>
    </vt:vector>
  </TitlesOfParts>
  <Company>National Underwriter</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8587. Is a taxpayer permitted to exclude gain on the sale of a principal residence that is used partially for business purposes?</dc:title>
  <dc:creator>cjump</dc:creator>
  <cp:lastModifiedBy>rcline</cp:lastModifiedBy>
  <cp:revision>2</cp:revision>
  <dcterms:created xsi:type="dcterms:W3CDTF">2014-08-21T16:00:00Z</dcterms:created>
  <dcterms:modified xsi:type="dcterms:W3CDTF">2014-08-21T16:00:00Z</dcterms:modified>
</cp:coreProperties>
</file>