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1C" w:rsidRDefault="00B86E1C" w:rsidP="00351992">
      <w:pPr>
        <w:pStyle w:val="PA"/>
      </w:pPr>
    </w:p>
    <w:p w:rsidR="00B86E1C" w:rsidRPr="00B86E1C" w:rsidRDefault="00B86E1C" w:rsidP="00351992">
      <w:pPr>
        <w:pStyle w:val="PA"/>
        <w:rPr>
          <w:b/>
          <w:color w:val="auto"/>
        </w:rPr>
      </w:pPr>
      <w:r w:rsidRPr="00B86E1C">
        <w:rPr>
          <w:b/>
          <w:color w:val="auto"/>
        </w:rPr>
        <w:t>8586.  If a taxpayer has multiple residences, which residence qualifies as the principal residence in determining whether exclusion of gain upon sale is permissible?</w:t>
      </w:r>
    </w:p>
    <w:p w:rsidR="00351992" w:rsidRDefault="00351992" w:rsidP="00351992">
      <w:pPr>
        <w:pStyle w:val="PA"/>
        <w:rPr>
          <w:b/>
        </w:rPr>
      </w:pPr>
      <w:r>
        <w:t xml:space="preserve">Under IRC Section 121, an individual may elect to exclude up to $250,000 ($500,000 for married couples) on the sale of a principal residence (see </w:t>
      </w:r>
      <w:r w:rsidR="00A225BE">
        <w:t>Q</w:t>
      </w:r>
      <w:r w:rsidR="00252AFE">
        <w:t xml:space="preserve"> </w:t>
      </w:r>
      <w:r w:rsidR="00A225BE">
        <w:t>8583</w:t>
      </w:r>
      <w:r>
        <w:t xml:space="preserve"> and Q </w:t>
      </w:r>
      <w:r w:rsidR="00252AFE">
        <w:t>85</w:t>
      </w:r>
      <w:r>
        <w:t>85).</w:t>
      </w:r>
      <w:r w:rsidR="00B4630A">
        <w:t xml:space="preserve"> </w:t>
      </w:r>
      <w:r>
        <w:t>This exclusion is only available with respect to the taxpayer’s principal residence.</w:t>
      </w:r>
      <w:r w:rsidR="00B4630A">
        <w:t xml:space="preserve"> </w:t>
      </w:r>
      <w:r>
        <w:t>If a taxpayer has multiple residences, the taxpayer may still only exclude gain from the sale of the residence that is considered to be the principal residence.</w:t>
      </w:r>
      <w:r w:rsidR="00B4630A">
        <w:t xml:space="preserve"> </w:t>
      </w:r>
    </w:p>
    <w:p w:rsidR="00351992" w:rsidRDefault="00351992" w:rsidP="00351992">
      <w:pPr>
        <w:pStyle w:val="PA"/>
        <w:rPr>
          <w:b/>
        </w:rPr>
      </w:pPr>
      <w:r>
        <w:t>Whether or not a residence is considered the taxpayer’s principal residence for purposes of the Section 121 exclusion requires a traditional facts and circumstances analysis</w:t>
      </w:r>
      <w:r w:rsidR="00B00F9E">
        <w:t>.</w:t>
      </w:r>
      <w:r>
        <w:rPr>
          <w:rStyle w:val="FootnoteReference"/>
          <w:color w:val="auto"/>
        </w:rPr>
        <w:footnoteReference w:id="1"/>
      </w:r>
      <w:r w:rsidR="00B4630A">
        <w:t xml:space="preserve"> </w:t>
      </w:r>
      <w:r>
        <w:t xml:space="preserve">Assuming that the taxpayer alternates </w:t>
      </w:r>
      <w:r w:rsidR="00E224C2">
        <w:t xml:space="preserve">between </w:t>
      </w:r>
      <w:r>
        <w:t xml:space="preserve">two or more residences, the </w:t>
      </w:r>
      <w:r w:rsidR="00C51BFF">
        <w:t xml:space="preserve">residence </w:t>
      </w:r>
      <w:r>
        <w:t xml:space="preserve">the taxpayer </w:t>
      </w:r>
      <w:r w:rsidR="00C51BFF">
        <w:t xml:space="preserve">resides at </w:t>
      </w:r>
      <w:r>
        <w:t>for the majority of the time generally will be considered the principal residence.</w:t>
      </w:r>
      <w:r w:rsidR="00B4630A">
        <w:t xml:space="preserve"> </w:t>
      </w:r>
      <w:r w:rsidR="00C51BFF">
        <w:t xml:space="preserve">Additionally, </w:t>
      </w:r>
      <w:r>
        <w:t>other factors considered in making the determination, including the following nonexhaustive list:</w:t>
      </w:r>
    </w:p>
    <w:p w:rsidR="00351992" w:rsidRPr="000E165B" w:rsidRDefault="00351992" w:rsidP="00351992">
      <w:pPr>
        <w:pStyle w:val="PC"/>
      </w:pPr>
      <w:r w:rsidRPr="000E165B">
        <w:t>(1)</w:t>
      </w:r>
      <w:r w:rsidRPr="000E165B">
        <w:tab/>
      </w:r>
      <w:proofErr w:type="gramStart"/>
      <w:r w:rsidRPr="000E165B">
        <w:t>the</w:t>
      </w:r>
      <w:proofErr w:type="gramEnd"/>
      <w:r w:rsidRPr="000E165B">
        <w:t xml:space="preserve"> taxpayer’s place of employment;</w:t>
      </w:r>
    </w:p>
    <w:p w:rsidR="00351992" w:rsidRPr="000E165B" w:rsidRDefault="00351992" w:rsidP="00351992">
      <w:pPr>
        <w:pStyle w:val="PC"/>
      </w:pPr>
      <w:bookmarkStart w:id="0" w:name="_GoBack"/>
      <w:r w:rsidRPr="000E165B">
        <w:t>(2)</w:t>
      </w:r>
      <w:r w:rsidRPr="000E165B">
        <w:tab/>
      </w:r>
      <w:proofErr w:type="gramStart"/>
      <w:r w:rsidRPr="000E165B">
        <w:t>the</w:t>
      </w:r>
      <w:proofErr w:type="gramEnd"/>
      <w:r w:rsidRPr="000E165B">
        <w:t xml:space="preserve"> principal place of residence of the taxpayer’s family members;</w:t>
      </w:r>
    </w:p>
    <w:bookmarkEnd w:id="0"/>
    <w:p w:rsidR="00351992" w:rsidRPr="000E165B" w:rsidRDefault="00351992" w:rsidP="00351992">
      <w:pPr>
        <w:pStyle w:val="PC"/>
      </w:pPr>
      <w:r w:rsidRPr="000E165B">
        <w:t>(3)</w:t>
      </w:r>
      <w:r w:rsidRPr="000E165B">
        <w:tab/>
      </w:r>
      <w:proofErr w:type="gramStart"/>
      <w:r w:rsidRPr="000E165B">
        <w:t>the</w:t>
      </w:r>
      <w:proofErr w:type="gramEnd"/>
      <w:r w:rsidRPr="000E165B">
        <w:t xml:space="preserve"> address listed by the taxpayer on his or her driver’s license, tax returns, car registration and voter registration card;</w:t>
      </w:r>
    </w:p>
    <w:p w:rsidR="00351992" w:rsidRPr="000E165B" w:rsidRDefault="00351992" w:rsidP="00351992">
      <w:pPr>
        <w:pStyle w:val="PC"/>
      </w:pPr>
      <w:r w:rsidRPr="000E165B">
        <w:t>(4)</w:t>
      </w:r>
      <w:r w:rsidRPr="000E165B">
        <w:tab/>
      </w:r>
      <w:proofErr w:type="gramStart"/>
      <w:r w:rsidRPr="000E165B">
        <w:t>the</w:t>
      </w:r>
      <w:proofErr w:type="gramEnd"/>
      <w:r w:rsidRPr="000E165B">
        <w:t xml:space="preserve"> taxpayer’s mailing address for bills and correspondence;</w:t>
      </w:r>
    </w:p>
    <w:p w:rsidR="00351992" w:rsidRPr="000E165B" w:rsidRDefault="00351992" w:rsidP="00351992">
      <w:pPr>
        <w:pStyle w:val="PC"/>
      </w:pPr>
      <w:r w:rsidRPr="000E165B">
        <w:t>(5)</w:t>
      </w:r>
      <w:r w:rsidRPr="000E165B">
        <w:tab/>
      </w:r>
      <w:proofErr w:type="gramStart"/>
      <w:r w:rsidRPr="000E165B">
        <w:t>the</w:t>
      </w:r>
      <w:proofErr w:type="gramEnd"/>
      <w:r w:rsidRPr="000E165B">
        <w:t xml:space="preserve"> location of the taxpayer’s bank; and</w:t>
      </w:r>
    </w:p>
    <w:p w:rsidR="00351992" w:rsidRPr="000E165B" w:rsidRDefault="00351992" w:rsidP="00351992">
      <w:pPr>
        <w:pStyle w:val="PC"/>
      </w:pPr>
      <w:r w:rsidRPr="000E165B">
        <w:t>(6)</w:t>
      </w:r>
      <w:r w:rsidRPr="000E165B">
        <w:tab/>
      </w:r>
      <w:proofErr w:type="gramStart"/>
      <w:r w:rsidRPr="000E165B">
        <w:t>the</w:t>
      </w:r>
      <w:proofErr w:type="gramEnd"/>
      <w:r w:rsidRPr="000E165B">
        <w:t xml:space="preserve"> location of religious organizations and recreational clubs with which the taxpayer is affiliated.</w:t>
      </w:r>
      <w:r w:rsidRPr="000E165B">
        <w:rPr>
          <w:rStyle w:val="FootnoteReference"/>
          <w:color w:val="auto"/>
        </w:rPr>
        <w:footnoteReference w:id="2"/>
      </w:r>
      <w:r w:rsidR="00B4630A">
        <w:t xml:space="preserve"> </w:t>
      </w:r>
    </w:p>
    <w:p w:rsidR="00351992" w:rsidRDefault="00C51BFF" w:rsidP="00351992">
      <w:pPr>
        <w:pStyle w:val="PA"/>
        <w:rPr>
          <w:b/>
        </w:rPr>
      </w:pPr>
      <w:r>
        <w:t xml:space="preserve">In a case involving two different residences in different states, </w:t>
      </w:r>
      <w:r w:rsidR="00351992">
        <w:t xml:space="preserve">the Tax Court </w:t>
      </w:r>
      <w:r>
        <w:t xml:space="preserve">held </w:t>
      </w:r>
      <w:r w:rsidR="00351992">
        <w:t xml:space="preserve">that </w:t>
      </w:r>
      <w:r>
        <w:t xml:space="preserve">the </w:t>
      </w:r>
      <w:r w:rsidR="00351992">
        <w:t xml:space="preserve">taxpayer’s principal residence was </w:t>
      </w:r>
      <w:r>
        <w:t>the one in which t</w:t>
      </w:r>
      <w:r w:rsidR="00E224C2">
        <w:t xml:space="preserve">he taxpayer spent a substantial amount of time, i.e., threw </w:t>
      </w:r>
      <w:r w:rsidR="00351992">
        <w:t xml:space="preserve">family parties and celebrated holidays, even though </w:t>
      </w:r>
      <w:r>
        <w:t xml:space="preserve">the </w:t>
      </w:r>
      <w:r w:rsidR="00351992">
        <w:t xml:space="preserve">second residence </w:t>
      </w:r>
      <w:r w:rsidR="00376DFE">
        <w:t xml:space="preserve">address </w:t>
      </w:r>
      <w:r>
        <w:t xml:space="preserve">appeared </w:t>
      </w:r>
      <w:r w:rsidR="00351992">
        <w:t>on the taxpayer’s tax returns over the years.</w:t>
      </w:r>
      <w:r w:rsidR="00B4630A">
        <w:t xml:space="preserve"> </w:t>
      </w:r>
      <w:r w:rsidR="00351992">
        <w:t xml:space="preserve">In </w:t>
      </w:r>
      <w:r w:rsidR="00376DFE">
        <w:t xml:space="preserve">addition, </w:t>
      </w:r>
      <w:r w:rsidR="00351992">
        <w:t xml:space="preserve">the Tax Court rejected the IRS’ </w:t>
      </w:r>
      <w:r w:rsidR="00376DFE">
        <w:t xml:space="preserve">contention that </w:t>
      </w:r>
      <w:r w:rsidR="00351992">
        <w:t xml:space="preserve">the second residence </w:t>
      </w:r>
      <w:r w:rsidR="00376DFE">
        <w:t xml:space="preserve">in the other state </w:t>
      </w:r>
      <w:r w:rsidR="00E224C2">
        <w:t>was th</w:t>
      </w:r>
      <w:r w:rsidR="00351992">
        <w:t xml:space="preserve">e taxpayer’s principal residence because </w:t>
      </w:r>
      <w:r w:rsidR="00376DFE">
        <w:t>the taxpayer</w:t>
      </w:r>
      <w:r w:rsidR="00351992">
        <w:t xml:space="preserve"> (1) owned a business in t</w:t>
      </w:r>
      <w:r w:rsidR="00376DFE">
        <w:t xml:space="preserve">hat </w:t>
      </w:r>
      <w:r w:rsidR="00351992">
        <w:t xml:space="preserve">state and (2) held a liquor license </w:t>
      </w:r>
      <w:r w:rsidR="00376DFE">
        <w:t xml:space="preserve">that required </w:t>
      </w:r>
      <w:r w:rsidR="00351992">
        <w:t>state residency</w:t>
      </w:r>
      <w:r w:rsidR="00376DFE">
        <w:t>.</w:t>
      </w:r>
      <w:r w:rsidR="00351992">
        <w:rPr>
          <w:rStyle w:val="FootnoteReference"/>
          <w:color w:val="auto"/>
        </w:rPr>
        <w:footnoteReference w:id="3"/>
      </w:r>
      <w:r w:rsidR="00351992">
        <w:t xml:space="preserve"> </w:t>
      </w:r>
    </w:p>
    <w:p w:rsidR="00351992" w:rsidRDefault="00376DFE" w:rsidP="00351992">
      <w:pPr>
        <w:pStyle w:val="PA"/>
        <w:rPr>
          <w:b/>
        </w:rPr>
      </w:pPr>
      <w:r>
        <w:t xml:space="preserve">With respect to multiple residences, it is possible that over a five year period, a taxpayer may not spend the majority of days in any one residence for the two required years.  Thus, </w:t>
      </w:r>
      <w:r w:rsidR="00E224C2">
        <w:lastRenderedPageBreak/>
        <w:t xml:space="preserve">he or she </w:t>
      </w:r>
      <w:r>
        <w:t xml:space="preserve">would not be able to take advantage of the exclusion due to the failure to meet </w:t>
      </w:r>
      <w:r w:rsidR="00351992">
        <w:t xml:space="preserve">the two-year use requirement (see Q </w:t>
      </w:r>
      <w:r w:rsidR="00252AFE">
        <w:t>85</w:t>
      </w:r>
      <w:r w:rsidR="00351992">
        <w:t>83).</w:t>
      </w:r>
      <w:r w:rsidR="00B4630A">
        <w:t xml:space="preserve"> </w:t>
      </w:r>
    </w:p>
    <w:p w:rsidR="00351992" w:rsidRPr="006F731E" w:rsidRDefault="00351992" w:rsidP="006F731E">
      <w:pPr>
        <w:pStyle w:val="PN"/>
        <w:ind w:left="0"/>
        <w:rPr>
          <w:b/>
          <w:sz w:val="24"/>
          <w:szCs w:val="24"/>
        </w:rPr>
      </w:pPr>
      <w:r w:rsidRPr="006F731E">
        <w:rPr>
          <w:i/>
          <w:sz w:val="24"/>
          <w:szCs w:val="24"/>
        </w:rPr>
        <w:t xml:space="preserve">Example: </w:t>
      </w:r>
      <w:r w:rsidRPr="006F731E">
        <w:rPr>
          <w:sz w:val="24"/>
          <w:szCs w:val="24"/>
        </w:rPr>
        <w:t>In the past five years, Jim and Nancy alternated between homes in Michigan, Florida and New York.</w:t>
      </w:r>
      <w:r w:rsidR="00B4630A" w:rsidRPr="006F731E">
        <w:rPr>
          <w:sz w:val="24"/>
          <w:szCs w:val="24"/>
        </w:rPr>
        <w:t xml:space="preserve"> </w:t>
      </w:r>
      <w:r w:rsidRPr="006F731E">
        <w:rPr>
          <w:sz w:val="24"/>
          <w:szCs w:val="24"/>
        </w:rPr>
        <w:t>During that five-year period</w:t>
      </w:r>
      <w:r w:rsidR="00E224C2">
        <w:rPr>
          <w:sz w:val="24"/>
          <w:szCs w:val="24"/>
        </w:rPr>
        <w:t>,</w:t>
      </w:r>
      <w:r w:rsidRPr="006F731E">
        <w:rPr>
          <w:sz w:val="24"/>
          <w:szCs w:val="24"/>
        </w:rPr>
        <w:t xml:space="preserve"> they spent more time in </w:t>
      </w:r>
      <w:r w:rsidR="00E224C2">
        <w:rPr>
          <w:sz w:val="24"/>
          <w:szCs w:val="24"/>
        </w:rPr>
        <w:t xml:space="preserve">the </w:t>
      </w:r>
      <w:r w:rsidRPr="006F731E">
        <w:rPr>
          <w:sz w:val="24"/>
          <w:szCs w:val="24"/>
        </w:rPr>
        <w:t>Florida</w:t>
      </w:r>
      <w:r w:rsidR="00E224C2">
        <w:rPr>
          <w:sz w:val="24"/>
          <w:szCs w:val="24"/>
        </w:rPr>
        <w:t xml:space="preserve"> residence than in any other home</w:t>
      </w:r>
      <w:r w:rsidRPr="006F731E">
        <w:rPr>
          <w:sz w:val="24"/>
          <w:szCs w:val="24"/>
        </w:rPr>
        <w:t>.</w:t>
      </w:r>
      <w:r w:rsidR="00B4630A" w:rsidRPr="006F731E">
        <w:rPr>
          <w:sz w:val="24"/>
          <w:szCs w:val="24"/>
        </w:rPr>
        <w:t xml:space="preserve"> </w:t>
      </w:r>
      <w:r w:rsidR="00E224C2">
        <w:rPr>
          <w:sz w:val="24"/>
          <w:szCs w:val="24"/>
        </w:rPr>
        <w:t xml:space="preserve"> </w:t>
      </w:r>
      <w:r w:rsidRPr="006F731E">
        <w:rPr>
          <w:i/>
          <w:sz w:val="24"/>
          <w:szCs w:val="24"/>
        </w:rPr>
        <w:t>However</w:t>
      </w:r>
      <w:r w:rsidRPr="006F731E">
        <w:rPr>
          <w:sz w:val="24"/>
          <w:szCs w:val="24"/>
        </w:rPr>
        <w:t xml:space="preserve">, </w:t>
      </w:r>
      <w:r w:rsidR="00E224C2">
        <w:rPr>
          <w:sz w:val="24"/>
          <w:szCs w:val="24"/>
        </w:rPr>
        <w:t>within that period</w:t>
      </w:r>
      <w:r w:rsidRPr="006F731E">
        <w:rPr>
          <w:sz w:val="24"/>
          <w:szCs w:val="24"/>
        </w:rPr>
        <w:t>, there was only one year in which they spent the majority of days in Florida.</w:t>
      </w:r>
      <w:r w:rsidR="00B4630A" w:rsidRPr="006F731E">
        <w:rPr>
          <w:sz w:val="24"/>
          <w:szCs w:val="24"/>
        </w:rPr>
        <w:t xml:space="preserve"> </w:t>
      </w:r>
      <w:r w:rsidRPr="006F731E">
        <w:rPr>
          <w:sz w:val="24"/>
          <w:szCs w:val="24"/>
        </w:rPr>
        <w:t xml:space="preserve">Therefore, </w:t>
      </w:r>
      <w:r w:rsidR="00E224C2">
        <w:rPr>
          <w:sz w:val="24"/>
          <w:szCs w:val="24"/>
        </w:rPr>
        <w:t xml:space="preserve">even though </w:t>
      </w:r>
      <w:r w:rsidRPr="006F731E">
        <w:rPr>
          <w:sz w:val="24"/>
          <w:szCs w:val="24"/>
        </w:rPr>
        <w:t>their pri</w:t>
      </w:r>
      <w:r w:rsidR="00E224C2">
        <w:rPr>
          <w:sz w:val="24"/>
          <w:szCs w:val="24"/>
        </w:rPr>
        <w:t xml:space="preserve">mary </w:t>
      </w:r>
      <w:r w:rsidRPr="006F731E">
        <w:rPr>
          <w:sz w:val="24"/>
          <w:szCs w:val="24"/>
        </w:rPr>
        <w:t xml:space="preserve">residence </w:t>
      </w:r>
      <w:r w:rsidR="00E224C2">
        <w:rPr>
          <w:sz w:val="24"/>
          <w:szCs w:val="24"/>
        </w:rPr>
        <w:t xml:space="preserve">is in Florida, </w:t>
      </w:r>
      <w:r w:rsidRPr="006F731E">
        <w:rPr>
          <w:sz w:val="24"/>
          <w:szCs w:val="24"/>
        </w:rPr>
        <w:t>they will be unable to exclude gain on its sale under Section 121 because they will be unable to satisfy the two-year use requirement.</w:t>
      </w:r>
      <w:r w:rsidRPr="006F731E">
        <w:rPr>
          <w:rStyle w:val="FootnoteReference"/>
          <w:color w:val="auto"/>
          <w:sz w:val="24"/>
          <w:szCs w:val="24"/>
        </w:rPr>
        <w:footnoteReference w:id="4"/>
      </w:r>
    </w:p>
    <w:p w:rsidR="00351992" w:rsidRDefault="00E224C2" w:rsidP="00351992">
      <w:pPr>
        <w:pStyle w:val="PA"/>
        <w:rPr>
          <w:b/>
        </w:rPr>
      </w:pPr>
      <w:r>
        <w:t>Although</w:t>
      </w:r>
      <w:r w:rsidR="00351992">
        <w:t xml:space="preserve"> </w:t>
      </w:r>
      <w:r>
        <w:t xml:space="preserve">not expressly addressed in the regulations, </w:t>
      </w:r>
      <w:r w:rsidR="00351992">
        <w:t xml:space="preserve">if the taxpayers were able to satisfy the two-year use requirement for more than one residence during the relevant five year period, they should be able to exclude gain from the sale of </w:t>
      </w:r>
      <w:r w:rsidR="00351992" w:rsidRPr="008202C3">
        <w:rPr>
          <w:i/>
        </w:rPr>
        <w:t>either</w:t>
      </w:r>
      <w:r w:rsidR="00351992">
        <w:t xml:space="preserve"> residence.</w:t>
      </w:r>
    </w:p>
    <w:p w:rsidR="00346DC7" w:rsidRPr="00351992" w:rsidRDefault="00351992" w:rsidP="006F731E">
      <w:pPr>
        <w:pStyle w:val="PN"/>
        <w:ind w:left="0" w:firstLine="360"/>
      </w:pPr>
      <w:r w:rsidRPr="006F731E">
        <w:rPr>
          <w:i/>
          <w:sz w:val="24"/>
          <w:szCs w:val="24"/>
        </w:rPr>
        <w:t xml:space="preserve">Example: </w:t>
      </w:r>
      <w:r w:rsidRPr="006F731E">
        <w:rPr>
          <w:sz w:val="24"/>
          <w:szCs w:val="24"/>
        </w:rPr>
        <w:t>During the previous five year period, Jim and Nancy spend the majority of their days in Florida during years one and two.</w:t>
      </w:r>
      <w:r w:rsidR="00B4630A" w:rsidRPr="006F731E">
        <w:rPr>
          <w:sz w:val="24"/>
          <w:szCs w:val="24"/>
        </w:rPr>
        <w:t xml:space="preserve"> </w:t>
      </w:r>
      <w:r w:rsidRPr="006F731E">
        <w:rPr>
          <w:sz w:val="24"/>
          <w:szCs w:val="24"/>
        </w:rPr>
        <w:t>In years three and five, they spend the majority of their days in Michigan.</w:t>
      </w:r>
      <w:r w:rsidR="00B4630A" w:rsidRPr="006F731E">
        <w:rPr>
          <w:sz w:val="24"/>
          <w:szCs w:val="24"/>
        </w:rPr>
        <w:t xml:space="preserve"> </w:t>
      </w:r>
      <w:r w:rsidRPr="006F731E">
        <w:rPr>
          <w:sz w:val="24"/>
          <w:szCs w:val="24"/>
        </w:rPr>
        <w:t>If they choose to sell the Florida or Michigan residence, they will have satisfied the two-year use requirement for both residence</w:t>
      </w:r>
      <w:r w:rsidR="00B00F9E" w:rsidRPr="006F731E">
        <w:rPr>
          <w:sz w:val="24"/>
          <w:szCs w:val="24"/>
        </w:rPr>
        <w:t>s</w:t>
      </w:r>
      <w:r w:rsidRPr="006F731E">
        <w:rPr>
          <w:sz w:val="24"/>
          <w:szCs w:val="24"/>
        </w:rPr>
        <w:t xml:space="preserve"> and, assuming the other requirements are met, they should be able to exclude the gain on the sale of </w:t>
      </w:r>
      <w:r w:rsidRPr="006F731E">
        <w:rPr>
          <w:i/>
          <w:sz w:val="24"/>
          <w:szCs w:val="24"/>
        </w:rPr>
        <w:t>either</w:t>
      </w:r>
      <w:r w:rsidRPr="006F731E">
        <w:rPr>
          <w:sz w:val="24"/>
          <w:szCs w:val="24"/>
        </w:rPr>
        <w:t xml:space="preserve"> residence as their principal residence.</w:t>
      </w:r>
    </w:p>
    <w:sectPr w:rsidR="00346DC7" w:rsidRPr="00351992" w:rsidSect="006D3595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A3" w:rsidRDefault="008371A3">
      <w:r>
        <w:separator/>
      </w:r>
    </w:p>
  </w:endnote>
  <w:endnote w:type="continuationSeparator" w:id="0">
    <w:p w:rsidR="008371A3" w:rsidRDefault="008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A3" w:rsidRDefault="008371A3">
      <w:r>
        <w:separator/>
      </w:r>
    </w:p>
  </w:footnote>
  <w:footnote w:type="continuationSeparator" w:id="0">
    <w:p w:rsidR="008371A3" w:rsidRDefault="008371A3">
      <w:r>
        <w:continuationSeparator/>
      </w:r>
    </w:p>
  </w:footnote>
  <w:footnote w:id="1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Treas. Reg. </w:t>
      </w:r>
      <w:r w:rsidRPr="00B4630A">
        <w:rPr>
          <w:rFonts w:cs="Calibri"/>
        </w:rPr>
        <w:t>§</w:t>
      </w:r>
      <w:r w:rsidRPr="00B4630A">
        <w:t>1.121-1(b</w:t>
      </w:r>
      <w:proofErr w:type="gramStart"/>
      <w:r w:rsidRPr="00B4630A">
        <w:t>)(</w:t>
      </w:r>
      <w:proofErr w:type="gramEnd"/>
      <w:r w:rsidRPr="00B4630A">
        <w:t>1).</w:t>
      </w:r>
    </w:p>
  </w:footnote>
  <w:footnote w:id="2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Treas. Reg. </w:t>
      </w:r>
      <w:r w:rsidRPr="00B4630A">
        <w:rPr>
          <w:rFonts w:cs="Calibri"/>
        </w:rPr>
        <w:t>§</w:t>
      </w:r>
      <w:r w:rsidRPr="00B4630A">
        <w:t>1.121-1(b</w:t>
      </w:r>
      <w:proofErr w:type="gramStart"/>
      <w:r w:rsidRPr="00B4630A">
        <w:t>)(</w:t>
      </w:r>
      <w:proofErr w:type="gramEnd"/>
      <w:r w:rsidRPr="00B4630A">
        <w:t>2).</w:t>
      </w:r>
    </w:p>
  </w:footnote>
  <w:footnote w:id="3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</w:r>
      <w:r w:rsidRPr="00B4630A">
        <w:rPr>
          <w:i/>
        </w:rPr>
        <w:t>Wickersham v. Commissioner</w:t>
      </w:r>
      <w:r w:rsidRPr="00B4630A">
        <w:t>, TC Memo 2011-178.</w:t>
      </w:r>
    </w:p>
  </w:footnote>
  <w:footnote w:id="4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See </w:t>
      </w:r>
      <w:r w:rsidRPr="00B4630A">
        <w:rPr>
          <w:i/>
        </w:rPr>
        <w:t>Guinan v. U.S.</w:t>
      </w:r>
      <w:r w:rsidRPr="00B4630A">
        <w:t>, 2003-1 USTC 50,475 (2003).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15C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3E89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4ED8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2AFE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8CA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6DC7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6DFE"/>
    <w:rsid w:val="00377540"/>
    <w:rsid w:val="0037768E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5F2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9E8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A88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36A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6E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595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31E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18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0E28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1A3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57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5BE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0F9E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E1C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3E17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77E"/>
    <w:rsid w:val="00BA5F9A"/>
    <w:rsid w:val="00BA6556"/>
    <w:rsid w:val="00BA67D5"/>
    <w:rsid w:val="00BA6815"/>
    <w:rsid w:val="00BA6D8D"/>
    <w:rsid w:val="00BA70B7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07C8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BFF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0E7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5BBD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B9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A8D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AB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7EC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841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24C2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CF7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0DD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252AF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252AF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52AF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252AF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A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52AFE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252AFE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252AF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252AFE"/>
    <w:rPr>
      <w:rFonts w:ascii="Perpetua Std" w:hAnsi="Perpetua Std"/>
      <w:color w:val="000000"/>
      <w:sz w:val="24"/>
    </w:rPr>
  </w:style>
  <w:style w:type="paragraph" w:customStyle="1" w:styleId="PB">
    <w:name w:val="PB"/>
    <w:rsid w:val="00252AF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252AF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252AF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252AF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252AF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252AF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252AF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252AF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252AF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252AF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252AF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252AF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252AF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252AF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252AF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252AFE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252AF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252AF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252AFE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252AF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25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52AFE"/>
    <w:rPr>
      <w:vertAlign w:val="superscript"/>
    </w:rPr>
  </w:style>
  <w:style w:type="paragraph" w:customStyle="1" w:styleId="HA">
    <w:name w:val="HA"/>
    <w:autoRedefine/>
    <w:rsid w:val="00252AF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252AFE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252AF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252AF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252AF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252AF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252AF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252AFE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252AFE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252AFE"/>
    <w:rPr>
      <w:rFonts w:ascii="Perpetua Std" w:hAnsi="Perpetua Std"/>
    </w:rPr>
  </w:style>
  <w:style w:type="paragraph" w:styleId="NoSpacing">
    <w:name w:val="No Spacing"/>
    <w:qFormat/>
    <w:rsid w:val="00252AFE"/>
    <w:rPr>
      <w:rFonts w:ascii="Perpetua" w:hAnsi="Perpetua"/>
    </w:rPr>
  </w:style>
  <w:style w:type="paragraph" w:customStyle="1" w:styleId="PCA">
    <w:name w:val="PCA"/>
    <w:rsid w:val="00252AFE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252AFE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252AFE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252AF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252AF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52AF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252AF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A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52AFE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252AFE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252AF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252AFE"/>
    <w:rPr>
      <w:rFonts w:ascii="Perpetua Std" w:hAnsi="Perpetua Std"/>
      <w:color w:val="000000"/>
      <w:sz w:val="24"/>
    </w:rPr>
  </w:style>
  <w:style w:type="paragraph" w:customStyle="1" w:styleId="PB">
    <w:name w:val="PB"/>
    <w:rsid w:val="00252AF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252AF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252AF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252AF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252AF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252AF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252AF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252AF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252AF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252AF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252AF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252AF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252AF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252AF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252AF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252AFE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252AF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252AF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252AFE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252AF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25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52AFE"/>
    <w:rPr>
      <w:vertAlign w:val="superscript"/>
    </w:rPr>
  </w:style>
  <w:style w:type="paragraph" w:customStyle="1" w:styleId="HA">
    <w:name w:val="HA"/>
    <w:autoRedefine/>
    <w:rsid w:val="00252AF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252AFE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252AF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252AF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252AF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252AF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252AF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252AFE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252AFE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252AFE"/>
    <w:rPr>
      <w:rFonts w:ascii="Perpetua Std" w:hAnsi="Perpetua Std"/>
    </w:rPr>
  </w:style>
  <w:style w:type="paragraph" w:styleId="NoSpacing">
    <w:name w:val="No Spacing"/>
    <w:qFormat/>
    <w:rsid w:val="00252AFE"/>
    <w:rPr>
      <w:rFonts w:ascii="Perpetua" w:hAnsi="Perpetua"/>
    </w:rPr>
  </w:style>
  <w:style w:type="paragraph" w:customStyle="1" w:styleId="PCA">
    <w:name w:val="PCA"/>
    <w:rsid w:val="00252AFE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252AFE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252AFE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8586. If a taxpayer has multiple residences, how is it determined which residence qualifies as the principal residence for purposes of determining whether exclusion of gain upon sale is permissible?</vt:lpstr>
    </vt:vector>
  </TitlesOfParts>
  <Company>National Underwriter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8586. If a taxpayer has multiple residences, how is it determined which residence qualifies as the principal residence for purposes of determining whether exclusion of gain upon sale is permissible?</dc:title>
  <dc:creator>cjump</dc:creator>
  <cp:lastModifiedBy>rcline</cp:lastModifiedBy>
  <cp:revision>2</cp:revision>
  <dcterms:created xsi:type="dcterms:W3CDTF">2014-08-21T15:52:00Z</dcterms:created>
  <dcterms:modified xsi:type="dcterms:W3CDTF">2014-08-21T15:52:00Z</dcterms:modified>
</cp:coreProperties>
</file>