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9B" w:rsidRPr="007C5B9B" w:rsidRDefault="007C5B9B" w:rsidP="00351992">
      <w:pPr>
        <w:pStyle w:val="PA"/>
        <w:rPr>
          <w:b/>
          <w:sz w:val="28"/>
          <w:szCs w:val="28"/>
        </w:rPr>
      </w:pPr>
      <w:r w:rsidRPr="007C5B9B">
        <w:rPr>
          <w:b/>
          <w:sz w:val="28"/>
          <w:szCs w:val="28"/>
        </w:rPr>
        <w:t xml:space="preserve">8584.  </w:t>
      </w:r>
      <w:r w:rsidR="00C27AC2">
        <w:rPr>
          <w:b/>
          <w:sz w:val="28"/>
          <w:szCs w:val="28"/>
        </w:rPr>
        <w:t xml:space="preserve">Are there circumstances in which </w:t>
      </w:r>
      <w:r w:rsidRPr="007C5B9B">
        <w:rPr>
          <w:b/>
          <w:sz w:val="28"/>
          <w:szCs w:val="28"/>
        </w:rPr>
        <w:t xml:space="preserve">a taxpayer </w:t>
      </w:r>
      <w:r w:rsidR="00C27AC2">
        <w:rPr>
          <w:b/>
          <w:sz w:val="28"/>
          <w:szCs w:val="28"/>
        </w:rPr>
        <w:t xml:space="preserve">can </w:t>
      </w:r>
      <w:r w:rsidRPr="007C5B9B">
        <w:rPr>
          <w:b/>
          <w:sz w:val="28"/>
          <w:szCs w:val="28"/>
        </w:rPr>
        <w:t xml:space="preserve">exclude </w:t>
      </w:r>
      <w:r w:rsidR="00394C6A">
        <w:rPr>
          <w:b/>
          <w:sz w:val="28"/>
          <w:szCs w:val="28"/>
        </w:rPr>
        <w:t xml:space="preserve">the </w:t>
      </w:r>
      <w:r w:rsidRPr="007C5B9B">
        <w:rPr>
          <w:b/>
          <w:sz w:val="28"/>
          <w:szCs w:val="28"/>
        </w:rPr>
        <w:t xml:space="preserve">gain on the sale of a personal residence </w:t>
      </w:r>
      <w:r w:rsidR="00394C6A">
        <w:rPr>
          <w:b/>
          <w:sz w:val="28"/>
          <w:szCs w:val="28"/>
        </w:rPr>
        <w:t>even though t</w:t>
      </w:r>
      <w:r w:rsidRPr="007C5B9B">
        <w:rPr>
          <w:b/>
          <w:sz w:val="28"/>
          <w:szCs w:val="28"/>
        </w:rPr>
        <w:t>he taxpayer fails to meet the requirements otherwise required for exclusion treatment?</w:t>
      </w:r>
    </w:p>
    <w:p w:rsidR="00351992" w:rsidRDefault="00351992" w:rsidP="00351992">
      <w:pPr>
        <w:pStyle w:val="PA"/>
        <w:rPr>
          <w:b/>
        </w:rPr>
      </w:pPr>
      <w:r w:rsidRPr="0090338F">
        <w:t xml:space="preserve">If a taxpayer fails to meet the ownership and </w:t>
      </w:r>
      <w:r>
        <w:t>use requirements, or sells multiple primary residences within the two</w:t>
      </w:r>
      <w:r w:rsidRPr="0090338F">
        <w:t xml:space="preserve">-year </w:t>
      </w:r>
      <w:r>
        <w:t>period</w:t>
      </w:r>
      <w:r w:rsidRPr="0090338F">
        <w:t xml:space="preserve">, a portion of the exclusion </w:t>
      </w:r>
      <w:r w:rsidR="00394C6A">
        <w:t xml:space="preserve">(as discussed below) </w:t>
      </w:r>
      <w:r w:rsidRPr="0090338F">
        <w:t xml:space="preserve">may still be available if </w:t>
      </w:r>
      <w:r>
        <w:t>the</w:t>
      </w:r>
      <w:r w:rsidR="00B4630A">
        <w:t xml:space="preserve"> </w:t>
      </w:r>
      <w:r>
        <w:t xml:space="preserve">primary residence is sold for reasons that were </w:t>
      </w:r>
      <w:r>
        <w:rPr>
          <w:i/>
        </w:rPr>
        <w:t>primarily</w:t>
      </w:r>
      <w:r>
        <w:t xml:space="preserve"> caused by </w:t>
      </w:r>
      <w:r w:rsidRPr="0090338F">
        <w:t>a change in the taxpayer’s place of employment, health, or, to the extent provided in regulations, unforeseen circumstances.</w:t>
      </w:r>
      <w:r>
        <w:rPr>
          <w:rStyle w:val="FootnoteReference"/>
          <w:color w:val="auto"/>
        </w:rPr>
        <w:footnoteReference w:id="1"/>
      </w:r>
      <w:r w:rsidR="00B4630A">
        <w:t xml:space="preserve"> </w:t>
      </w:r>
      <w:r>
        <w:t>In determining a taxpayer’s primary reason for selling a primary residence, the following factors are considered:</w:t>
      </w:r>
    </w:p>
    <w:p w:rsidR="00351992" w:rsidRPr="00842E39" w:rsidRDefault="00351992" w:rsidP="00351992">
      <w:pPr>
        <w:pStyle w:val="PC"/>
      </w:pPr>
      <w:r w:rsidRPr="00842E39">
        <w:t>(1)</w:t>
      </w:r>
      <w:r w:rsidRPr="00842E39">
        <w:tab/>
        <w:t>Whether the sale and the circumstances giving rise to the sale are proximate in time;</w:t>
      </w:r>
    </w:p>
    <w:p w:rsidR="00351992" w:rsidRPr="00842E39" w:rsidRDefault="00351992" w:rsidP="00351992">
      <w:pPr>
        <w:pStyle w:val="PC"/>
      </w:pPr>
      <w:r w:rsidRPr="00842E39">
        <w:t>(2)</w:t>
      </w:r>
      <w:r w:rsidRPr="00842E39">
        <w:tab/>
        <w:t>Material changes in the suitability of the property as the taxpayer’s primary residence;</w:t>
      </w:r>
    </w:p>
    <w:p w:rsidR="00351992" w:rsidRPr="00842E39" w:rsidRDefault="00351992" w:rsidP="00351992">
      <w:pPr>
        <w:pStyle w:val="PC"/>
      </w:pPr>
      <w:r w:rsidRPr="00842E39">
        <w:t>(3)</w:t>
      </w:r>
      <w:r w:rsidRPr="00842E39">
        <w:tab/>
        <w:t>Impairments to the taxpayer’s financial ability to maintain the property;</w:t>
      </w:r>
    </w:p>
    <w:p w:rsidR="00351992" w:rsidRPr="00842E39" w:rsidRDefault="00351992" w:rsidP="00351992">
      <w:pPr>
        <w:pStyle w:val="PC"/>
      </w:pPr>
      <w:r w:rsidRPr="00842E39">
        <w:t>(4)</w:t>
      </w:r>
      <w:r w:rsidRPr="00842E39">
        <w:tab/>
        <w:t>Whether the taxpayer has used the property as his residence during the period of ownership;</w:t>
      </w:r>
    </w:p>
    <w:p w:rsidR="00351992" w:rsidRPr="00842E39" w:rsidRDefault="00351992" w:rsidP="00351992">
      <w:pPr>
        <w:pStyle w:val="PC"/>
      </w:pPr>
      <w:r w:rsidRPr="00842E39">
        <w:t>(5)</w:t>
      </w:r>
      <w:r w:rsidRPr="00842E39">
        <w:tab/>
        <w:t>Whether or not the circumstances giving rise to the sale are reasonably foreseeable at the time when the taxpayer began using the property as his or her primary residence;</w:t>
      </w:r>
    </w:p>
    <w:p w:rsidR="00351992" w:rsidRDefault="00351992" w:rsidP="00351992">
      <w:pPr>
        <w:pStyle w:val="PC"/>
        <w:rPr>
          <w:b/>
        </w:rPr>
      </w:pPr>
      <w:r w:rsidRPr="00842E39">
        <w:t>(6)</w:t>
      </w:r>
      <w:r w:rsidRPr="00842E39">
        <w:tab/>
      </w:r>
      <w:r>
        <w:t>Whether or not the circumstances giving rise to the sale occur during the period of the taxpayer’s ownership and use of the property as his or her principal residence.</w:t>
      </w:r>
      <w:r>
        <w:rPr>
          <w:rStyle w:val="FootnoteReference"/>
          <w:color w:val="auto"/>
        </w:rPr>
        <w:footnoteReference w:id="2"/>
      </w:r>
    </w:p>
    <w:p w:rsidR="00351992" w:rsidRDefault="00351992" w:rsidP="00351992">
      <w:pPr>
        <w:pStyle w:val="PA"/>
        <w:rPr>
          <w:b/>
        </w:rPr>
      </w:pPr>
      <w:r>
        <w:t>For taxpayers claiming a Section 121 exclusion based on a change in place of employment, a safe harbor applies if the change in employment occurs during the period of the taxpayer’s ownership and use of the property as a principle residence and the taxpayer’s new place of employment is at least 50 miles from the residence that was sold.</w:t>
      </w:r>
      <w:r>
        <w:rPr>
          <w:rStyle w:val="FootnoteReference"/>
          <w:color w:val="auto"/>
        </w:rPr>
        <w:footnoteReference w:id="3"/>
      </w:r>
    </w:p>
    <w:p w:rsidR="00351992" w:rsidRDefault="00351992" w:rsidP="00351992">
      <w:pPr>
        <w:pStyle w:val="PA"/>
        <w:rPr>
          <w:b/>
        </w:rPr>
      </w:pPr>
      <w:r>
        <w:t>Similarly, for taxpayers claiming the exclusion based on health reasons, a safe harbor exists for taxpayers whose physician has recommended a change in residence for health reasons.</w:t>
      </w:r>
      <w:r>
        <w:rPr>
          <w:rStyle w:val="FootnoteReference"/>
          <w:color w:val="auto"/>
        </w:rPr>
        <w:footnoteReference w:id="4"/>
      </w:r>
    </w:p>
    <w:p w:rsidR="00351992" w:rsidRDefault="00351992" w:rsidP="00351992">
      <w:pPr>
        <w:pStyle w:val="PA"/>
        <w:rPr>
          <w:b/>
        </w:rPr>
      </w:pPr>
      <w:r>
        <w:t>The exception for a sale based on “unforeseen circumstances” may be met based on any of the following specific events:</w:t>
      </w:r>
    </w:p>
    <w:p w:rsidR="00351992" w:rsidRPr="00842E39" w:rsidRDefault="00351992" w:rsidP="00351992">
      <w:pPr>
        <w:pStyle w:val="PC"/>
      </w:pPr>
      <w:r w:rsidRPr="00842E39">
        <w:t>(1)</w:t>
      </w:r>
      <w:r w:rsidRPr="00842E39">
        <w:tab/>
        <w:t>An involuntary conversion of the residence;</w:t>
      </w:r>
    </w:p>
    <w:p w:rsidR="00351992" w:rsidRPr="00842E39" w:rsidRDefault="00351992" w:rsidP="00351992">
      <w:pPr>
        <w:pStyle w:val="PC"/>
      </w:pPr>
      <w:r w:rsidRPr="00842E39">
        <w:lastRenderedPageBreak/>
        <w:t>(2)</w:t>
      </w:r>
      <w:r w:rsidRPr="00842E39">
        <w:tab/>
        <w:t>Natural or man-made disasters, or acts of war or terrorism, resulting in a casualty to the residence;</w:t>
      </w:r>
    </w:p>
    <w:p w:rsidR="00351992" w:rsidRPr="00842E39" w:rsidRDefault="00351992" w:rsidP="00351992">
      <w:pPr>
        <w:pStyle w:val="PC"/>
      </w:pPr>
      <w:r w:rsidRPr="00842E39">
        <w:t>(3)</w:t>
      </w:r>
      <w:r w:rsidRPr="00842E39">
        <w:tab/>
        <w:t>The death of the taxpayer;</w:t>
      </w:r>
    </w:p>
    <w:p w:rsidR="00351992" w:rsidRPr="00842E39" w:rsidRDefault="00351992" w:rsidP="00351992">
      <w:pPr>
        <w:pStyle w:val="PC"/>
      </w:pPr>
      <w:r w:rsidRPr="00842E39">
        <w:t>(4)</w:t>
      </w:r>
      <w:r w:rsidRPr="00842E39">
        <w:tab/>
        <w:t>Loss of employment resulting in eligibility for unemployment compensation;</w:t>
      </w:r>
    </w:p>
    <w:p w:rsidR="00351992" w:rsidRPr="00842E39" w:rsidRDefault="00351992" w:rsidP="00351992">
      <w:pPr>
        <w:pStyle w:val="PC"/>
      </w:pPr>
      <w:r w:rsidRPr="00842E39">
        <w:t>(5)</w:t>
      </w:r>
      <w:r w:rsidRPr="00842E39">
        <w:tab/>
        <w:t>Change in employment that results in the taxpayer’s inability to pay housing costs and reasonable basic living expenses for the taxpayer’s household;</w:t>
      </w:r>
    </w:p>
    <w:p w:rsidR="00351992" w:rsidRPr="00842E39" w:rsidRDefault="00351992" w:rsidP="00351992">
      <w:pPr>
        <w:pStyle w:val="PC"/>
      </w:pPr>
      <w:r w:rsidRPr="00842E39">
        <w:t>(6)</w:t>
      </w:r>
      <w:r w:rsidRPr="00842E39">
        <w:tab/>
        <w:t xml:space="preserve">Divorce or legal separation; or </w:t>
      </w:r>
    </w:p>
    <w:p w:rsidR="00351992" w:rsidRDefault="00351992" w:rsidP="00351992">
      <w:pPr>
        <w:pStyle w:val="PC"/>
        <w:rPr>
          <w:b/>
        </w:rPr>
      </w:pPr>
      <w:r w:rsidRPr="00842E39">
        <w:t>(7)</w:t>
      </w:r>
      <w:r w:rsidR="00394C6A">
        <w:t xml:space="preserve"> </w:t>
      </w:r>
      <w:r>
        <w:t>Multiple births resulting from the same pregnancy.</w:t>
      </w:r>
      <w:r>
        <w:rPr>
          <w:rStyle w:val="FootnoteReference"/>
          <w:color w:val="auto"/>
        </w:rPr>
        <w:footnoteReference w:id="5"/>
      </w:r>
    </w:p>
    <w:p w:rsidR="00351992" w:rsidRDefault="00351992" w:rsidP="00351992">
      <w:pPr>
        <w:pStyle w:val="PA"/>
        <w:rPr>
          <w:b/>
        </w:rPr>
      </w:pPr>
      <w:r>
        <w:t xml:space="preserve">The taxpayer does </w:t>
      </w:r>
      <w:r>
        <w:rPr>
          <w:i/>
        </w:rPr>
        <w:t xml:space="preserve">not </w:t>
      </w:r>
      <w:r>
        <w:t xml:space="preserve">qualify for the exclusion based on unforeseen circumstances if the unforeseen circumstance is an </w:t>
      </w:r>
      <w:r w:rsidRPr="008202C3">
        <w:rPr>
          <w:i/>
        </w:rPr>
        <w:t>improvement</w:t>
      </w:r>
      <w:r>
        <w:t xml:space="preserve"> in the taxpayer’s financial condition.</w:t>
      </w:r>
      <w:r>
        <w:rPr>
          <w:rStyle w:val="FootnoteReference"/>
          <w:color w:val="auto"/>
        </w:rPr>
        <w:footnoteReference w:id="6"/>
      </w:r>
    </w:p>
    <w:p w:rsidR="00351992" w:rsidRPr="00545F53" w:rsidRDefault="00351992" w:rsidP="00545F53">
      <w:pPr>
        <w:pStyle w:val="PN"/>
        <w:ind w:left="0" w:firstLine="360"/>
        <w:rPr>
          <w:sz w:val="24"/>
          <w:szCs w:val="24"/>
        </w:rPr>
      </w:pPr>
      <w:r w:rsidRPr="00545F53">
        <w:rPr>
          <w:i/>
          <w:sz w:val="24"/>
          <w:szCs w:val="24"/>
        </w:rPr>
        <w:t>Example:</w:t>
      </w:r>
      <w:r w:rsidRPr="00545F53">
        <w:rPr>
          <w:sz w:val="24"/>
          <w:szCs w:val="24"/>
        </w:rPr>
        <w:t xml:space="preserve"> In April 20</w:t>
      </w:r>
      <w:r w:rsidR="00545F53">
        <w:rPr>
          <w:sz w:val="24"/>
          <w:szCs w:val="24"/>
        </w:rPr>
        <w:t>1</w:t>
      </w:r>
      <w:r w:rsidRPr="00545F53">
        <w:rPr>
          <w:sz w:val="24"/>
          <w:szCs w:val="24"/>
        </w:rPr>
        <w:t>3 George buys a house that he uses as his principal resid</w:t>
      </w:r>
      <w:r w:rsidR="00545F53">
        <w:rPr>
          <w:sz w:val="24"/>
          <w:szCs w:val="24"/>
        </w:rPr>
        <w:t>ence. He sells it in October 201</w:t>
      </w:r>
      <w:r w:rsidRPr="00545F53">
        <w:rPr>
          <w:sz w:val="24"/>
          <w:szCs w:val="24"/>
        </w:rPr>
        <w:t xml:space="preserve">4 because the house has greatly appreciated in value and mortgage rates have substantially decreased, making a bigger house affordable. The specific event safe harbors described above do not apply. Under the facts and circumstances, the primary reasons for the sale of the house--the changes in George's house value and in the mortgage rates--are an improvement in his financial circumstances. </w:t>
      </w:r>
      <w:r w:rsidR="00545F53">
        <w:rPr>
          <w:sz w:val="24"/>
          <w:szCs w:val="24"/>
        </w:rPr>
        <w:t>However, a</w:t>
      </w:r>
      <w:r w:rsidRPr="00545F53">
        <w:rPr>
          <w:sz w:val="24"/>
          <w:szCs w:val="24"/>
        </w:rPr>
        <w:t>n improvement in financial circumstances, even if the result of unforeseen circumstances, does not qualify for the reduced maximum exclusion by reason of unforeseen circumstances under IRC section 121(c)(2)</w:t>
      </w:r>
      <w:r w:rsidR="00545F53">
        <w:rPr>
          <w:sz w:val="24"/>
          <w:szCs w:val="24"/>
        </w:rPr>
        <w:t>.</w:t>
      </w:r>
      <w:r w:rsidRPr="00545F53">
        <w:rPr>
          <w:sz w:val="24"/>
          <w:szCs w:val="24"/>
        </w:rPr>
        <w:t xml:space="preserve"> </w:t>
      </w:r>
      <w:r w:rsidRPr="00545F53">
        <w:rPr>
          <w:rStyle w:val="FootnoteReference"/>
          <w:rFonts w:cs="Arial"/>
          <w:sz w:val="24"/>
          <w:szCs w:val="24"/>
        </w:rPr>
        <w:footnoteReference w:id="7"/>
      </w:r>
    </w:p>
    <w:p w:rsidR="00351992" w:rsidRDefault="00351992" w:rsidP="00351992">
      <w:pPr>
        <w:pStyle w:val="PA"/>
      </w:pPr>
      <w:r w:rsidRPr="0090338F">
        <w:t>For purpose</w:t>
      </w:r>
      <w:r w:rsidR="00545F53">
        <w:t xml:space="preserve">s of determining the reduced exclusion, the </w:t>
      </w:r>
      <w:r w:rsidR="00137893">
        <w:t xml:space="preserve">maximum amount </w:t>
      </w:r>
      <w:r w:rsidR="00545F53">
        <w:t xml:space="preserve">of gain that would have been excluded but for the premature sale of the primary residence is multiplied by </w:t>
      </w:r>
      <w:r w:rsidRPr="0090338F">
        <w:t>a fraction. The numerator of the fraction equals the shorter of (1) th</w:t>
      </w:r>
      <w:r>
        <w:t>e aggregate periods during the five</w:t>
      </w:r>
      <w:r w:rsidRPr="0090338F">
        <w:t xml:space="preserve">-year period ending on the date of the sale or </w:t>
      </w:r>
      <w:r w:rsidRPr="0090338F">
        <w:rPr>
          <w:bCs/>
          <w:iCs/>
        </w:rPr>
        <w:t>exchange</w:t>
      </w:r>
      <w:r w:rsidRPr="0090338F">
        <w:t xml:space="preserve"> that the property has been owned or used by the taxpayer as </w:t>
      </w:r>
      <w:r>
        <w:t xml:space="preserve">a </w:t>
      </w:r>
      <w:r w:rsidRPr="0090338F">
        <w:t xml:space="preserve">principal residence, or (2) the period after the date of the most recent prior sale or </w:t>
      </w:r>
      <w:r w:rsidRPr="0090338F">
        <w:rPr>
          <w:bCs/>
          <w:iCs/>
        </w:rPr>
        <w:t>exchange</w:t>
      </w:r>
      <w:r>
        <w:t xml:space="preserve"> by the taxpayer to which the two</w:t>
      </w:r>
      <w:r w:rsidRPr="0090338F">
        <w:t xml:space="preserve">-year limitation applied and </w:t>
      </w:r>
      <w:r w:rsidR="00394C6A">
        <w:t xml:space="preserve">the </w:t>
      </w:r>
      <w:r w:rsidRPr="0090338F">
        <w:t xml:space="preserve">date of the sale or </w:t>
      </w:r>
      <w:r w:rsidRPr="0090338F">
        <w:rPr>
          <w:bCs/>
          <w:iCs/>
        </w:rPr>
        <w:t>exchange</w:t>
      </w:r>
      <w:r w:rsidRPr="0090338F">
        <w:t>. The denominator equals two years.</w:t>
      </w:r>
      <w:r>
        <w:rPr>
          <w:rStyle w:val="FootnoteReference"/>
          <w:color w:val="auto"/>
        </w:rPr>
        <w:footnoteReference w:id="8"/>
      </w:r>
      <w:r w:rsidRPr="0090338F">
        <w:t xml:space="preserve"> </w:t>
      </w:r>
    </w:p>
    <w:p w:rsidR="00821C3A" w:rsidRDefault="00137893" w:rsidP="00DF5116">
      <w:pPr>
        <w:jc w:val="both"/>
        <w:rPr>
          <w:sz w:val="24"/>
          <w:szCs w:val="24"/>
        </w:rPr>
      </w:pPr>
      <w:r>
        <w:rPr>
          <w:i/>
          <w:sz w:val="24"/>
          <w:szCs w:val="24"/>
        </w:rPr>
        <w:t xml:space="preserve">    </w:t>
      </w:r>
      <w:r w:rsidRPr="00545F53">
        <w:rPr>
          <w:i/>
          <w:sz w:val="24"/>
          <w:szCs w:val="24"/>
        </w:rPr>
        <w:t>Example:</w:t>
      </w:r>
      <w:r w:rsidR="00821C3A">
        <w:rPr>
          <w:sz w:val="24"/>
          <w:szCs w:val="24"/>
        </w:rPr>
        <w:t xml:space="preserve"> On July 2, 2010, </w:t>
      </w:r>
      <w:r>
        <w:rPr>
          <w:sz w:val="24"/>
          <w:szCs w:val="24"/>
        </w:rPr>
        <w:t xml:space="preserve">Ashley, a single taxpayer, purchased </w:t>
      </w:r>
      <w:r w:rsidR="00821C3A">
        <w:rPr>
          <w:sz w:val="24"/>
          <w:szCs w:val="24"/>
        </w:rPr>
        <w:t>her first primary residence for $150</w:t>
      </w:r>
      <w:r>
        <w:rPr>
          <w:sz w:val="24"/>
          <w:szCs w:val="24"/>
        </w:rPr>
        <w:t xml:space="preserve">,000.  </w:t>
      </w:r>
      <w:r w:rsidR="00821C3A">
        <w:rPr>
          <w:sz w:val="24"/>
          <w:szCs w:val="24"/>
        </w:rPr>
        <w:t xml:space="preserve">More than two years later, on August 15, 2012, Ashley sold the home for $200,000.  Because she met all the requirements of IRC Section 121, Ashley excluded the entire amount of her gain.  On September 15, 2012, Ashley purchased a new primary residence for $250,000.  Nine months later, on June 15, 2013, Ashley </w:t>
      </w:r>
      <w:r w:rsidR="00DF5116">
        <w:rPr>
          <w:sz w:val="24"/>
          <w:szCs w:val="24"/>
        </w:rPr>
        <w:t xml:space="preserve">sold the new primary residence for $275,000 because she </w:t>
      </w:r>
      <w:r w:rsidR="00821C3A">
        <w:rPr>
          <w:sz w:val="24"/>
          <w:szCs w:val="24"/>
        </w:rPr>
        <w:t xml:space="preserve">lost her job and had to take a new job in a different state.  </w:t>
      </w:r>
    </w:p>
    <w:p w:rsidR="00821C3A" w:rsidRDefault="00821C3A" w:rsidP="00DF5116">
      <w:pPr>
        <w:jc w:val="both"/>
        <w:rPr>
          <w:sz w:val="24"/>
          <w:szCs w:val="24"/>
        </w:rPr>
      </w:pPr>
    </w:p>
    <w:p w:rsidR="00137893" w:rsidRDefault="00821C3A" w:rsidP="00DF5116">
      <w:pPr>
        <w:jc w:val="both"/>
        <w:rPr>
          <w:sz w:val="24"/>
          <w:szCs w:val="24"/>
        </w:rPr>
      </w:pPr>
      <w:r>
        <w:rPr>
          <w:sz w:val="24"/>
          <w:szCs w:val="24"/>
        </w:rPr>
        <w:t xml:space="preserve">    Although the sale of the </w:t>
      </w:r>
      <w:r w:rsidR="00DF5116">
        <w:rPr>
          <w:sz w:val="24"/>
          <w:szCs w:val="24"/>
        </w:rPr>
        <w:t>new</w:t>
      </w:r>
      <w:r>
        <w:rPr>
          <w:sz w:val="24"/>
          <w:szCs w:val="24"/>
        </w:rPr>
        <w:t xml:space="preserve"> primary residence does not qualify for the full exclusion because Ashley used and owned</w:t>
      </w:r>
      <w:r w:rsidR="0062423C">
        <w:rPr>
          <w:sz w:val="24"/>
          <w:szCs w:val="24"/>
        </w:rPr>
        <w:t xml:space="preserve"> the home for only nine months, the unforeseen circumstance</w:t>
      </w:r>
      <w:r>
        <w:rPr>
          <w:sz w:val="24"/>
          <w:szCs w:val="24"/>
        </w:rPr>
        <w:t xml:space="preserve"> </w:t>
      </w:r>
      <w:r w:rsidR="00DF5116">
        <w:rPr>
          <w:sz w:val="24"/>
          <w:szCs w:val="24"/>
        </w:rPr>
        <w:t xml:space="preserve">of losing her job </w:t>
      </w:r>
      <w:r w:rsidR="00394C6A">
        <w:rPr>
          <w:sz w:val="24"/>
          <w:szCs w:val="24"/>
        </w:rPr>
        <w:t xml:space="preserve">that necessitated her relocation </w:t>
      </w:r>
      <w:r>
        <w:rPr>
          <w:sz w:val="24"/>
          <w:szCs w:val="24"/>
        </w:rPr>
        <w:t>qualify her for the exclusion.  Applying the partial exclusion formula, her $250,000 maximum exclusion (single taxpayer) is multiplied by 9/24, or $93,750.</w:t>
      </w:r>
      <w:r w:rsidR="00DF5116">
        <w:rPr>
          <w:sz w:val="24"/>
          <w:szCs w:val="24"/>
        </w:rPr>
        <w:t xml:space="preserve">  This is because</w:t>
      </w:r>
      <w:r w:rsidR="0062423C">
        <w:rPr>
          <w:sz w:val="24"/>
          <w:szCs w:val="24"/>
        </w:rPr>
        <w:t>,</w:t>
      </w:r>
      <w:bookmarkStart w:id="0" w:name="_GoBack"/>
      <w:bookmarkEnd w:id="0"/>
      <w:r w:rsidR="00DF5116">
        <w:rPr>
          <w:sz w:val="24"/>
          <w:szCs w:val="24"/>
        </w:rPr>
        <w:t xml:space="preserve"> per the formula, the numerator is the lesser of the time between the date of the sale of the previous home (August 15 or ten months to the June 15 sale date) or the time she used and owned the latter residence as her primary residence</w:t>
      </w:r>
      <w:r w:rsidR="00394C6A">
        <w:rPr>
          <w:sz w:val="24"/>
          <w:szCs w:val="24"/>
        </w:rPr>
        <w:t xml:space="preserve"> and the date of the sale</w:t>
      </w:r>
      <w:r w:rsidR="00DF5116">
        <w:rPr>
          <w:sz w:val="24"/>
          <w:szCs w:val="24"/>
        </w:rPr>
        <w:t xml:space="preserve"> (September 15 or nine months until the June 15 sale date).  For that reason, Ashley may exclude the entire amount of her gain ($25,000) because it was less than the reduced exclusion amount ($93,750).  </w:t>
      </w:r>
    </w:p>
    <w:p w:rsidR="00DF5116" w:rsidRPr="00137893" w:rsidRDefault="00DF5116" w:rsidP="00DF5116">
      <w:pPr>
        <w:jc w:val="both"/>
      </w:pPr>
    </w:p>
    <w:p w:rsidR="00351992" w:rsidRDefault="00351992" w:rsidP="00351992">
      <w:pPr>
        <w:pStyle w:val="PA"/>
      </w:pPr>
      <w:r w:rsidRPr="00DB617A">
        <w:t xml:space="preserve">If the taxpayer is mentally or physically incapable of </w:t>
      </w:r>
      <w:r>
        <w:t>caring for himself</w:t>
      </w:r>
      <w:r w:rsidRPr="00DB617A">
        <w:t>, and the taxpayer owned and used the property as a principal residence for an ag</w:t>
      </w:r>
      <w:r>
        <w:t>gregate of one year during the five</w:t>
      </w:r>
      <w:r w:rsidRPr="00DB617A">
        <w:t xml:space="preserve">-year period ending on the date of the sale or </w:t>
      </w:r>
      <w:r w:rsidRPr="0001097C">
        <w:rPr>
          <w:bCs/>
          <w:iCs/>
        </w:rPr>
        <w:t>exchange</w:t>
      </w:r>
      <w:r w:rsidRPr="00DB617A">
        <w:t xml:space="preserve">, an exception to the use requirement applies. Such a taxpayer will be </w:t>
      </w:r>
      <w:r w:rsidRPr="00DB617A">
        <w:rPr>
          <w:i/>
          <w:iCs/>
        </w:rPr>
        <w:t>treated as using</w:t>
      </w:r>
      <w:r w:rsidRPr="00DB617A">
        <w:t xml:space="preserve"> the prope</w:t>
      </w:r>
      <w:r>
        <w:t>rty during any time within the five</w:t>
      </w:r>
      <w:r w:rsidRPr="00DB617A">
        <w:t xml:space="preserve">-year period that the taxpayer </w:t>
      </w:r>
      <w:r w:rsidRPr="00DB617A">
        <w:rPr>
          <w:i/>
          <w:iCs/>
        </w:rPr>
        <w:t>owns</w:t>
      </w:r>
      <w:r w:rsidRPr="00DB617A">
        <w:t xml:space="preserve"> the property and resides in a facility (including a nursing home) licensed by the state or a political subdivision to care for such an individual.</w:t>
      </w:r>
      <w:r>
        <w:rPr>
          <w:rStyle w:val="FootnoteReference"/>
          <w:color w:val="auto"/>
        </w:rPr>
        <w:footnoteReference w:id="9"/>
      </w:r>
      <w:r w:rsidRPr="00DB617A">
        <w:t xml:space="preserve"> </w:t>
      </w:r>
    </w:p>
    <w:p w:rsidR="001A4FD3" w:rsidRPr="001A4FD3" w:rsidRDefault="001A4FD3" w:rsidP="001A4FD3"/>
    <w:sectPr w:rsidR="001A4FD3" w:rsidRPr="001A4FD3" w:rsidSect="00544B7E">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E8" w:rsidRDefault="00F955E8">
      <w:r>
        <w:separator/>
      </w:r>
    </w:p>
  </w:endnote>
  <w:endnote w:type="continuationSeparator" w:id="0">
    <w:p w:rsidR="00F955E8" w:rsidRDefault="00F9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Arial"/>
    <w:panose1 w:val="00000000000000000000"/>
    <w:charset w:val="00"/>
    <w:family w:val="swiss"/>
    <w:notTrueType/>
    <w:pitch w:val="variable"/>
    <w:sig w:usb0="00000001" w:usb1="5000204A" w:usb2="00000000" w:usb3="00000000" w:csb0="00000005"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E8" w:rsidRDefault="00F955E8">
      <w:r>
        <w:separator/>
      </w:r>
    </w:p>
  </w:footnote>
  <w:footnote w:type="continuationSeparator" w:id="0">
    <w:p w:rsidR="00F955E8" w:rsidRDefault="00F955E8">
      <w:r>
        <w:continuationSeparator/>
      </w:r>
    </w:p>
  </w:footnote>
  <w:footnote w:id="1">
    <w:p w:rsidR="00351992" w:rsidRPr="00B4630A" w:rsidRDefault="00351992" w:rsidP="00351992">
      <w:pPr>
        <w:pStyle w:val="PQ"/>
      </w:pPr>
      <w:r w:rsidRPr="00B4630A">
        <w:rPr>
          <w:rStyle w:val="FootnoteReference"/>
          <w:vertAlign w:val="baseline"/>
        </w:rPr>
        <w:footnoteRef/>
      </w:r>
      <w:r w:rsidRPr="00B4630A">
        <w:t>.</w:t>
      </w:r>
      <w:r w:rsidRPr="00B4630A">
        <w:tab/>
        <w:t>IRC Sec. 121(c</w:t>
      </w:r>
      <w:proofErr w:type="gramStart"/>
      <w:r w:rsidRPr="00B4630A">
        <w:t>)(</w:t>
      </w:r>
      <w:proofErr w:type="gramEnd"/>
      <w:r w:rsidRPr="00B4630A">
        <w:t>2).</w:t>
      </w:r>
    </w:p>
  </w:footnote>
  <w:footnote w:id="2">
    <w:p w:rsidR="00351992" w:rsidRPr="00B4630A" w:rsidRDefault="00351992" w:rsidP="00351992">
      <w:pPr>
        <w:pStyle w:val="PQ"/>
      </w:pPr>
      <w:r w:rsidRPr="00B4630A">
        <w:rPr>
          <w:rStyle w:val="FootnoteReference"/>
          <w:vertAlign w:val="baseline"/>
        </w:rPr>
        <w:footnoteRef/>
      </w:r>
      <w:r w:rsidRPr="00B4630A">
        <w:t>.</w:t>
      </w:r>
      <w:r w:rsidRPr="00B4630A">
        <w:tab/>
        <w:t xml:space="preserve">Treas. Reg. </w:t>
      </w:r>
      <w:r w:rsidRPr="00B4630A">
        <w:rPr>
          <w:rFonts w:cs="Calibri"/>
        </w:rPr>
        <w:t>§</w:t>
      </w:r>
      <w:r w:rsidRPr="00B4630A">
        <w:t>1.121-3(b).</w:t>
      </w:r>
    </w:p>
  </w:footnote>
  <w:footnote w:id="3">
    <w:p w:rsidR="00351992" w:rsidRPr="00B4630A" w:rsidRDefault="00351992" w:rsidP="00351992">
      <w:pPr>
        <w:pStyle w:val="PQ"/>
      </w:pPr>
      <w:r w:rsidRPr="00B4630A">
        <w:rPr>
          <w:rStyle w:val="FootnoteReference"/>
          <w:vertAlign w:val="baseline"/>
        </w:rPr>
        <w:footnoteRef/>
      </w:r>
      <w:r w:rsidRPr="00B4630A">
        <w:t>.</w:t>
      </w:r>
      <w:r w:rsidRPr="00B4630A">
        <w:tab/>
        <w:t xml:space="preserve">Treas. Reg. </w:t>
      </w:r>
      <w:r w:rsidRPr="00B4630A">
        <w:rPr>
          <w:rFonts w:cs="Calibri"/>
        </w:rPr>
        <w:t>§</w:t>
      </w:r>
      <w:r w:rsidRPr="00B4630A">
        <w:t>1.121-3(c</w:t>
      </w:r>
      <w:proofErr w:type="gramStart"/>
      <w:r w:rsidRPr="00B4630A">
        <w:t>)(</w:t>
      </w:r>
      <w:proofErr w:type="gramEnd"/>
      <w:r w:rsidRPr="00B4630A">
        <w:t>2).</w:t>
      </w:r>
    </w:p>
  </w:footnote>
  <w:footnote w:id="4">
    <w:p w:rsidR="00351992" w:rsidRPr="00B4630A" w:rsidRDefault="00351992" w:rsidP="00351992">
      <w:pPr>
        <w:pStyle w:val="PQ"/>
      </w:pPr>
      <w:r w:rsidRPr="00B4630A">
        <w:rPr>
          <w:rStyle w:val="FootnoteReference"/>
          <w:vertAlign w:val="baseline"/>
        </w:rPr>
        <w:footnoteRef/>
      </w:r>
      <w:r w:rsidRPr="00B4630A">
        <w:t>.</w:t>
      </w:r>
      <w:r w:rsidRPr="00B4630A">
        <w:tab/>
        <w:t xml:space="preserve">Treas. Reg. </w:t>
      </w:r>
      <w:r w:rsidRPr="00B4630A">
        <w:rPr>
          <w:rFonts w:cs="Calibri"/>
        </w:rPr>
        <w:t>§</w:t>
      </w:r>
      <w:r w:rsidRPr="00B4630A">
        <w:t>1.121-3(d</w:t>
      </w:r>
      <w:proofErr w:type="gramStart"/>
      <w:r w:rsidRPr="00B4630A">
        <w:t>)(</w:t>
      </w:r>
      <w:proofErr w:type="gramEnd"/>
      <w:r w:rsidRPr="00B4630A">
        <w:t>2).</w:t>
      </w:r>
    </w:p>
  </w:footnote>
  <w:footnote w:id="5">
    <w:p w:rsidR="00351992" w:rsidRPr="00B4630A" w:rsidRDefault="00351992" w:rsidP="00351992">
      <w:pPr>
        <w:pStyle w:val="PQ"/>
      </w:pPr>
      <w:r w:rsidRPr="00B4630A">
        <w:rPr>
          <w:rStyle w:val="FootnoteReference"/>
          <w:vertAlign w:val="baseline"/>
        </w:rPr>
        <w:footnoteRef/>
      </w:r>
      <w:r w:rsidRPr="00B4630A">
        <w:t>.</w:t>
      </w:r>
      <w:r w:rsidRPr="00B4630A">
        <w:tab/>
        <w:t xml:space="preserve">Treas. Reg. </w:t>
      </w:r>
      <w:r w:rsidRPr="00B4630A">
        <w:rPr>
          <w:rFonts w:cs="Calibri"/>
        </w:rPr>
        <w:t>§</w:t>
      </w:r>
      <w:r w:rsidRPr="00B4630A">
        <w:t>1.121-3(e</w:t>
      </w:r>
      <w:proofErr w:type="gramStart"/>
      <w:r w:rsidRPr="00B4630A">
        <w:t>)(</w:t>
      </w:r>
      <w:proofErr w:type="gramEnd"/>
      <w:r w:rsidRPr="00B4630A">
        <w:t>2).</w:t>
      </w:r>
    </w:p>
  </w:footnote>
  <w:footnote w:id="6">
    <w:p w:rsidR="00351992" w:rsidRPr="00B4630A" w:rsidRDefault="00351992" w:rsidP="00351992">
      <w:pPr>
        <w:pStyle w:val="PQ"/>
      </w:pPr>
      <w:r w:rsidRPr="00B4630A">
        <w:rPr>
          <w:rStyle w:val="FootnoteReference"/>
          <w:vertAlign w:val="baseline"/>
        </w:rPr>
        <w:footnoteRef/>
      </w:r>
      <w:r w:rsidRPr="00B4630A">
        <w:t>.</w:t>
      </w:r>
      <w:r w:rsidRPr="00B4630A">
        <w:tab/>
        <w:t xml:space="preserve">Treas. Reg. </w:t>
      </w:r>
      <w:r w:rsidRPr="00B4630A">
        <w:rPr>
          <w:rFonts w:cs="Calibri"/>
        </w:rPr>
        <w:t>§</w:t>
      </w:r>
      <w:r w:rsidRPr="00B4630A">
        <w:t>1.121-3(e</w:t>
      </w:r>
      <w:proofErr w:type="gramStart"/>
      <w:r w:rsidRPr="00B4630A">
        <w:t>)(</w:t>
      </w:r>
      <w:proofErr w:type="gramEnd"/>
      <w:r w:rsidRPr="00B4630A">
        <w:t>1).</w:t>
      </w:r>
    </w:p>
  </w:footnote>
  <w:footnote w:id="7">
    <w:p w:rsidR="00351992" w:rsidRPr="00B4630A" w:rsidRDefault="00351992" w:rsidP="00351992">
      <w:pPr>
        <w:pStyle w:val="PQ"/>
      </w:pPr>
      <w:r w:rsidRPr="00B4630A">
        <w:rPr>
          <w:rStyle w:val="FootnoteReference"/>
          <w:vertAlign w:val="baseline"/>
        </w:rPr>
        <w:footnoteRef/>
      </w:r>
      <w:r w:rsidRPr="00B4630A">
        <w:t>.</w:t>
      </w:r>
      <w:r w:rsidRPr="00B4630A">
        <w:tab/>
        <w:t>Treas. Reg. §1.121-3(e</w:t>
      </w:r>
      <w:proofErr w:type="gramStart"/>
      <w:r w:rsidRPr="00B4630A">
        <w:t>)(</w:t>
      </w:r>
      <w:proofErr w:type="gramEnd"/>
      <w:r w:rsidRPr="00B4630A">
        <w:t>4), Example 8.</w:t>
      </w:r>
    </w:p>
  </w:footnote>
  <w:footnote w:id="8">
    <w:p w:rsidR="00351992" w:rsidRPr="00B4630A" w:rsidRDefault="00351992" w:rsidP="00351992">
      <w:pPr>
        <w:pStyle w:val="PQ"/>
      </w:pPr>
      <w:r w:rsidRPr="00B4630A">
        <w:rPr>
          <w:rStyle w:val="FootnoteReference"/>
          <w:vertAlign w:val="baseline"/>
        </w:rPr>
        <w:footnoteRef/>
      </w:r>
      <w:r w:rsidRPr="00B4630A">
        <w:t>.</w:t>
      </w:r>
      <w:r w:rsidRPr="00B4630A">
        <w:tab/>
        <w:t>IRC Sec. 121(c</w:t>
      </w:r>
      <w:proofErr w:type="gramStart"/>
      <w:r w:rsidRPr="00B4630A">
        <w:t>)(</w:t>
      </w:r>
      <w:proofErr w:type="gramEnd"/>
      <w:r w:rsidRPr="00B4630A">
        <w:t>1).</w:t>
      </w:r>
    </w:p>
  </w:footnote>
  <w:footnote w:id="9">
    <w:p w:rsidR="00351992" w:rsidRPr="00B4630A" w:rsidRDefault="00351992" w:rsidP="00351992">
      <w:pPr>
        <w:pStyle w:val="PQ"/>
      </w:pPr>
      <w:r w:rsidRPr="00B4630A">
        <w:rPr>
          <w:rStyle w:val="FootnoteReference"/>
          <w:vertAlign w:val="baseline"/>
        </w:rPr>
        <w:footnoteRef/>
      </w:r>
      <w:r w:rsidRPr="00B4630A">
        <w:t>.</w:t>
      </w:r>
      <w:r w:rsidRPr="00B4630A">
        <w:tab/>
        <w:t>IRC Sec. 121(d</w:t>
      </w:r>
      <w:proofErr w:type="gramStart"/>
      <w:r w:rsidRPr="00B4630A">
        <w:t>)(</w:t>
      </w:r>
      <w:proofErr w:type="gramEnd"/>
      <w:r w:rsidRPr="00B4630A">
        <w:t>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2E013D"/>
    <w:multiLevelType w:val="hybridMultilevel"/>
    <w:tmpl w:val="E7566CF8"/>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20151E3"/>
    <w:multiLevelType w:val="hybridMultilevel"/>
    <w:tmpl w:val="5FB8A7F6"/>
    <w:lvl w:ilvl="0" w:tplc="D72411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3DF0F16"/>
    <w:multiLevelType w:val="hybridMultilevel"/>
    <w:tmpl w:val="5C245B6C"/>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246B9"/>
    <w:multiLevelType w:val="hybridMultilevel"/>
    <w:tmpl w:val="89C016D4"/>
    <w:lvl w:ilvl="0" w:tplc="63449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C5DE2"/>
    <w:multiLevelType w:val="hybridMultilevel"/>
    <w:tmpl w:val="E3000776"/>
    <w:lvl w:ilvl="0" w:tplc="E6BE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331F9"/>
    <w:multiLevelType w:val="hybridMultilevel"/>
    <w:tmpl w:val="973A11DC"/>
    <w:lvl w:ilvl="0" w:tplc="A8E02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084466"/>
    <w:multiLevelType w:val="hybridMultilevel"/>
    <w:tmpl w:val="5E2045F2"/>
    <w:lvl w:ilvl="0" w:tplc="0F86C95E">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B2CBE"/>
    <w:multiLevelType w:val="singleLevel"/>
    <w:tmpl w:val="0409000F"/>
    <w:lvl w:ilvl="0">
      <w:start w:val="1"/>
      <w:numFmt w:val="decimal"/>
      <w:lvlText w:val="%1."/>
      <w:lvlJc w:val="left"/>
      <w:pPr>
        <w:tabs>
          <w:tab w:val="num" w:pos="360"/>
        </w:tabs>
        <w:ind w:left="360" w:hanging="360"/>
      </w:pPr>
    </w:lvl>
  </w:abstractNum>
  <w:abstractNum w:abstractNumId="14">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691D4BC5"/>
    <w:multiLevelType w:val="hybridMultilevel"/>
    <w:tmpl w:val="4B9CFEEA"/>
    <w:lvl w:ilvl="0" w:tplc="FCF05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766FB5"/>
    <w:multiLevelType w:val="hybridMultilevel"/>
    <w:tmpl w:val="B0901EC4"/>
    <w:lvl w:ilvl="0" w:tplc="AD60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4"/>
  </w:num>
  <w:num w:numId="2">
    <w:abstractNumId w:val="0"/>
  </w:num>
  <w:num w:numId="3">
    <w:abstractNumId w:val="5"/>
  </w:num>
  <w:num w:numId="4">
    <w:abstractNumId w:val="19"/>
  </w:num>
  <w:num w:numId="5">
    <w:abstractNumId w:val="4"/>
  </w:num>
  <w:num w:numId="6">
    <w:abstractNumId w:val="13"/>
  </w:num>
  <w:num w:numId="7">
    <w:abstractNumId w:val="1"/>
  </w:num>
  <w:num w:numId="8">
    <w:abstractNumId w:val="2"/>
  </w:num>
  <w:num w:numId="9">
    <w:abstractNumId w:val="1"/>
  </w:num>
  <w:num w:numId="10">
    <w:abstractNumId w:val="2"/>
  </w:num>
  <w:num w:numId="11">
    <w:abstractNumId w:val="2"/>
  </w:num>
  <w:num w:numId="12">
    <w:abstractNumId w:val="1"/>
  </w:num>
  <w:num w:numId="13">
    <w:abstractNumId w:val="1"/>
  </w:num>
  <w:num w:numId="14">
    <w:abstractNumId w:val="2"/>
  </w:num>
  <w:num w:numId="15">
    <w:abstractNumId w:val="16"/>
  </w:num>
  <w:num w:numId="16">
    <w:abstractNumId w:val="16"/>
  </w:num>
  <w:num w:numId="17">
    <w:abstractNumId w:val="1"/>
  </w:num>
  <w:num w:numId="18">
    <w:abstractNumId w:val="16"/>
  </w:num>
  <w:num w:numId="19">
    <w:abstractNumId w:val="1"/>
  </w:num>
  <w:num w:numId="20">
    <w:abstractNumId w:val="1"/>
  </w:num>
  <w:num w:numId="21">
    <w:abstractNumId w:val="16"/>
  </w:num>
  <w:num w:numId="22">
    <w:abstractNumId w:val="18"/>
  </w:num>
  <w:num w:numId="23">
    <w:abstractNumId w:val="18"/>
  </w:num>
  <w:num w:numId="24">
    <w:abstractNumId w:val="11"/>
  </w:num>
  <w:num w:numId="25">
    <w:abstractNumId w:val="18"/>
  </w:num>
  <w:num w:numId="26">
    <w:abstractNumId w:val="18"/>
  </w:num>
  <w:num w:numId="27">
    <w:abstractNumId w:val="18"/>
  </w:num>
  <w:num w:numId="28">
    <w:abstractNumId w:val="18"/>
  </w:num>
  <w:num w:numId="29">
    <w:abstractNumId w:val="11"/>
  </w:num>
  <w:num w:numId="30">
    <w:abstractNumId w:val="18"/>
  </w:num>
  <w:num w:numId="31">
    <w:abstractNumId w:val="18"/>
  </w:num>
  <w:num w:numId="32">
    <w:abstractNumId w:val="18"/>
  </w:num>
  <w:num w:numId="33">
    <w:abstractNumId w:val="12"/>
  </w:num>
  <w:num w:numId="34">
    <w:abstractNumId w:val="6"/>
  </w:num>
  <w:num w:numId="35">
    <w:abstractNumId w:val="10"/>
  </w:num>
  <w:num w:numId="36">
    <w:abstractNumId w:val="8"/>
  </w:num>
  <w:num w:numId="37">
    <w:abstractNumId w:val="9"/>
  </w:num>
  <w:num w:numId="38">
    <w:abstractNumId w:val="15"/>
  </w:num>
  <w:num w:numId="39">
    <w:abstractNumId w:val="17"/>
  </w:num>
  <w:num w:numId="40">
    <w:abstractNumId w:val="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8B"/>
    <w:rsid w:val="0000014F"/>
    <w:rsid w:val="0000015C"/>
    <w:rsid w:val="000001B6"/>
    <w:rsid w:val="000005C8"/>
    <w:rsid w:val="00000C98"/>
    <w:rsid w:val="00000E8E"/>
    <w:rsid w:val="00001045"/>
    <w:rsid w:val="0000127C"/>
    <w:rsid w:val="00001735"/>
    <w:rsid w:val="000017FA"/>
    <w:rsid w:val="00001DB1"/>
    <w:rsid w:val="000023D7"/>
    <w:rsid w:val="00002BAB"/>
    <w:rsid w:val="00002FB5"/>
    <w:rsid w:val="00003261"/>
    <w:rsid w:val="0000405D"/>
    <w:rsid w:val="00004563"/>
    <w:rsid w:val="0000493B"/>
    <w:rsid w:val="000049C7"/>
    <w:rsid w:val="00004C54"/>
    <w:rsid w:val="00005730"/>
    <w:rsid w:val="000057BF"/>
    <w:rsid w:val="00005802"/>
    <w:rsid w:val="00005ABA"/>
    <w:rsid w:val="0000609F"/>
    <w:rsid w:val="0000615F"/>
    <w:rsid w:val="00006219"/>
    <w:rsid w:val="00006F7E"/>
    <w:rsid w:val="0000707D"/>
    <w:rsid w:val="000073EC"/>
    <w:rsid w:val="00010116"/>
    <w:rsid w:val="0001020F"/>
    <w:rsid w:val="000109BE"/>
    <w:rsid w:val="00010AA1"/>
    <w:rsid w:val="0001129B"/>
    <w:rsid w:val="000118D0"/>
    <w:rsid w:val="00011968"/>
    <w:rsid w:val="0001205F"/>
    <w:rsid w:val="00012C15"/>
    <w:rsid w:val="00013028"/>
    <w:rsid w:val="0001302F"/>
    <w:rsid w:val="000133F7"/>
    <w:rsid w:val="000136F7"/>
    <w:rsid w:val="000137B6"/>
    <w:rsid w:val="000137CA"/>
    <w:rsid w:val="00013B9A"/>
    <w:rsid w:val="00013BA5"/>
    <w:rsid w:val="00013DD5"/>
    <w:rsid w:val="00014092"/>
    <w:rsid w:val="00014460"/>
    <w:rsid w:val="00014661"/>
    <w:rsid w:val="00014C67"/>
    <w:rsid w:val="00014FEA"/>
    <w:rsid w:val="00015597"/>
    <w:rsid w:val="00015608"/>
    <w:rsid w:val="00015AC7"/>
    <w:rsid w:val="00015C0A"/>
    <w:rsid w:val="00015D8C"/>
    <w:rsid w:val="0001634D"/>
    <w:rsid w:val="00016388"/>
    <w:rsid w:val="00016FA6"/>
    <w:rsid w:val="000170B0"/>
    <w:rsid w:val="0001725A"/>
    <w:rsid w:val="00017351"/>
    <w:rsid w:val="000178CE"/>
    <w:rsid w:val="00017EC5"/>
    <w:rsid w:val="00017FB1"/>
    <w:rsid w:val="0002000D"/>
    <w:rsid w:val="0002008E"/>
    <w:rsid w:val="00020351"/>
    <w:rsid w:val="00020403"/>
    <w:rsid w:val="00020E43"/>
    <w:rsid w:val="00021003"/>
    <w:rsid w:val="000211D6"/>
    <w:rsid w:val="00021547"/>
    <w:rsid w:val="00021AC9"/>
    <w:rsid w:val="00021DE4"/>
    <w:rsid w:val="00021E27"/>
    <w:rsid w:val="000222B8"/>
    <w:rsid w:val="0002272C"/>
    <w:rsid w:val="0002288E"/>
    <w:rsid w:val="000231B2"/>
    <w:rsid w:val="00023943"/>
    <w:rsid w:val="00023EF8"/>
    <w:rsid w:val="000246F5"/>
    <w:rsid w:val="00024DA4"/>
    <w:rsid w:val="00024DF2"/>
    <w:rsid w:val="00025165"/>
    <w:rsid w:val="00025248"/>
    <w:rsid w:val="000253DE"/>
    <w:rsid w:val="00025488"/>
    <w:rsid w:val="00025499"/>
    <w:rsid w:val="00025839"/>
    <w:rsid w:val="000258EA"/>
    <w:rsid w:val="000259C8"/>
    <w:rsid w:val="00025ACB"/>
    <w:rsid w:val="00026197"/>
    <w:rsid w:val="000266B8"/>
    <w:rsid w:val="00026792"/>
    <w:rsid w:val="0002699B"/>
    <w:rsid w:val="00026EF3"/>
    <w:rsid w:val="00027452"/>
    <w:rsid w:val="00027E47"/>
    <w:rsid w:val="00030217"/>
    <w:rsid w:val="00030CD4"/>
    <w:rsid w:val="00030D66"/>
    <w:rsid w:val="00030ED0"/>
    <w:rsid w:val="00031022"/>
    <w:rsid w:val="00031584"/>
    <w:rsid w:val="000318C0"/>
    <w:rsid w:val="00031973"/>
    <w:rsid w:val="00031ABE"/>
    <w:rsid w:val="00032527"/>
    <w:rsid w:val="000325C3"/>
    <w:rsid w:val="00032B8E"/>
    <w:rsid w:val="00032D87"/>
    <w:rsid w:val="00033185"/>
    <w:rsid w:val="00033223"/>
    <w:rsid w:val="00033DC2"/>
    <w:rsid w:val="00033F3E"/>
    <w:rsid w:val="00034026"/>
    <w:rsid w:val="00034037"/>
    <w:rsid w:val="000344C2"/>
    <w:rsid w:val="0003473A"/>
    <w:rsid w:val="00034C2B"/>
    <w:rsid w:val="00034CB0"/>
    <w:rsid w:val="00035343"/>
    <w:rsid w:val="00035416"/>
    <w:rsid w:val="00035524"/>
    <w:rsid w:val="000357F9"/>
    <w:rsid w:val="00035CB2"/>
    <w:rsid w:val="000363E6"/>
    <w:rsid w:val="00036B19"/>
    <w:rsid w:val="00036CFD"/>
    <w:rsid w:val="00037271"/>
    <w:rsid w:val="0003734B"/>
    <w:rsid w:val="00037718"/>
    <w:rsid w:val="00037B28"/>
    <w:rsid w:val="00037E95"/>
    <w:rsid w:val="00040031"/>
    <w:rsid w:val="0004010B"/>
    <w:rsid w:val="00040477"/>
    <w:rsid w:val="000405A8"/>
    <w:rsid w:val="00040843"/>
    <w:rsid w:val="000408A3"/>
    <w:rsid w:val="00040A4D"/>
    <w:rsid w:val="00040B79"/>
    <w:rsid w:val="000412AE"/>
    <w:rsid w:val="0004197D"/>
    <w:rsid w:val="00041AF7"/>
    <w:rsid w:val="000420C8"/>
    <w:rsid w:val="00042523"/>
    <w:rsid w:val="00042773"/>
    <w:rsid w:val="0004306F"/>
    <w:rsid w:val="00043584"/>
    <w:rsid w:val="00043867"/>
    <w:rsid w:val="00043EE6"/>
    <w:rsid w:val="00043EEB"/>
    <w:rsid w:val="000445EC"/>
    <w:rsid w:val="00044F70"/>
    <w:rsid w:val="000450C1"/>
    <w:rsid w:val="00045916"/>
    <w:rsid w:val="0004594E"/>
    <w:rsid w:val="000459F5"/>
    <w:rsid w:val="00045A84"/>
    <w:rsid w:val="000460A4"/>
    <w:rsid w:val="00046406"/>
    <w:rsid w:val="000469B3"/>
    <w:rsid w:val="00046DC2"/>
    <w:rsid w:val="00047293"/>
    <w:rsid w:val="000472F4"/>
    <w:rsid w:val="000473AC"/>
    <w:rsid w:val="000476B5"/>
    <w:rsid w:val="0004796D"/>
    <w:rsid w:val="000501AC"/>
    <w:rsid w:val="000506B5"/>
    <w:rsid w:val="000509B6"/>
    <w:rsid w:val="00050C1D"/>
    <w:rsid w:val="00050FD9"/>
    <w:rsid w:val="000510C9"/>
    <w:rsid w:val="0005152F"/>
    <w:rsid w:val="00051BCB"/>
    <w:rsid w:val="00053068"/>
    <w:rsid w:val="00053107"/>
    <w:rsid w:val="00053268"/>
    <w:rsid w:val="000533EC"/>
    <w:rsid w:val="000536D4"/>
    <w:rsid w:val="00053716"/>
    <w:rsid w:val="0005390A"/>
    <w:rsid w:val="000539CF"/>
    <w:rsid w:val="00053F51"/>
    <w:rsid w:val="000548B8"/>
    <w:rsid w:val="0005495D"/>
    <w:rsid w:val="000554A9"/>
    <w:rsid w:val="00055704"/>
    <w:rsid w:val="00055F6C"/>
    <w:rsid w:val="000569B9"/>
    <w:rsid w:val="00057226"/>
    <w:rsid w:val="000572CA"/>
    <w:rsid w:val="00057FCE"/>
    <w:rsid w:val="0006015A"/>
    <w:rsid w:val="00060269"/>
    <w:rsid w:val="00060793"/>
    <w:rsid w:val="00060D23"/>
    <w:rsid w:val="00060E0E"/>
    <w:rsid w:val="00061131"/>
    <w:rsid w:val="000616B9"/>
    <w:rsid w:val="00061D51"/>
    <w:rsid w:val="00061F57"/>
    <w:rsid w:val="00062089"/>
    <w:rsid w:val="000628F6"/>
    <w:rsid w:val="00062A95"/>
    <w:rsid w:val="00062E4E"/>
    <w:rsid w:val="00062F4B"/>
    <w:rsid w:val="00063575"/>
    <w:rsid w:val="00063FE6"/>
    <w:rsid w:val="0006408F"/>
    <w:rsid w:val="00064CC4"/>
    <w:rsid w:val="00064E27"/>
    <w:rsid w:val="00065323"/>
    <w:rsid w:val="00065736"/>
    <w:rsid w:val="0006601F"/>
    <w:rsid w:val="000661D2"/>
    <w:rsid w:val="000662A2"/>
    <w:rsid w:val="000668A8"/>
    <w:rsid w:val="00066A22"/>
    <w:rsid w:val="00066E23"/>
    <w:rsid w:val="000671A6"/>
    <w:rsid w:val="00067CA3"/>
    <w:rsid w:val="00067F70"/>
    <w:rsid w:val="00070B79"/>
    <w:rsid w:val="00071691"/>
    <w:rsid w:val="00071862"/>
    <w:rsid w:val="00071972"/>
    <w:rsid w:val="00071978"/>
    <w:rsid w:val="00071E51"/>
    <w:rsid w:val="00071FC6"/>
    <w:rsid w:val="000724C7"/>
    <w:rsid w:val="00072683"/>
    <w:rsid w:val="00073184"/>
    <w:rsid w:val="000733B2"/>
    <w:rsid w:val="00073D2A"/>
    <w:rsid w:val="00073E6C"/>
    <w:rsid w:val="000742F4"/>
    <w:rsid w:val="0007521B"/>
    <w:rsid w:val="000753B3"/>
    <w:rsid w:val="00075615"/>
    <w:rsid w:val="0007596A"/>
    <w:rsid w:val="00075A8B"/>
    <w:rsid w:val="00076739"/>
    <w:rsid w:val="00076B56"/>
    <w:rsid w:val="00076DBC"/>
    <w:rsid w:val="000801D7"/>
    <w:rsid w:val="0008069F"/>
    <w:rsid w:val="000812B0"/>
    <w:rsid w:val="0008166F"/>
    <w:rsid w:val="000817E3"/>
    <w:rsid w:val="00082B1E"/>
    <w:rsid w:val="0008319B"/>
    <w:rsid w:val="000837C0"/>
    <w:rsid w:val="00085739"/>
    <w:rsid w:val="000859B4"/>
    <w:rsid w:val="00085ED3"/>
    <w:rsid w:val="00086111"/>
    <w:rsid w:val="000864D5"/>
    <w:rsid w:val="000866D5"/>
    <w:rsid w:val="0008702A"/>
    <w:rsid w:val="000878FA"/>
    <w:rsid w:val="000879AF"/>
    <w:rsid w:val="00087A19"/>
    <w:rsid w:val="00090050"/>
    <w:rsid w:val="00090BF0"/>
    <w:rsid w:val="00090EA6"/>
    <w:rsid w:val="00090ED8"/>
    <w:rsid w:val="00090F3F"/>
    <w:rsid w:val="00091A65"/>
    <w:rsid w:val="00091EFE"/>
    <w:rsid w:val="00092292"/>
    <w:rsid w:val="00092805"/>
    <w:rsid w:val="00092E66"/>
    <w:rsid w:val="00092F5D"/>
    <w:rsid w:val="000932FE"/>
    <w:rsid w:val="00093304"/>
    <w:rsid w:val="000933EE"/>
    <w:rsid w:val="00093949"/>
    <w:rsid w:val="00093AC6"/>
    <w:rsid w:val="00093AE9"/>
    <w:rsid w:val="00093E93"/>
    <w:rsid w:val="00094341"/>
    <w:rsid w:val="000943ED"/>
    <w:rsid w:val="000947F7"/>
    <w:rsid w:val="00094ED5"/>
    <w:rsid w:val="00094F62"/>
    <w:rsid w:val="00095148"/>
    <w:rsid w:val="00095621"/>
    <w:rsid w:val="0009611A"/>
    <w:rsid w:val="0009618E"/>
    <w:rsid w:val="00096266"/>
    <w:rsid w:val="000966E5"/>
    <w:rsid w:val="00096BA0"/>
    <w:rsid w:val="00096FD0"/>
    <w:rsid w:val="00097008"/>
    <w:rsid w:val="00097674"/>
    <w:rsid w:val="000979A9"/>
    <w:rsid w:val="00097AC7"/>
    <w:rsid w:val="000A036A"/>
    <w:rsid w:val="000A05BE"/>
    <w:rsid w:val="000A07D0"/>
    <w:rsid w:val="000A0FE9"/>
    <w:rsid w:val="000A1001"/>
    <w:rsid w:val="000A1233"/>
    <w:rsid w:val="000A12ED"/>
    <w:rsid w:val="000A211A"/>
    <w:rsid w:val="000A2694"/>
    <w:rsid w:val="000A299D"/>
    <w:rsid w:val="000A2A20"/>
    <w:rsid w:val="000A2F54"/>
    <w:rsid w:val="000A46D4"/>
    <w:rsid w:val="000A496E"/>
    <w:rsid w:val="000A4B18"/>
    <w:rsid w:val="000A4B75"/>
    <w:rsid w:val="000A5617"/>
    <w:rsid w:val="000A5BE2"/>
    <w:rsid w:val="000A6E59"/>
    <w:rsid w:val="000A72B6"/>
    <w:rsid w:val="000A73D4"/>
    <w:rsid w:val="000A75C9"/>
    <w:rsid w:val="000A7610"/>
    <w:rsid w:val="000A7B51"/>
    <w:rsid w:val="000B0017"/>
    <w:rsid w:val="000B0045"/>
    <w:rsid w:val="000B0353"/>
    <w:rsid w:val="000B0A34"/>
    <w:rsid w:val="000B18E1"/>
    <w:rsid w:val="000B1A22"/>
    <w:rsid w:val="000B1CEB"/>
    <w:rsid w:val="000B20B1"/>
    <w:rsid w:val="000B217B"/>
    <w:rsid w:val="000B2317"/>
    <w:rsid w:val="000B2365"/>
    <w:rsid w:val="000B2A53"/>
    <w:rsid w:val="000B2E2E"/>
    <w:rsid w:val="000B3382"/>
    <w:rsid w:val="000B36CC"/>
    <w:rsid w:val="000B381E"/>
    <w:rsid w:val="000B4540"/>
    <w:rsid w:val="000B46C5"/>
    <w:rsid w:val="000B4866"/>
    <w:rsid w:val="000B4915"/>
    <w:rsid w:val="000B4C70"/>
    <w:rsid w:val="000B4C96"/>
    <w:rsid w:val="000B53B0"/>
    <w:rsid w:val="000B53F9"/>
    <w:rsid w:val="000B541C"/>
    <w:rsid w:val="000B54BA"/>
    <w:rsid w:val="000B5B00"/>
    <w:rsid w:val="000B6D23"/>
    <w:rsid w:val="000B7C8A"/>
    <w:rsid w:val="000C02D9"/>
    <w:rsid w:val="000C0A3A"/>
    <w:rsid w:val="000C0B79"/>
    <w:rsid w:val="000C0C42"/>
    <w:rsid w:val="000C0CDE"/>
    <w:rsid w:val="000C1317"/>
    <w:rsid w:val="000C13A3"/>
    <w:rsid w:val="000C13E8"/>
    <w:rsid w:val="000C1B25"/>
    <w:rsid w:val="000C2152"/>
    <w:rsid w:val="000C23EF"/>
    <w:rsid w:val="000C24B5"/>
    <w:rsid w:val="000C29FF"/>
    <w:rsid w:val="000C2A86"/>
    <w:rsid w:val="000C2F25"/>
    <w:rsid w:val="000C31F5"/>
    <w:rsid w:val="000C3206"/>
    <w:rsid w:val="000C357A"/>
    <w:rsid w:val="000C3CC3"/>
    <w:rsid w:val="000C3F9C"/>
    <w:rsid w:val="000C4144"/>
    <w:rsid w:val="000C4298"/>
    <w:rsid w:val="000C4376"/>
    <w:rsid w:val="000C440B"/>
    <w:rsid w:val="000C45C5"/>
    <w:rsid w:val="000C463E"/>
    <w:rsid w:val="000C50FF"/>
    <w:rsid w:val="000C54DA"/>
    <w:rsid w:val="000C5D2D"/>
    <w:rsid w:val="000C5E5A"/>
    <w:rsid w:val="000C5FFC"/>
    <w:rsid w:val="000C636D"/>
    <w:rsid w:val="000C6672"/>
    <w:rsid w:val="000C68AC"/>
    <w:rsid w:val="000C6CB2"/>
    <w:rsid w:val="000C6E0D"/>
    <w:rsid w:val="000C7076"/>
    <w:rsid w:val="000C71F8"/>
    <w:rsid w:val="000C734E"/>
    <w:rsid w:val="000C79DF"/>
    <w:rsid w:val="000C7CA2"/>
    <w:rsid w:val="000C7CB5"/>
    <w:rsid w:val="000C7CD3"/>
    <w:rsid w:val="000C7EA1"/>
    <w:rsid w:val="000D0615"/>
    <w:rsid w:val="000D13BB"/>
    <w:rsid w:val="000D1556"/>
    <w:rsid w:val="000D18AB"/>
    <w:rsid w:val="000D1C42"/>
    <w:rsid w:val="000D2194"/>
    <w:rsid w:val="000D25F8"/>
    <w:rsid w:val="000D269D"/>
    <w:rsid w:val="000D2AD6"/>
    <w:rsid w:val="000D2B71"/>
    <w:rsid w:val="000D308F"/>
    <w:rsid w:val="000D3160"/>
    <w:rsid w:val="000D3C22"/>
    <w:rsid w:val="000D451C"/>
    <w:rsid w:val="000D46B5"/>
    <w:rsid w:val="000D47E5"/>
    <w:rsid w:val="000D4FE7"/>
    <w:rsid w:val="000D50C9"/>
    <w:rsid w:val="000D5243"/>
    <w:rsid w:val="000D571E"/>
    <w:rsid w:val="000D57F9"/>
    <w:rsid w:val="000D6118"/>
    <w:rsid w:val="000D62EA"/>
    <w:rsid w:val="000D6695"/>
    <w:rsid w:val="000D6998"/>
    <w:rsid w:val="000D6A0E"/>
    <w:rsid w:val="000D72F9"/>
    <w:rsid w:val="000D79C5"/>
    <w:rsid w:val="000D7BB7"/>
    <w:rsid w:val="000D7C76"/>
    <w:rsid w:val="000D7D59"/>
    <w:rsid w:val="000E05EE"/>
    <w:rsid w:val="000E06E0"/>
    <w:rsid w:val="000E0B3D"/>
    <w:rsid w:val="000E0FB9"/>
    <w:rsid w:val="000E0FF8"/>
    <w:rsid w:val="000E153B"/>
    <w:rsid w:val="000E1CF2"/>
    <w:rsid w:val="000E1DE7"/>
    <w:rsid w:val="000E1E03"/>
    <w:rsid w:val="000E1EC1"/>
    <w:rsid w:val="000E220F"/>
    <w:rsid w:val="000E232A"/>
    <w:rsid w:val="000E238A"/>
    <w:rsid w:val="000E2792"/>
    <w:rsid w:val="000E2F59"/>
    <w:rsid w:val="000E3692"/>
    <w:rsid w:val="000E3D66"/>
    <w:rsid w:val="000E47C7"/>
    <w:rsid w:val="000E5A22"/>
    <w:rsid w:val="000E5CFF"/>
    <w:rsid w:val="000E6155"/>
    <w:rsid w:val="000E6185"/>
    <w:rsid w:val="000E61EE"/>
    <w:rsid w:val="000E6289"/>
    <w:rsid w:val="000E6AF6"/>
    <w:rsid w:val="000E6D89"/>
    <w:rsid w:val="000E6DA4"/>
    <w:rsid w:val="000E6DAC"/>
    <w:rsid w:val="000E6E00"/>
    <w:rsid w:val="000E6F79"/>
    <w:rsid w:val="000E7349"/>
    <w:rsid w:val="000E7406"/>
    <w:rsid w:val="000E7949"/>
    <w:rsid w:val="000E7CCE"/>
    <w:rsid w:val="000F03A1"/>
    <w:rsid w:val="000F0466"/>
    <w:rsid w:val="000F0542"/>
    <w:rsid w:val="000F1006"/>
    <w:rsid w:val="000F13E2"/>
    <w:rsid w:val="000F1C97"/>
    <w:rsid w:val="000F2016"/>
    <w:rsid w:val="000F21D0"/>
    <w:rsid w:val="000F21F4"/>
    <w:rsid w:val="000F2A5C"/>
    <w:rsid w:val="000F2D62"/>
    <w:rsid w:val="000F2F5E"/>
    <w:rsid w:val="000F301C"/>
    <w:rsid w:val="000F375B"/>
    <w:rsid w:val="000F38A2"/>
    <w:rsid w:val="000F3AB4"/>
    <w:rsid w:val="000F3F8B"/>
    <w:rsid w:val="000F4004"/>
    <w:rsid w:val="000F4640"/>
    <w:rsid w:val="000F464E"/>
    <w:rsid w:val="000F4E3F"/>
    <w:rsid w:val="000F54B7"/>
    <w:rsid w:val="000F57EF"/>
    <w:rsid w:val="000F59A8"/>
    <w:rsid w:val="000F5AF6"/>
    <w:rsid w:val="000F5B95"/>
    <w:rsid w:val="000F5BC3"/>
    <w:rsid w:val="000F5E1C"/>
    <w:rsid w:val="000F5F37"/>
    <w:rsid w:val="000F613A"/>
    <w:rsid w:val="000F6274"/>
    <w:rsid w:val="000F6968"/>
    <w:rsid w:val="000F6C9B"/>
    <w:rsid w:val="000F6E9B"/>
    <w:rsid w:val="000F7249"/>
    <w:rsid w:val="000F7B60"/>
    <w:rsid w:val="000F7D81"/>
    <w:rsid w:val="000F7F49"/>
    <w:rsid w:val="00100554"/>
    <w:rsid w:val="00100A87"/>
    <w:rsid w:val="001013B8"/>
    <w:rsid w:val="00101917"/>
    <w:rsid w:val="00101A61"/>
    <w:rsid w:val="001021D0"/>
    <w:rsid w:val="0010234C"/>
    <w:rsid w:val="001026C2"/>
    <w:rsid w:val="0010273E"/>
    <w:rsid w:val="00102810"/>
    <w:rsid w:val="00102BDD"/>
    <w:rsid w:val="00102C64"/>
    <w:rsid w:val="00102DBF"/>
    <w:rsid w:val="00103535"/>
    <w:rsid w:val="00103C0F"/>
    <w:rsid w:val="00103D67"/>
    <w:rsid w:val="00103E6D"/>
    <w:rsid w:val="00104A91"/>
    <w:rsid w:val="00104CCB"/>
    <w:rsid w:val="00104F86"/>
    <w:rsid w:val="00105395"/>
    <w:rsid w:val="00105DCD"/>
    <w:rsid w:val="001060AA"/>
    <w:rsid w:val="00106D5A"/>
    <w:rsid w:val="00106DF5"/>
    <w:rsid w:val="0010739B"/>
    <w:rsid w:val="00107E3C"/>
    <w:rsid w:val="00107F7B"/>
    <w:rsid w:val="00110294"/>
    <w:rsid w:val="00110708"/>
    <w:rsid w:val="00110C63"/>
    <w:rsid w:val="00110D2F"/>
    <w:rsid w:val="001113B7"/>
    <w:rsid w:val="00111600"/>
    <w:rsid w:val="00111699"/>
    <w:rsid w:val="001118A6"/>
    <w:rsid w:val="00111CA5"/>
    <w:rsid w:val="00112159"/>
    <w:rsid w:val="00112A1D"/>
    <w:rsid w:val="00112E33"/>
    <w:rsid w:val="00113020"/>
    <w:rsid w:val="00113751"/>
    <w:rsid w:val="001139C7"/>
    <w:rsid w:val="00113DCD"/>
    <w:rsid w:val="001145BB"/>
    <w:rsid w:val="001146A8"/>
    <w:rsid w:val="00114778"/>
    <w:rsid w:val="001149A1"/>
    <w:rsid w:val="00115326"/>
    <w:rsid w:val="00116D75"/>
    <w:rsid w:val="0011726F"/>
    <w:rsid w:val="001178BF"/>
    <w:rsid w:val="00117BBF"/>
    <w:rsid w:val="00117F69"/>
    <w:rsid w:val="0012083D"/>
    <w:rsid w:val="001213D9"/>
    <w:rsid w:val="0012161E"/>
    <w:rsid w:val="001216CE"/>
    <w:rsid w:val="00121975"/>
    <w:rsid w:val="0012259D"/>
    <w:rsid w:val="00122913"/>
    <w:rsid w:val="00122AE7"/>
    <w:rsid w:val="00123FD7"/>
    <w:rsid w:val="001240A0"/>
    <w:rsid w:val="00124184"/>
    <w:rsid w:val="00124316"/>
    <w:rsid w:val="00124691"/>
    <w:rsid w:val="00124D08"/>
    <w:rsid w:val="00124EF4"/>
    <w:rsid w:val="0012504D"/>
    <w:rsid w:val="001254A3"/>
    <w:rsid w:val="00125714"/>
    <w:rsid w:val="00125793"/>
    <w:rsid w:val="0012587B"/>
    <w:rsid w:val="00125B2F"/>
    <w:rsid w:val="00125C81"/>
    <w:rsid w:val="00125E58"/>
    <w:rsid w:val="00125E8B"/>
    <w:rsid w:val="00126010"/>
    <w:rsid w:val="00126044"/>
    <w:rsid w:val="00126257"/>
    <w:rsid w:val="001263C8"/>
    <w:rsid w:val="001265D5"/>
    <w:rsid w:val="00126A4A"/>
    <w:rsid w:val="00126B26"/>
    <w:rsid w:val="00127263"/>
    <w:rsid w:val="0012729E"/>
    <w:rsid w:val="001276F4"/>
    <w:rsid w:val="0012781B"/>
    <w:rsid w:val="0012782F"/>
    <w:rsid w:val="001278B4"/>
    <w:rsid w:val="00127A41"/>
    <w:rsid w:val="00127DA2"/>
    <w:rsid w:val="00127F36"/>
    <w:rsid w:val="00130312"/>
    <w:rsid w:val="001305FF"/>
    <w:rsid w:val="001307E5"/>
    <w:rsid w:val="001311D1"/>
    <w:rsid w:val="001314F7"/>
    <w:rsid w:val="001318CB"/>
    <w:rsid w:val="00131BBD"/>
    <w:rsid w:val="00131F5B"/>
    <w:rsid w:val="00132285"/>
    <w:rsid w:val="001325E5"/>
    <w:rsid w:val="001329DC"/>
    <w:rsid w:val="001329F3"/>
    <w:rsid w:val="00132BE3"/>
    <w:rsid w:val="00132C21"/>
    <w:rsid w:val="00132F30"/>
    <w:rsid w:val="001330B2"/>
    <w:rsid w:val="001330C4"/>
    <w:rsid w:val="00133550"/>
    <w:rsid w:val="00133757"/>
    <w:rsid w:val="00133F24"/>
    <w:rsid w:val="00133FBF"/>
    <w:rsid w:val="00134035"/>
    <w:rsid w:val="0013496A"/>
    <w:rsid w:val="00135364"/>
    <w:rsid w:val="0013556B"/>
    <w:rsid w:val="00135590"/>
    <w:rsid w:val="00135A9D"/>
    <w:rsid w:val="0013656E"/>
    <w:rsid w:val="001368AD"/>
    <w:rsid w:val="001368DF"/>
    <w:rsid w:val="00137893"/>
    <w:rsid w:val="00137C84"/>
    <w:rsid w:val="00137DD7"/>
    <w:rsid w:val="00140754"/>
    <w:rsid w:val="00140FE3"/>
    <w:rsid w:val="00141107"/>
    <w:rsid w:val="0014114F"/>
    <w:rsid w:val="001416A2"/>
    <w:rsid w:val="00141A2E"/>
    <w:rsid w:val="00141CC1"/>
    <w:rsid w:val="00141EE2"/>
    <w:rsid w:val="001420B9"/>
    <w:rsid w:val="0014217F"/>
    <w:rsid w:val="001423D6"/>
    <w:rsid w:val="0014249F"/>
    <w:rsid w:val="001425E7"/>
    <w:rsid w:val="00142603"/>
    <w:rsid w:val="00142FD8"/>
    <w:rsid w:val="00143109"/>
    <w:rsid w:val="001435B7"/>
    <w:rsid w:val="00143EB9"/>
    <w:rsid w:val="00144403"/>
    <w:rsid w:val="00144A76"/>
    <w:rsid w:val="00145092"/>
    <w:rsid w:val="00145BCD"/>
    <w:rsid w:val="00145E89"/>
    <w:rsid w:val="00146104"/>
    <w:rsid w:val="0014662E"/>
    <w:rsid w:val="001468C4"/>
    <w:rsid w:val="001471B4"/>
    <w:rsid w:val="0014720B"/>
    <w:rsid w:val="001477E4"/>
    <w:rsid w:val="001478CE"/>
    <w:rsid w:val="00147BB1"/>
    <w:rsid w:val="00147D77"/>
    <w:rsid w:val="00147D94"/>
    <w:rsid w:val="00150190"/>
    <w:rsid w:val="00150247"/>
    <w:rsid w:val="001506EA"/>
    <w:rsid w:val="00150880"/>
    <w:rsid w:val="00150FC6"/>
    <w:rsid w:val="001515E7"/>
    <w:rsid w:val="001518CA"/>
    <w:rsid w:val="0015248F"/>
    <w:rsid w:val="001530E5"/>
    <w:rsid w:val="001530EB"/>
    <w:rsid w:val="0015325B"/>
    <w:rsid w:val="0015395E"/>
    <w:rsid w:val="00153AE3"/>
    <w:rsid w:val="00153B38"/>
    <w:rsid w:val="0015409F"/>
    <w:rsid w:val="00154180"/>
    <w:rsid w:val="00154693"/>
    <w:rsid w:val="00154CD8"/>
    <w:rsid w:val="00155049"/>
    <w:rsid w:val="001553CA"/>
    <w:rsid w:val="0015557E"/>
    <w:rsid w:val="001558E7"/>
    <w:rsid w:val="00155D80"/>
    <w:rsid w:val="00155FBB"/>
    <w:rsid w:val="00156350"/>
    <w:rsid w:val="00156638"/>
    <w:rsid w:val="00156690"/>
    <w:rsid w:val="00156D3F"/>
    <w:rsid w:val="00157953"/>
    <w:rsid w:val="00157D6C"/>
    <w:rsid w:val="00160814"/>
    <w:rsid w:val="00160965"/>
    <w:rsid w:val="00160B94"/>
    <w:rsid w:val="00160CF5"/>
    <w:rsid w:val="0016136D"/>
    <w:rsid w:val="001617C7"/>
    <w:rsid w:val="00161D63"/>
    <w:rsid w:val="00161F87"/>
    <w:rsid w:val="00162444"/>
    <w:rsid w:val="001624D4"/>
    <w:rsid w:val="00162504"/>
    <w:rsid w:val="001625A7"/>
    <w:rsid w:val="001625C9"/>
    <w:rsid w:val="00162B5D"/>
    <w:rsid w:val="001630FF"/>
    <w:rsid w:val="0016364F"/>
    <w:rsid w:val="0016385B"/>
    <w:rsid w:val="0016397E"/>
    <w:rsid w:val="00163CCD"/>
    <w:rsid w:val="00163CEA"/>
    <w:rsid w:val="00163D29"/>
    <w:rsid w:val="0016453A"/>
    <w:rsid w:val="00164912"/>
    <w:rsid w:val="00164E8B"/>
    <w:rsid w:val="0016536D"/>
    <w:rsid w:val="0016580E"/>
    <w:rsid w:val="00165D34"/>
    <w:rsid w:val="0016643C"/>
    <w:rsid w:val="0016684B"/>
    <w:rsid w:val="0016697B"/>
    <w:rsid w:val="00166C49"/>
    <w:rsid w:val="00166D92"/>
    <w:rsid w:val="00167040"/>
    <w:rsid w:val="0016705B"/>
    <w:rsid w:val="001673BA"/>
    <w:rsid w:val="001709CC"/>
    <w:rsid w:val="00170B70"/>
    <w:rsid w:val="00170F62"/>
    <w:rsid w:val="001711B0"/>
    <w:rsid w:val="001711C1"/>
    <w:rsid w:val="001716A8"/>
    <w:rsid w:val="001716E5"/>
    <w:rsid w:val="00171B40"/>
    <w:rsid w:val="0017204E"/>
    <w:rsid w:val="0017244C"/>
    <w:rsid w:val="001726CE"/>
    <w:rsid w:val="0017278D"/>
    <w:rsid w:val="00172FAA"/>
    <w:rsid w:val="001736A1"/>
    <w:rsid w:val="001737B5"/>
    <w:rsid w:val="0017389C"/>
    <w:rsid w:val="001745DD"/>
    <w:rsid w:val="00175954"/>
    <w:rsid w:val="00175CA1"/>
    <w:rsid w:val="00175D78"/>
    <w:rsid w:val="00175DBB"/>
    <w:rsid w:val="001761DB"/>
    <w:rsid w:val="00176D61"/>
    <w:rsid w:val="00176F6C"/>
    <w:rsid w:val="00177713"/>
    <w:rsid w:val="00177E78"/>
    <w:rsid w:val="00180149"/>
    <w:rsid w:val="00180164"/>
    <w:rsid w:val="00180ECF"/>
    <w:rsid w:val="00181004"/>
    <w:rsid w:val="00181A05"/>
    <w:rsid w:val="00181BF3"/>
    <w:rsid w:val="00181FC8"/>
    <w:rsid w:val="001822D9"/>
    <w:rsid w:val="00182310"/>
    <w:rsid w:val="00182701"/>
    <w:rsid w:val="0018407C"/>
    <w:rsid w:val="0018454E"/>
    <w:rsid w:val="00184A1C"/>
    <w:rsid w:val="00184BE7"/>
    <w:rsid w:val="00184EAB"/>
    <w:rsid w:val="00185094"/>
    <w:rsid w:val="00185B0B"/>
    <w:rsid w:val="00185C54"/>
    <w:rsid w:val="0018625F"/>
    <w:rsid w:val="001865CC"/>
    <w:rsid w:val="00186705"/>
    <w:rsid w:val="0018678B"/>
    <w:rsid w:val="00186DE5"/>
    <w:rsid w:val="001879E8"/>
    <w:rsid w:val="00187E8B"/>
    <w:rsid w:val="001900BB"/>
    <w:rsid w:val="001901CF"/>
    <w:rsid w:val="001911A3"/>
    <w:rsid w:val="00191CC2"/>
    <w:rsid w:val="00191E27"/>
    <w:rsid w:val="0019205E"/>
    <w:rsid w:val="00192452"/>
    <w:rsid w:val="00192A61"/>
    <w:rsid w:val="00192AD5"/>
    <w:rsid w:val="00192DAB"/>
    <w:rsid w:val="00193026"/>
    <w:rsid w:val="0019318E"/>
    <w:rsid w:val="001936FC"/>
    <w:rsid w:val="00193889"/>
    <w:rsid w:val="0019391A"/>
    <w:rsid w:val="00193CD4"/>
    <w:rsid w:val="00193DEC"/>
    <w:rsid w:val="001940BA"/>
    <w:rsid w:val="001941C3"/>
    <w:rsid w:val="00194EAA"/>
    <w:rsid w:val="00195416"/>
    <w:rsid w:val="00195512"/>
    <w:rsid w:val="00195607"/>
    <w:rsid w:val="00195662"/>
    <w:rsid w:val="00195A47"/>
    <w:rsid w:val="001963EC"/>
    <w:rsid w:val="0019682E"/>
    <w:rsid w:val="00196BCE"/>
    <w:rsid w:val="00196C45"/>
    <w:rsid w:val="00196D60"/>
    <w:rsid w:val="00196F55"/>
    <w:rsid w:val="00197A30"/>
    <w:rsid w:val="00197CBD"/>
    <w:rsid w:val="00197CD8"/>
    <w:rsid w:val="00197D37"/>
    <w:rsid w:val="001A0536"/>
    <w:rsid w:val="001A08DE"/>
    <w:rsid w:val="001A0BC2"/>
    <w:rsid w:val="001A0D9B"/>
    <w:rsid w:val="001A1674"/>
    <w:rsid w:val="001A18EF"/>
    <w:rsid w:val="001A191D"/>
    <w:rsid w:val="001A1AF8"/>
    <w:rsid w:val="001A1EC3"/>
    <w:rsid w:val="001A25FA"/>
    <w:rsid w:val="001A285E"/>
    <w:rsid w:val="001A33B4"/>
    <w:rsid w:val="001A3C39"/>
    <w:rsid w:val="001A3C85"/>
    <w:rsid w:val="001A3CAC"/>
    <w:rsid w:val="001A4355"/>
    <w:rsid w:val="001A43A6"/>
    <w:rsid w:val="001A47E3"/>
    <w:rsid w:val="001A4931"/>
    <w:rsid w:val="001A4A74"/>
    <w:rsid w:val="001A4EC1"/>
    <w:rsid w:val="001A4FD3"/>
    <w:rsid w:val="001A51B8"/>
    <w:rsid w:val="001A55E1"/>
    <w:rsid w:val="001A567F"/>
    <w:rsid w:val="001A5AA0"/>
    <w:rsid w:val="001A5FE8"/>
    <w:rsid w:val="001A62EC"/>
    <w:rsid w:val="001A65D3"/>
    <w:rsid w:val="001A6A5B"/>
    <w:rsid w:val="001A6BC4"/>
    <w:rsid w:val="001A6BEF"/>
    <w:rsid w:val="001A6FAE"/>
    <w:rsid w:val="001A7153"/>
    <w:rsid w:val="001A7306"/>
    <w:rsid w:val="001A7504"/>
    <w:rsid w:val="001A7584"/>
    <w:rsid w:val="001A7DC7"/>
    <w:rsid w:val="001B0123"/>
    <w:rsid w:val="001B0286"/>
    <w:rsid w:val="001B0559"/>
    <w:rsid w:val="001B0A32"/>
    <w:rsid w:val="001B0BB4"/>
    <w:rsid w:val="001B106C"/>
    <w:rsid w:val="001B12F2"/>
    <w:rsid w:val="001B1608"/>
    <w:rsid w:val="001B173D"/>
    <w:rsid w:val="001B1D24"/>
    <w:rsid w:val="001B24DD"/>
    <w:rsid w:val="001B2F2C"/>
    <w:rsid w:val="001B315E"/>
    <w:rsid w:val="001B433D"/>
    <w:rsid w:val="001B4AB1"/>
    <w:rsid w:val="001B4B36"/>
    <w:rsid w:val="001B4CC9"/>
    <w:rsid w:val="001B50BA"/>
    <w:rsid w:val="001B5848"/>
    <w:rsid w:val="001B5CE0"/>
    <w:rsid w:val="001B5F9D"/>
    <w:rsid w:val="001B5FBE"/>
    <w:rsid w:val="001B629A"/>
    <w:rsid w:val="001B68C1"/>
    <w:rsid w:val="001B6CA6"/>
    <w:rsid w:val="001B7037"/>
    <w:rsid w:val="001B7C64"/>
    <w:rsid w:val="001C0983"/>
    <w:rsid w:val="001C0BD5"/>
    <w:rsid w:val="001C12AD"/>
    <w:rsid w:val="001C1B09"/>
    <w:rsid w:val="001C2961"/>
    <w:rsid w:val="001C2EAF"/>
    <w:rsid w:val="001C2ECE"/>
    <w:rsid w:val="001C3751"/>
    <w:rsid w:val="001C4251"/>
    <w:rsid w:val="001C5536"/>
    <w:rsid w:val="001C569B"/>
    <w:rsid w:val="001C5840"/>
    <w:rsid w:val="001C5AAA"/>
    <w:rsid w:val="001C62BB"/>
    <w:rsid w:val="001C63C2"/>
    <w:rsid w:val="001C6970"/>
    <w:rsid w:val="001C6A21"/>
    <w:rsid w:val="001C702E"/>
    <w:rsid w:val="001C707A"/>
    <w:rsid w:val="001C712E"/>
    <w:rsid w:val="001C7AA2"/>
    <w:rsid w:val="001C7BD3"/>
    <w:rsid w:val="001C7F49"/>
    <w:rsid w:val="001D1029"/>
    <w:rsid w:val="001D10CA"/>
    <w:rsid w:val="001D1541"/>
    <w:rsid w:val="001D1ADB"/>
    <w:rsid w:val="001D202B"/>
    <w:rsid w:val="001D2863"/>
    <w:rsid w:val="001D2868"/>
    <w:rsid w:val="001D2DD6"/>
    <w:rsid w:val="001D3340"/>
    <w:rsid w:val="001D35EA"/>
    <w:rsid w:val="001D3F5B"/>
    <w:rsid w:val="001D3F83"/>
    <w:rsid w:val="001D4375"/>
    <w:rsid w:val="001D4A58"/>
    <w:rsid w:val="001D5158"/>
    <w:rsid w:val="001D534C"/>
    <w:rsid w:val="001D5A04"/>
    <w:rsid w:val="001D5F25"/>
    <w:rsid w:val="001D611D"/>
    <w:rsid w:val="001D61A8"/>
    <w:rsid w:val="001D6384"/>
    <w:rsid w:val="001D6401"/>
    <w:rsid w:val="001D6569"/>
    <w:rsid w:val="001D6FCF"/>
    <w:rsid w:val="001D71D7"/>
    <w:rsid w:val="001D7531"/>
    <w:rsid w:val="001D770B"/>
    <w:rsid w:val="001D77E2"/>
    <w:rsid w:val="001D7A86"/>
    <w:rsid w:val="001E0765"/>
    <w:rsid w:val="001E09AD"/>
    <w:rsid w:val="001E1EB0"/>
    <w:rsid w:val="001E23DA"/>
    <w:rsid w:val="001E2717"/>
    <w:rsid w:val="001E2CD6"/>
    <w:rsid w:val="001E35EE"/>
    <w:rsid w:val="001E3A45"/>
    <w:rsid w:val="001E3D36"/>
    <w:rsid w:val="001E45F0"/>
    <w:rsid w:val="001E474E"/>
    <w:rsid w:val="001E4B88"/>
    <w:rsid w:val="001E5211"/>
    <w:rsid w:val="001E54A6"/>
    <w:rsid w:val="001E5ABB"/>
    <w:rsid w:val="001E5E5E"/>
    <w:rsid w:val="001E5F0D"/>
    <w:rsid w:val="001E6195"/>
    <w:rsid w:val="001E625C"/>
    <w:rsid w:val="001E6583"/>
    <w:rsid w:val="001E6868"/>
    <w:rsid w:val="001E7136"/>
    <w:rsid w:val="001E713F"/>
    <w:rsid w:val="001E7646"/>
    <w:rsid w:val="001E7D9C"/>
    <w:rsid w:val="001F04DC"/>
    <w:rsid w:val="001F0559"/>
    <w:rsid w:val="001F0818"/>
    <w:rsid w:val="001F0BB0"/>
    <w:rsid w:val="001F0E62"/>
    <w:rsid w:val="001F11E2"/>
    <w:rsid w:val="001F152E"/>
    <w:rsid w:val="001F176D"/>
    <w:rsid w:val="001F1B41"/>
    <w:rsid w:val="001F222A"/>
    <w:rsid w:val="001F22EF"/>
    <w:rsid w:val="001F23A4"/>
    <w:rsid w:val="001F2591"/>
    <w:rsid w:val="001F2859"/>
    <w:rsid w:val="001F295A"/>
    <w:rsid w:val="001F2FB4"/>
    <w:rsid w:val="001F3A0D"/>
    <w:rsid w:val="001F3C29"/>
    <w:rsid w:val="001F4399"/>
    <w:rsid w:val="001F454F"/>
    <w:rsid w:val="001F5892"/>
    <w:rsid w:val="001F5B6D"/>
    <w:rsid w:val="001F637A"/>
    <w:rsid w:val="001F64EF"/>
    <w:rsid w:val="001F666D"/>
    <w:rsid w:val="001F69DA"/>
    <w:rsid w:val="001F70D4"/>
    <w:rsid w:val="00200C8B"/>
    <w:rsid w:val="00201F65"/>
    <w:rsid w:val="00201F88"/>
    <w:rsid w:val="0020263F"/>
    <w:rsid w:val="00202E78"/>
    <w:rsid w:val="00203FAE"/>
    <w:rsid w:val="002043D7"/>
    <w:rsid w:val="0020481C"/>
    <w:rsid w:val="00204AF3"/>
    <w:rsid w:val="00204AF6"/>
    <w:rsid w:val="00204EC4"/>
    <w:rsid w:val="00205043"/>
    <w:rsid w:val="002053C6"/>
    <w:rsid w:val="002056C3"/>
    <w:rsid w:val="00205836"/>
    <w:rsid w:val="00205A8A"/>
    <w:rsid w:val="00205E85"/>
    <w:rsid w:val="00205F75"/>
    <w:rsid w:val="00205F77"/>
    <w:rsid w:val="002070B7"/>
    <w:rsid w:val="00207210"/>
    <w:rsid w:val="00207C77"/>
    <w:rsid w:val="00207DB1"/>
    <w:rsid w:val="002100F9"/>
    <w:rsid w:val="00210FB9"/>
    <w:rsid w:val="002115BF"/>
    <w:rsid w:val="002116BA"/>
    <w:rsid w:val="00211981"/>
    <w:rsid w:val="00211B32"/>
    <w:rsid w:val="00212089"/>
    <w:rsid w:val="002123FE"/>
    <w:rsid w:val="00212B10"/>
    <w:rsid w:val="002132F7"/>
    <w:rsid w:val="002134B3"/>
    <w:rsid w:val="00213541"/>
    <w:rsid w:val="0021399E"/>
    <w:rsid w:val="002148F6"/>
    <w:rsid w:val="00214940"/>
    <w:rsid w:val="002149E9"/>
    <w:rsid w:val="00214BAD"/>
    <w:rsid w:val="00216970"/>
    <w:rsid w:val="00216BB1"/>
    <w:rsid w:val="00216C8B"/>
    <w:rsid w:val="00216C9B"/>
    <w:rsid w:val="00216D9A"/>
    <w:rsid w:val="00217003"/>
    <w:rsid w:val="0021707D"/>
    <w:rsid w:val="002171A6"/>
    <w:rsid w:val="00217AF0"/>
    <w:rsid w:val="002208AE"/>
    <w:rsid w:val="00220B15"/>
    <w:rsid w:val="00220CCB"/>
    <w:rsid w:val="00221344"/>
    <w:rsid w:val="00221452"/>
    <w:rsid w:val="00221588"/>
    <w:rsid w:val="0022192F"/>
    <w:rsid w:val="00221E19"/>
    <w:rsid w:val="002228BF"/>
    <w:rsid w:val="0022290F"/>
    <w:rsid w:val="002229D6"/>
    <w:rsid w:val="00222C71"/>
    <w:rsid w:val="00222E9D"/>
    <w:rsid w:val="00222F84"/>
    <w:rsid w:val="002236D7"/>
    <w:rsid w:val="00223A22"/>
    <w:rsid w:val="00223DA0"/>
    <w:rsid w:val="0022425B"/>
    <w:rsid w:val="00224498"/>
    <w:rsid w:val="0022466B"/>
    <w:rsid w:val="00224DAA"/>
    <w:rsid w:val="00225364"/>
    <w:rsid w:val="0022579E"/>
    <w:rsid w:val="002258FC"/>
    <w:rsid w:val="00225C13"/>
    <w:rsid w:val="00225D49"/>
    <w:rsid w:val="002263ED"/>
    <w:rsid w:val="00226548"/>
    <w:rsid w:val="002272CD"/>
    <w:rsid w:val="002273B1"/>
    <w:rsid w:val="002275B0"/>
    <w:rsid w:val="00227BC4"/>
    <w:rsid w:val="00227E3D"/>
    <w:rsid w:val="00227E79"/>
    <w:rsid w:val="00230693"/>
    <w:rsid w:val="002306B4"/>
    <w:rsid w:val="0023095A"/>
    <w:rsid w:val="00230E8E"/>
    <w:rsid w:val="00231456"/>
    <w:rsid w:val="0023160E"/>
    <w:rsid w:val="00231624"/>
    <w:rsid w:val="00232188"/>
    <w:rsid w:val="00233199"/>
    <w:rsid w:val="00233212"/>
    <w:rsid w:val="002332C7"/>
    <w:rsid w:val="00233C5C"/>
    <w:rsid w:val="00233FFD"/>
    <w:rsid w:val="0023407A"/>
    <w:rsid w:val="002341C2"/>
    <w:rsid w:val="002341DB"/>
    <w:rsid w:val="002344C8"/>
    <w:rsid w:val="0023466F"/>
    <w:rsid w:val="002347F8"/>
    <w:rsid w:val="00234817"/>
    <w:rsid w:val="002349E6"/>
    <w:rsid w:val="00234E9C"/>
    <w:rsid w:val="002354E6"/>
    <w:rsid w:val="0023559B"/>
    <w:rsid w:val="00235CE8"/>
    <w:rsid w:val="00235F6E"/>
    <w:rsid w:val="00235FED"/>
    <w:rsid w:val="00236693"/>
    <w:rsid w:val="00236A4A"/>
    <w:rsid w:val="00236CA5"/>
    <w:rsid w:val="00237417"/>
    <w:rsid w:val="00237F99"/>
    <w:rsid w:val="002407AA"/>
    <w:rsid w:val="00240E95"/>
    <w:rsid w:val="002419C7"/>
    <w:rsid w:val="002419C9"/>
    <w:rsid w:val="0024257C"/>
    <w:rsid w:val="002426CC"/>
    <w:rsid w:val="00242783"/>
    <w:rsid w:val="00243044"/>
    <w:rsid w:val="00243162"/>
    <w:rsid w:val="00243190"/>
    <w:rsid w:val="0024364C"/>
    <w:rsid w:val="0024379B"/>
    <w:rsid w:val="002439A1"/>
    <w:rsid w:val="00243EDA"/>
    <w:rsid w:val="002446A2"/>
    <w:rsid w:val="002446E2"/>
    <w:rsid w:val="00244CE1"/>
    <w:rsid w:val="002457D4"/>
    <w:rsid w:val="00245F48"/>
    <w:rsid w:val="0024642E"/>
    <w:rsid w:val="00246702"/>
    <w:rsid w:val="00246852"/>
    <w:rsid w:val="002468C8"/>
    <w:rsid w:val="00246A61"/>
    <w:rsid w:val="00246CBB"/>
    <w:rsid w:val="00246DF9"/>
    <w:rsid w:val="00246EE6"/>
    <w:rsid w:val="00247119"/>
    <w:rsid w:val="002472C6"/>
    <w:rsid w:val="002478BD"/>
    <w:rsid w:val="00247A21"/>
    <w:rsid w:val="00250729"/>
    <w:rsid w:val="00250AC0"/>
    <w:rsid w:val="00250FF7"/>
    <w:rsid w:val="002514CA"/>
    <w:rsid w:val="002524CA"/>
    <w:rsid w:val="00252586"/>
    <w:rsid w:val="0025259F"/>
    <w:rsid w:val="002529BC"/>
    <w:rsid w:val="00252AD5"/>
    <w:rsid w:val="00253903"/>
    <w:rsid w:val="00253BE5"/>
    <w:rsid w:val="002540FE"/>
    <w:rsid w:val="00254597"/>
    <w:rsid w:val="00254C74"/>
    <w:rsid w:val="00254CB0"/>
    <w:rsid w:val="00254CF5"/>
    <w:rsid w:val="0025527C"/>
    <w:rsid w:val="00255832"/>
    <w:rsid w:val="00255AC3"/>
    <w:rsid w:val="00255BAE"/>
    <w:rsid w:val="00255D48"/>
    <w:rsid w:val="00256141"/>
    <w:rsid w:val="00256711"/>
    <w:rsid w:val="00256CF7"/>
    <w:rsid w:val="00256EB1"/>
    <w:rsid w:val="00257472"/>
    <w:rsid w:val="002576B3"/>
    <w:rsid w:val="00257A46"/>
    <w:rsid w:val="00257B58"/>
    <w:rsid w:val="00257DBF"/>
    <w:rsid w:val="002600EE"/>
    <w:rsid w:val="0026021B"/>
    <w:rsid w:val="00260342"/>
    <w:rsid w:val="00260A1D"/>
    <w:rsid w:val="00260F62"/>
    <w:rsid w:val="002611CB"/>
    <w:rsid w:val="002611DA"/>
    <w:rsid w:val="002612A9"/>
    <w:rsid w:val="00261594"/>
    <w:rsid w:val="0026165D"/>
    <w:rsid w:val="00261819"/>
    <w:rsid w:val="00263504"/>
    <w:rsid w:val="0026361A"/>
    <w:rsid w:val="002636B9"/>
    <w:rsid w:val="00263E7D"/>
    <w:rsid w:val="00264928"/>
    <w:rsid w:val="002650B9"/>
    <w:rsid w:val="0026548F"/>
    <w:rsid w:val="002658C3"/>
    <w:rsid w:val="002658C4"/>
    <w:rsid w:val="00265B3D"/>
    <w:rsid w:val="00265F20"/>
    <w:rsid w:val="00265F8E"/>
    <w:rsid w:val="00265F9C"/>
    <w:rsid w:val="002660BA"/>
    <w:rsid w:val="00266320"/>
    <w:rsid w:val="002663D4"/>
    <w:rsid w:val="00266667"/>
    <w:rsid w:val="00266738"/>
    <w:rsid w:val="00266819"/>
    <w:rsid w:val="00266BBF"/>
    <w:rsid w:val="00266CEC"/>
    <w:rsid w:val="0026737F"/>
    <w:rsid w:val="0026772E"/>
    <w:rsid w:val="0026799F"/>
    <w:rsid w:val="00267BCA"/>
    <w:rsid w:val="00267FBF"/>
    <w:rsid w:val="00267FF8"/>
    <w:rsid w:val="002703FB"/>
    <w:rsid w:val="00270B85"/>
    <w:rsid w:val="00270C65"/>
    <w:rsid w:val="00270F6C"/>
    <w:rsid w:val="00271246"/>
    <w:rsid w:val="002714D4"/>
    <w:rsid w:val="00271726"/>
    <w:rsid w:val="002717CB"/>
    <w:rsid w:val="00271D1F"/>
    <w:rsid w:val="00272100"/>
    <w:rsid w:val="00272340"/>
    <w:rsid w:val="002728B0"/>
    <w:rsid w:val="00272C1D"/>
    <w:rsid w:val="00273008"/>
    <w:rsid w:val="0027306B"/>
    <w:rsid w:val="00273844"/>
    <w:rsid w:val="00273F66"/>
    <w:rsid w:val="0027415F"/>
    <w:rsid w:val="00274B02"/>
    <w:rsid w:val="0027569E"/>
    <w:rsid w:val="0027572F"/>
    <w:rsid w:val="00275A66"/>
    <w:rsid w:val="002765C1"/>
    <w:rsid w:val="002767FA"/>
    <w:rsid w:val="002769EF"/>
    <w:rsid w:val="00276A68"/>
    <w:rsid w:val="00277E8E"/>
    <w:rsid w:val="002808AD"/>
    <w:rsid w:val="00280AE7"/>
    <w:rsid w:val="00280DAD"/>
    <w:rsid w:val="00280F57"/>
    <w:rsid w:val="00281437"/>
    <w:rsid w:val="002817EE"/>
    <w:rsid w:val="00281BAE"/>
    <w:rsid w:val="0028219D"/>
    <w:rsid w:val="00282264"/>
    <w:rsid w:val="002822CE"/>
    <w:rsid w:val="00282761"/>
    <w:rsid w:val="00282844"/>
    <w:rsid w:val="002829D2"/>
    <w:rsid w:val="00282AF4"/>
    <w:rsid w:val="00283467"/>
    <w:rsid w:val="00283654"/>
    <w:rsid w:val="0028390A"/>
    <w:rsid w:val="00283F8C"/>
    <w:rsid w:val="002849E5"/>
    <w:rsid w:val="00284C7C"/>
    <w:rsid w:val="00284D67"/>
    <w:rsid w:val="00285340"/>
    <w:rsid w:val="0028599B"/>
    <w:rsid w:val="00285C87"/>
    <w:rsid w:val="0028629A"/>
    <w:rsid w:val="00286853"/>
    <w:rsid w:val="00286D8B"/>
    <w:rsid w:val="00286F47"/>
    <w:rsid w:val="002874A0"/>
    <w:rsid w:val="002874E7"/>
    <w:rsid w:val="002878ED"/>
    <w:rsid w:val="00287B6B"/>
    <w:rsid w:val="00287E2F"/>
    <w:rsid w:val="002903F6"/>
    <w:rsid w:val="00290519"/>
    <w:rsid w:val="00290926"/>
    <w:rsid w:val="00290C36"/>
    <w:rsid w:val="00290D70"/>
    <w:rsid w:val="00290D7E"/>
    <w:rsid w:val="00291214"/>
    <w:rsid w:val="00291862"/>
    <w:rsid w:val="00291A39"/>
    <w:rsid w:val="00292053"/>
    <w:rsid w:val="0029215B"/>
    <w:rsid w:val="00292467"/>
    <w:rsid w:val="00292784"/>
    <w:rsid w:val="00292A73"/>
    <w:rsid w:val="00292A7A"/>
    <w:rsid w:val="0029334E"/>
    <w:rsid w:val="00293799"/>
    <w:rsid w:val="002943AC"/>
    <w:rsid w:val="0029442B"/>
    <w:rsid w:val="00295079"/>
    <w:rsid w:val="00295367"/>
    <w:rsid w:val="00295C59"/>
    <w:rsid w:val="00295C8B"/>
    <w:rsid w:val="00296212"/>
    <w:rsid w:val="002962F3"/>
    <w:rsid w:val="00296F41"/>
    <w:rsid w:val="002978E1"/>
    <w:rsid w:val="002A0235"/>
    <w:rsid w:val="002A03ED"/>
    <w:rsid w:val="002A0608"/>
    <w:rsid w:val="002A0745"/>
    <w:rsid w:val="002A0C50"/>
    <w:rsid w:val="002A0C9B"/>
    <w:rsid w:val="002A0CE6"/>
    <w:rsid w:val="002A0FD1"/>
    <w:rsid w:val="002A1474"/>
    <w:rsid w:val="002A15F9"/>
    <w:rsid w:val="002A1977"/>
    <w:rsid w:val="002A226E"/>
    <w:rsid w:val="002A232E"/>
    <w:rsid w:val="002A2435"/>
    <w:rsid w:val="002A25D4"/>
    <w:rsid w:val="002A265C"/>
    <w:rsid w:val="002A2B9A"/>
    <w:rsid w:val="002A2DC4"/>
    <w:rsid w:val="002A3020"/>
    <w:rsid w:val="002A3D49"/>
    <w:rsid w:val="002A3DFD"/>
    <w:rsid w:val="002A4345"/>
    <w:rsid w:val="002A4404"/>
    <w:rsid w:val="002A4923"/>
    <w:rsid w:val="002A4CD8"/>
    <w:rsid w:val="002A4EB7"/>
    <w:rsid w:val="002A5058"/>
    <w:rsid w:val="002A50B0"/>
    <w:rsid w:val="002A57CB"/>
    <w:rsid w:val="002A5811"/>
    <w:rsid w:val="002A58D9"/>
    <w:rsid w:val="002A5FA9"/>
    <w:rsid w:val="002A6378"/>
    <w:rsid w:val="002A67CC"/>
    <w:rsid w:val="002A683C"/>
    <w:rsid w:val="002A6F31"/>
    <w:rsid w:val="002A73D6"/>
    <w:rsid w:val="002A7456"/>
    <w:rsid w:val="002A7D70"/>
    <w:rsid w:val="002A7E4B"/>
    <w:rsid w:val="002A7F15"/>
    <w:rsid w:val="002B0148"/>
    <w:rsid w:val="002B0704"/>
    <w:rsid w:val="002B10B4"/>
    <w:rsid w:val="002B1344"/>
    <w:rsid w:val="002B1C10"/>
    <w:rsid w:val="002B2077"/>
    <w:rsid w:val="002B20BF"/>
    <w:rsid w:val="002B2185"/>
    <w:rsid w:val="002B2E36"/>
    <w:rsid w:val="002B3C54"/>
    <w:rsid w:val="002B3CEB"/>
    <w:rsid w:val="002B46FB"/>
    <w:rsid w:val="002B48C0"/>
    <w:rsid w:val="002B5668"/>
    <w:rsid w:val="002B5797"/>
    <w:rsid w:val="002B5D5F"/>
    <w:rsid w:val="002B5DEE"/>
    <w:rsid w:val="002B60FA"/>
    <w:rsid w:val="002B6233"/>
    <w:rsid w:val="002B664A"/>
    <w:rsid w:val="002B6678"/>
    <w:rsid w:val="002B66B2"/>
    <w:rsid w:val="002B69BB"/>
    <w:rsid w:val="002B6AA8"/>
    <w:rsid w:val="002B6E59"/>
    <w:rsid w:val="002B77AB"/>
    <w:rsid w:val="002B78E5"/>
    <w:rsid w:val="002B7CE3"/>
    <w:rsid w:val="002B7D02"/>
    <w:rsid w:val="002B7FD8"/>
    <w:rsid w:val="002C060B"/>
    <w:rsid w:val="002C0695"/>
    <w:rsid w:val="002C1616"/>
    <w:rsid w:val="002C1A51"/>
    <w:rsid w:val="002C1A7D"/>
    <w:rsid w:val="002C1F64"/>
    <w:rsid w:val="002C2280"/>
    <w:rsid w:val="002C26C2"/>
    <w:rsid w:val="002C31A1"/>
    <w:rsid w:val="002C3547"/>
    <w:rsid w:val="002C39CC"/>
    <w:rsid w:val="002C3C57"/>
    <w:rsid w:val="002C3E79"/>
    <w:rsid w:val="002C3F6B"/>
    <w:rsid w:val="002C3FD9"/>
    <w:rsid w:val="002C4169"/>
    <w:rsid w:val="002C4378"/>
    <w:rsid w:val="002C48B2"/>
    <w:rsid w:val="002C4E8A"/>
    <w:rsid w:val="002C533D"/>
    <w:rsid w:val="002C5677"/>
    <w:rsid w:val="002C58ED"/>
    <w:rsid w:val="002C634D"/>
    <w:rsid w:val="002C653D"/>
    <w:rsid w:val="002C69D2"/>
    <w:rsid w:val="002C6A42"/>
    <w:rsid w:val="002C6EE4"/>
    <w:rsid w:val="002C7244"/>
    <w:rsid w:val="002C7DE1"/>
    <w:rsid w:val="002D08CF"/>
    <w:rsid w:val="002D0A39"/>
    <w:rsid w:val="002D106B"/>
    <w:rsid w:val="002D14A6"/>
    <w:rsid w:val="002D1700"/>
    <w:rsid w:val="002D2140"/>
    <w:rsid w:val="002D2232"/>
    <w:rsid w:val="002D23B5"/>
    <w:rsid w:val="002D23EE"/>
    <w:rsid w:val="002D2D3C"/>
    <w:rsid w:val="002D3A58"/>
    <w:rsid w:val="002D3AFF"/>
    <w:rsid w:val="002D3F4E"/>
    <w:rsid w:val="002D40F1"/>
    <w:rsid w:val="002D4514"/>
    <w:rsid w:val="002D4691"/>
    <w:rsid w:val="002D49E1"/>
    <w:rsid w:val="002D581B"/>
    <w:rsid w:val="002D5C5F"/>
    <w:rsid w:val="002D5EB2"/>
    <w:rsid w:val="002D5F84"/>
    <w:rsid w:val="002D6489"/>
    <w:rsid w:val="002D70CA"/>
    <w:rsid w:val="002D735C"/>
    <w:rsid w:val="002D79CD"/>
    <w:rsid w:val="002D7D2C"/>
    <w:rsid w:val="002D7EA9"/>
    <w:rsid w:val="002D7EEA"/>
    <w:rsid w:val="002D7F2E"/>
    <w:rsid w:val="002D7F6B"/>
    <w:rsid w:val="002E0195"/>
    <w:rsid w:val="002E0FE9"/>
    <w:rsid w:val="002E14A0"/>
    <w:rsid w:val="002E18BA"/>
    <w:rsid w:val="002E1944"/>
    <w:rsid w:val="002E1D48"/>
    <w:rsid w:val="002E272D"/>
    <w:rsid w:val="002E29E2"/>
    <w:rsid w:val="002E2E36"/>
    <w:rsid w:val="002E2FFA"/>
    <w:rsid w:val="002E3278"/>
    <w:rsid w:val="002E356B"/>
    <w:rsid w:val="002E3674"/>
    <w:rsid w:val="002E37E3"/>
    <w:rsid w:val="002E3CE8"/>
    <w:rsid w:val="002E4689"/>
    <w:rsid w:val="002E4C7D"/>
    <w:rsid w:val="002E662F"/>
    <w:rsid w:val="002E6D89"/>
    <w:rsid w:val="002E6FFC"/>
    <w:rsid w:val="002E7084"/>
    <w:rsid w:val="002E77A3"/>
    <w:rsid w:val="002E799E"/>
    <w:rsid w:val="002E7EDE"/>
    <w:rsid w:val="002F00FE"/>
    <w:rsid w:val="002F07ED"/>
    <w:rsid w:val="002F0FBF"/>
    <w:rsid w:val="002F1211"/>
    <w:rsid w:val="002F1CC9"/>
    <w:rsid w:val="002F22FC"/>
    <w:rsid w:val="002F29E0"/>
    <w:rsid w:val="002F2BB2"/>
    <w:rsid w:val="002F2ED4"/>
    <w:rsid w:val="002F2F78"/>
    <w:rsid w:val="002F2FD4"/>
    <w:rsid w:val="002F30C4"/>
    <w:rsid w:val="002F34EE"/>
    <w:rsid w:val="002F3520"/>
    <w:rsid w:val="002F3DF6"/>
    <w:rsid w:val="002F43EA"/>
    <w:rsid w:val="002F446B"/>
    <w:rsid w:val="002F512B"/>
    <w:rsid w:val="002F515F"/>
    <w:rsid w:val="002F521E"/>
    <w:rsid w:val="002F5532"/>
    <w:rsid w:val="002F5BC5"/>
    <w:rsid w:val="002F5E78"/>
    <w:rsid w:val="002F649E"/>
    <w:rsid w:val="002F6B6A"/>
    <w:rsid w:val="002F7575"/>
    <w:rsid w:val="002F76AC"/>
    <w:rsid w:val="002F76CC"/>
    <w:rsid w:val="002F78CA"/>
    <w:rsid w:val="002F791A"/>
    <w:rsid w:val="002F7B4A"/>
    <w:rsid w:val="0030011F"/>
    <w:rsid w:val="0030052E"/>
    <w:rsid w:val="003009C9"/>
    <w:rsid w:val="00300F43"/>
    <w:rsid w:val="003012E2"/>
    <w:rsid w:val="003015FD"/>
    <w:rsid w:val="0030188C"/>
    <w:rsid w:val="00301DAE"/>
    <w:rsid w:val="00301F4A"/>
    <w:rsid w:val="00302493"/>
    <w:rsid w:val="00302ADC"/>
    <w:rsid w:val="00302CF1"/>
    <w:rsid w:val="00303380"/>
    <w:rsid w:val="003036D5"/>
    <w:rsid w:val="00303B14"/>
    <w:rsid w:val="00303F06"/>
    <w:rsid w:val="00303F14"/>
    <w:rsid w:val="00304137"/>
    <w:rsid w:val="0030422A"/>
    <w:rsid w:val="003047A5"/>
    <w:rsid w:val="003049CF"/>
    <w:rsid w:val="00304A1F"/>
    <w:rsid w:val="00304A95"/>
    <w:rsid w:val="00304F2E"/>
    <w:rsid w:val="0030562A"/>
    <w:rsid w:val="003058D9"/>
    <w:rsid w:val="00305EC4"/>
    <w:rsid w:val="003069F4"/>
    <w:rsid w:val="00307598"/>
    <w:rsid w:val="0030791D"/>
    <w:rsid w:val="00307FE0"/>
    <w:rsid w:val="00310582"/>
    <w:rsid w:val="0031064D"/>
    <w:rsid w:val="00310734"/>
    <w:rsid w:val="00310807"/>
    <w:rsid w:val="00311449"/>
    <w:rsid w:val="0031147E"/>
    <w:rsid w:val="003119C5"/>
    <w:rsid w:val="00311A96"/>
    <w:rsid w:val="00311ADB"/>
    <w:rsid w:val="00311E4D"/>
    <w:rsid w:val="003123CA"/>
    <w:rsid w:val="00312BC3"/>
    <w:rsid w:val="00312D68"/>
    <w:rsid w:val="00312E54"/>
    <w:rsid w:val="00312F1E"/>
    <w:rsid w:val="0031330B"/>
    <w:rsid w:val="0031351C"/>
    <w:rsid w:val="0031374B"/>
    <w:rsid w:val="003137BA"/>
    <w:rsid w:val="0031387F"/>
    <w:rsid w:val="00313E13"/>
    <w:rsid w:val="003142FC"/>
    <w:rsid w:val="0031468E"/>
    <w:rsid w:val="003147B4"/>
    <w:rsid w:val="0031557F"/>
    <w:rsid w:val="0031586D"/>
    <w:rsid w:val="00315B3F"/>
    <w:rsid w:val="00315E34"/>
    <w:rsid w:val="00316064"/>
    <w:rsid w:val="0031607B"/>
    <w:rsid w:val="003160E0"/>
    <w:rsid w:val="0031658C"/>
    <w:rsid w:val="003166FD"/>
    <w:rsid w:val="00316CF3"/>
    <w:rsid w:val="00316D5F"/>
    <w:rsid w:val="00316D94"/>
    <w:rsid w:val="00317021"/>
    <w:rsid w:val="00317542"/>
    <w:rsid w:val="00317547"/>
    <w:rsid w:val="00317FF8"/>
    <w:rsid w:val="003202E9"/>
    <w:rsid w:val="0032069F"/>
    <w:rsid w:val="00320B14"/>
    <w:rsid w:val="00320BC5"/>
    <w:rsid w:val="00321050"/>
    <w:rsid w:val="003217A4"/>
    <w:rsid w:val="0032190F"/>
    <w:rsid w:val="003222E8"/>
    <w:rsid w:val="0032231C"/>
    <w:rsid w:val="0032232B"/>
    <w:rsid w:val="00322491"/>
    <w:rsid w:val="00322797"/>
    <w:rsid w:val="003227CC"/>
    <w:rsid w:val="00323854"/>
    <w:rsid w:val="00323AF1"/>
    <w:rsid w:val="00323C31"/>
    <w:rsid w:val="00323C96"/>
    <w:rsid w:val="00324540"/>
    <w:rsid w:val="00324AAB"/>
    <w:rsid w:val="0032529A"/>
    <w:rsid w:val="00325B5B"/>
    <w:rsid w:val="003264B9"/>
    <w:rsid w:val="003270DA"/>
    <w:rsid w:val="003274E7"/>
    <w:rsid w:val="0032778E"/>
    <w:rsid w:val="00327D81"/>
    <w:rsid w:val="0033049C"/>
    <w:rsid w:val="00330E37"/>
    <w:rsid w:val="003310B1"/>
    <w:rsid w:val="0033120B"/>
    <w:rsid w:val="0033149F"/>
    <w:rsid w:val="003317E4"/>
    <w:rsid w:val="00331BA5"/>
    <w:rsid w:val="00332DF1"/>
    <w:rsid w:val="0033383F"/>
    <w:rsid w:val="0033389D"/>
    <w:rsid w:val="00333B96"/>
    <w:rsid w:val="00333CBA"/>
    <w:rsid w:val="00333FF8"/>
    <w:rsid w:val="00334A79"/>
    <w:rsid w:val="00334B5A"/>
    <w:rsid w:val="00335A6E"/>
    <w:rsid w:val="0033675D"/>
    <w:rsid w:val="00337CDA"/>
    <w:rsid w:val="00337D99"/>
    <w:rsid w:val="00340102"/>
    <w:rsid w:val="0034065F"/>
    <w:rsid w:val="003408D8"/>
    <w:rsid w:val="00340963"/>
    <w:rsid w:val="00340F54"/>
    <w:rsid w:val="003414B4"/>
    <w:rsid w:val="0034283B"/>
    <w:rsid w:val="00342920"/>
    <w:rsid w:val="00343957"/>
    <w:rsid w:val="00343BDF"/>
    <w:rsid w:val="00343DCD"/>
    <w:rsid w:val="003443F4"/>
    <w:rsid w:val="003445B8"/>
    <w:rsid w:val="003446BA"/>
    <w:rsid w:val="00344F70"/>
    <w:rsid w:val="003451EC"/>
    <w:rsid w:val="00345278"/>
    <w:rsid w:val="003452D1"/>
    <w:rsid w:val="003455E1"/>
    <w:rsid w:val="00345ED6"/>
    <w:rsid w:val="00346160"/>
    <w:rsid w:val="0034618E"/>
    <w:rsid w:val="0034654F"/>
    <w:rsid w:val="003466F5"/>
    <w:rsid w:val="0034686F"/>
    <w:rsid w:val="003468F4"/>
    <w:rsid w:val="003477A4"/>
    <w:rsid w:val="00347FEB"/>
    <w:rsid w:val="0035091E"/>
    <w:rsid w:val="00350E38"/>
    <w:rsid w:val="00350EA4"/>
    <w:rsid w:val="003515C7"/>
    <w:rsid w:val="003516A1"/>
    <w:rsid w:val="0035175B"/>
    <w:rsid w:val="00351992"/>
    <w:rsid w:val="00351AFB"/>
    <w:rsid w:val="00351DB4"/>
    <w:rsid w:val="00351FAE"/>
    <w:rsid w:val="00352352"/>
    <w:rsid w:val="0035292F"/>
    <w:rsid w:val="00352E22"/>
    <w:rsid w:val="0035338F"/>
    <w:rsid w:val="00353444"/>
    <w:rsid w:val="00353CB1"/>
    <w:rsid w:val="00353CC9"/>
    <w:rsid w:val="00353CCD"/>
    <w:rsid w:val="003540CB"/>
    <w:rsid w:val="00354189"/>
    <w:rsid w:val="00354D49"/>
    <w:rsid w:val="00354D7F"/>
    <w:rsid w:val="0035511B"/>
    <w:rsid w:val="00355713"/>
    <w:rsid w:val="00355847"/>
    <w:rsid w:val="003558B5"/>
    <w:rsid w:val="00355E15"/>
    <w:rsid w:val="00356205"/>
    <w:rsid w:val="00356A4E"/>
    <w:rsid w:val="00357163"/>
    <w:rsid w:val="003577AF"/>
    <w:rsid w:val="00360460"/>
    <w:rsid w:val="00360789"/>
    <w:rsid w:val="00360B45"/>
    <w:rsid w:val="00360E62"/>
    <w:rsid w:val="00360F46"/>
    <w:rsid w:val="00360FA9"/>
    <w:rsid w:val="0036198B"/>
    <w:rsid w:val="00361EF4"/>
    <w:rsid w:val="00362614"/>
    <w:rsid w:val="00363013"/>
    <w:rsid w:val="00363201"/>
    <w:rsid w:val="00363664"/>
    <w:rsid w:val="00363AC7"/>
    <w:rsid w:val="00363F1B"/>
    <w:rsid w:val="00363FBF"/>
    <w:rsid w:val="0036433A"/>
    <w:rsid w:val="0036478E"/>
    <w:rsid w:val="003651AD"/>
    <w:rsid w:val="00365510"/>
    <w:rsid w:val="0036576A"/>
    <w:rsid w:val="003662D4"/>
    <w:rsid w:val="00366607"/>
    <w:rsid w:val="00366E9E"/>
    <w:rsid w:val="0036717D"/>
    <w:rsid w:val="0036752A"/>
    <w:rsid w:val="00370653"/>
    <w:rsid w:val="003711CD"/>
    <w:rsid w:val="00371551"/>
    <w:rsid w:val="00371A2D"/>
    <w:rsid w:val="00371C67"/>
    <w:rsid w:val="00371F1B"/>
    <w:rsid w:val="00371FEE"/>
    <w:rsid w:val="00372FEF"/>
    <w:rsid w:val="0037318A"/>
    <w:rsid w:val="00373403"/>
    <w:rsid w:val="00373612"/>
    <w:rsid w:val="00373757"/>
    <w:rsid w:val="00374249"/>
    <w:rsid w:val="00374A1E"/>
    <w:rsid w:val="00374A95"/>
    <w:rsid w:val="00374B5B"/>
    <w:rsid w:val="00374E18"/>
    <w:rsid w:val="00374ED0"/>
    <w:rsid w:val="00375846"/>
    <w:rsid w:val="003759D8"/>
    <w:rsid w:val="00376150"/>
    <w:rsid w:val="0037625D"/>
    <w:rsid w:val="00376382"/>
    <w:rsid w:val="003763B9"/>
    <w:rsid w:val="0037664D"/>
    <w:rsid w:val="003768D5"/>
    <w:rsid w:val="00377540"/>
    <w:rsid w:val="0037768E"/>
    <w:rsid w:val="00377840"/>
    <w:rsid w:val="0037787E"/>
    <w:rsid w:val="00377CEE"/>
    <w:rsid w:val="00377D6C"/>
    <w:rsid w:val="00377DD7"/>
    <w:rsid w:val="0038199D"/>
    <w:rsid w:val="00381A73"/>
    <w:rsid w:val="00381CD3"/>
    <w:rsid w:val="003822F6"/>
    <w:rsid w:val="003824F3"/>
    <w:rsid w:val="00382646"/>
    <w:rsid w:val="003827C7"/>
    <w:rsid w:val="00382A00"/>
    <w:rsid w:val="00383246"/>
    <w:rsid w:val="003834DD"/>
    <w:rsid w:val="00383C91"/>
    <w:rsid w:val="0038468C"/>
    <w:rsid w:val="00384BC5"/>
    <w:rsid w:val="00384C91"/>
    <w:rsid w:val="00384D37"/>
    <w:rsid w:val="00385105"/>
    <w:rsid w:val="00385438"/>
    <w:rsid w:val="00385828"/>
    <w:rsid w:val="00385C45"/>
    <w:rsid w:val="00385CAD"/>
    <w:rsid w:val="003861D4"/>
    <w:rsid w:val="00386219"/>
    <w:rsid w:val="00386BCA"/>
    <w:rsid w:val="003875DE"/>
    <w:rsid w:val="00387C8B"/>
    <w:rsid w:val="00387F93"/>
    <w:rsid w:val="003901EE"/>
    <w:rsid w:val="00391862"/>
    <w:rsid w:val="00391C9F"/>
    <w:rsid w:val="003927DF"/>
    <w:rsid w:val="00392A40"/>
    <w:rsid w:val="00392A6A"/>
    <w:rsid w:val="00392B4A"/>
    <w:rsid w:val="00392E3E"/>
    <w:rsid w:val="00392E90"/>
    <w:rsid w:val="00393B25"/>
    <w:rsid w:val="00394363"/>
    <w:rsid w:val="003949B0"/>
    <w:rsid w:val="00394B30"/>
    <w:rsid w:val="00394C10"/>
    <w:rsid w:val="00394C6A"/>
    <w:rsid w:val="00394EE5"/>
    <w:rsid w:val="00395019"/>
    <w:rsid w:val="0039554C"/>
    <w:rsid w:val="00395B54"/>
    <w:rsid w:val="00395CB9"/>
    <w:rsid w:val="00395F17"/>
    <w:rsid w:val="003960EA"/>
    <w:rsid w:val="00396640"/>
    <w:rsid w:val="00396897"/>
    <w:rsid w:val="00397F71"/>
    <w:rsid w:val="003A034F"/>
    <w:rsid w:val="003A051E"/>
    <w:rsid w:val="003A0576"/>
    <w:rsid w:val="003A144F"/>
    <w:rsid w:val="003A1ED6"/>
    <w:rsid w:val="003A2348"/>
    <w:rsid w:val="003A275F"/>
    <w:rsid w:val="003A2A88"/>
    <w:rsid w:val="003A2E8B"/>
    <w:rsid w:val="003A2EE3"/>
    <w:rsid w:val="003A3015"/>
    <w:rsid w:val="003A30B9"/>
    <w:rsid w:val="003A320D"/>
    <w:rsid w:val="003A3774"/>
    <w:rsid w:val="003A4634"/>
    <w:rsid w:val="003A47CE"/>
    <w:rsid w:val="003A4ACC"/>
    <w:rsid w:val="003A4AEC"/>
    <w:rsid w:val="003A4CA8"/>
    <w:rsid w:val="003A50AB"/>
    <w:rsid w:val="003A50B3"/>
    <w:rsid w:val="003A5E2D"/>
    <w:rsid w:val="003A673F"/>
    <w:rsid w:val="003A6997"/>
    <w:rsid w:val="003A6DB0"/>
    <w:rsid w:val="003A7394"/>
    <w:rsid w:val="003A7B19"/>
    <w:rsid w:val="003A7E2C"/>
    <w:rsid w:val="003B01B2"/>
    <w:rsid w:val="003B0625"/>
    <w:rsid w:val="003B0627"/>
    <w:rsid w:val="003B0712"/>
    <w:rsid w:val="003B1619"/>
    <w:rsid w:val="003B1734"/>
    <w:rsid w:val="003B19DE"/>
    <w:rsid w:val="003B221D"/>
    <w:rsid w:val="003B254D"/>
    <w:rsid w:val="003B2A76"/>
    <w:rsid w:val="003B302E"/>
    <w:rsid w:val="003B37FF"/>
    <w:rsid w:val="003B3B43"/>
    <w:rsid w:val="003B4531"/>
    <w:rsid w:val="003B4764"/>
    <w:rsid w:val="003B483A"/>
    <w:rsid w:val="003B4A46"/>
    <w:rsid w:val="003B4AB2"/>
    <w:rsid w:val="003B5647"/>
    <w:rsid w:val="003B5696"/>
    <w:rsid w:val="003B5AD7"/>
    <w:rsid w:val="003B5E24"/>
    <w:rsid w:val="003B5E52"/>
    <w:rsid w:val="003B6272"/>
    <w:rsid w:val="003B6430"/>
    <w:rsid w:val="003B6560"/>
    <w:rsid w:val="003B6936"/>
    <w:rsid w:val="003B6F82"/>
    <w:rsid w:val="003B7781"/>
    <w:rsid w:val="003B797F"/>
    <w:rsid w:val="003C0323"/>
    <w:rsid w:val="003C056E"/>
    <w:rsid w:val="003C0D02"/>
    <w:rsid w:val="003C199E"/>
    <w:rsid w:val="003C2B02"/>
    <w:rsid w:val="003C3896"/>
    <w:rsid w:val="003C3C39"/>
    <w:rsid w:val="003C3D9A"/>
    <w:rsid w:val="003C4042"/>
    <w:rsid w:val="003C5031"/>
    <w:rsid w:val="003C5912"/>
    <w:rsid w:val="003C5A8B"/>
    <w:rsid w:val="003C5C7F"/>
    <w:rsid w:val="003C5E4B"/>
    <w:rsid w:val="003C5F44"/>
    <w:rsid w:val="003C6C25"/>
    <w:rsid w:val="003C6C77"/>
    <w:rsid w:val="003C781E"/>
    <w:rsid w:val="003C7FD9"/>
    <w:rsid w:val="003D0561"/>
    <w:rsid w:val="003D060F"/>
    <w:rsid w:val="003D063D"/>
    <w:rsid w:val="003D0D8F"/>
    <w:rsid w:val="003D1495"/>
    <w:rsid w:val="003D1846"/>
    <w:rsid w:val="003D1D88"/>
    <w:rsid w:val="003D2577"/>
    <w:rsid w:val="003D27E7"/>
    <w:rsid w:val="003D2C98"/>
    <w:rsid w:val="003D314D"/>
    <w:rsid w:val="003D39F8"/>
    <w:rsid w:val="003D4361"/>
    <w:rsid w:val="003D463F"/>
    <w:rsid w:val="003D4DA8"/>
    <w:rsid w:val="003D4E38"/>
    <w:rsid w:val="003D4EC7"/>
    <w:rsid w:val="003D533D"/>
    <w:rsid w:val="003D5658"/>
    <w:rsid w:val="003D5F54"/>
    <w:rsid w:val="003D60DC"/>
    <w:rsid w:val="003D6421"/>
    <w:rsid w:val="003D64C9"/>
    <w:rsid w:val="003D650B"/>
    <w:rsid w:val="003D650F"/>
    <w:rsid w:val="003D667F"/>
    <w:rsid w:val="003D6B93"/>
    <w:rsid w:val="003D6C2C"/>
    <w:rsid w:val="003E0408"/>
    <w:rsid w:val="003E0A70"/>
    <w:rsid w:val="003E0B9B"/>
    <w:rsid w:val="003E0E79"/>
    <w:rsid w:val="003E1836"/>
    <w:rsid w:val="003E1966"/>
    <w:rsid w:val="003E211A"/>
    <w:rsid w:val="003E256C"/>
    <w:rsid w:val="003E2C44"/>
    <w:rsid w:val="003E2CE2"/>
    <w:rsid w:val="003E35B1"/>
    <w:rsid w:val="003E362E"/>
    <w:rsid w:val="003E3876"/>
    <w:rsid w:val="003E3907"/>
    <w:rsid w:val="003E44CD"/>
    <w:rsid w:val="003E4C97"/>
    <w:rsid w:val="003E5C5E"/>
    <w:rsid w:val="003E661E"/>
    <w:rsid w:val="003E665C"/>
    <w:rsid w:val="003E6A46"/>
    <w:rsid w:val="003E6B15"/>
    <w:rsid w:val="003E6B80"/>
    <w:rsid w:val="003E7209"/>
    <w:rsid w:val="003E7D20"/>
    <w:rsid w:val="003F0477"/>
    <w:rsid w:val="003F0B5C"/>
    <w:rsid w:val="003F0F2A"/>
    <w:rsid w:val="003F1186"/>
    <w:rsid w:val="003F182E"/>
    <w:rsid w:val="003F226A"/>
    <w:rsid w:val="003F2A12"/>
    <w:rsid w:val="003F2C2D"/>
    <w:rsid w:val="003F2C77"/>
    <w:rsid w:val="003F2D26"/>
    <w:rsid w:val="003F2F08"/>
    <w:rsid w:val="003F3841"/>
    <w:rsid w:val="003F401E"/>
    <w:rsid w:val="003F46A3"/>
    <w:rsid w:val="003F46E0"/>
    <w:rsid w:val="003F56D9"/>
    <w:rsid w:val="003F6816"/>
    <w:rsid w:val="003F6944"/>
    <w:rsid w:val="003F69BA"/>
    <w:rsid w:val="003F6C31"/>
    <w:rsid w:val="003F70C0"/>
    <w:rsid w:val="003F7198"/>
    <w:rsid w:val="003F7266"/>
    <w:rsid w:val="003F755C"/>
    <w:rsid w:val="003F79CF"/>
    <w:rsid w:val="003F7D6E"/>
    <w:rsid w:val="00400245"/>
    <w:rsid w:val="004002D6"/>
    <w:rsid w:val="004005BC"/>
    <w:rsid w:val="00400BB7"/>
    <w:rsid w:val="00400C5B"/>
    <w:rsid w:val="0040148B"/>
    <w:rsid w:val="004015DC"/>
    <w:rsid w:val="00402233"/>
    <w:rsid w:val="0040263A"/>
    <w:rsid w:val="00402866"/>
    <w:rsid w:val="00402E6E"/>
    <w:rsid w:val="00403104"/>
    <w:rsid w:val="0040348E"/>
    <w:rsid w:val="00403CBE"/>
    <w:rsid w:val="00404074"/>
    <w:rsid w:val="0040420A"/>
    <w:rsid w:val="004045F2"/>
    <w:rsid w:val="00404D02"/>
    <w:rsid w:val="00404F08"/>
    <w:rsid w:val="00404FCC"/>
    <w:rsid w:val="00405883"/>
    <w:rsid w:val="00405CDE"/>
    <w:rsid w:val="00406722"/>
    <w:rsid w:val="004067F5"/>
    <w:rsid w:val="004075B0"/>
    <w:rsid w:val="00407A2F"/>
    <w:rsid w:val="00407F90"/>
    <w:rsid w:val="004101FC"/>
    <w:rsid w:val="004103F6"/>
    <w:rsid w:val="004109C9"/>
    <w:rsid w:val="00411EE8"/>
    <w:rsid w:val="004125FD"/>
    <w:rsid w:val="00413076"/>
    <w:rsid w:val="0041389E"/>
    <w:rsid w:val="00413911"/>
    <w:rsid w:val="00413A5E"/>
    <w:rsid w:val="00414429"/>
    <w:rsid w:val="004146B2"/>
    <w:rsid w:val="00414B86"/>
    <w:rsid w:val="0041526F"/>
    <w:rsid w:val="00415853"/>
    <w:rsid w:val="00415874"/>
    <w:rsid w:val="00415A4A"/>
    <w:rsid w:val="00415A5F"/>
    <w:rsid w:val="00415D4B"/>
    <w:rsid w:val="00415D7C"/>
    <w:rsid w:val="00416037"/>
    <w:rsid w:val="0041618A"/>
    <w:rsid w:val="0041643A"/>
    <w:rsid w:val="00416527"/>
    <w:rsid w:val="00416601"/>
    <w:rsid w:val="00416CD6"/>
    <w:rsid w:val="00420EE6"/>
    <w:rsid w:val="00421558"/>
    <w:rsid w:val="00422538"/>
    <w:rsid w:val="00422625"/>
    <w:rsid w:val="00422717"/>
    <w:rsid w:val="004227EC"/>
    <w:rsid w:val="0042280E"/>
    <w:rsid w:val="00422C6A"/>
    <w:rsid w:val="00422D7B"/>
    <w:rsid w:val="00422E61"/>
    <w:rsid w:val="00423A35"/>
    <w:rsid w:val="004249B3"/>
    <w:rsid w:val="00425740"/>
    <w:rsid w:val="00425C13"/>
    <w:rsid w:val="004262DA"/>
    <w:rsid w:val="00426740"/>
    <w:rsid w:val="00426799"/>
    <w:rsid w:val="00426D6C"/>
    <w:rsid w:val="0042754F"/>
    <w:rsid w:val="0042757A"/>
    <w:rsid w:val="00427787"/>
    <w:rsid w:val="0042792F"/>
    <w:rsid w:val="004301B2"/>
    <w:rsid w:val="00431259"/>
    <w:rsid w:val="00431319"/>
    <w:rsid w:val="00431336"/>
    <w:rsid w:val="00431936"/>
    <w:rsid w:val="0043223A"/>
    <w:rsid w:val="00432472"/>
    <w:rsid w:val="004326D1"/>
    <w:rsid w:val="004326FA"/>
    <w:rsid w:val="00432A37"/>
    <w:rsid w:val="00433607"/>
    <w:rsid w:val="004336D3"/>
    <w:rsid w:val="004336DB"/>
    <w:rsid w:val="004336F0"/>
    <w:rsid w:val="00433ACC"/>
    <w:rsid w:val="00434824"/>
    <w:rsid w:val="00434A4B"/>
    <w:rsid w:val="00434CF1"/>
    <w:rsid w:val="0043525F"/>
    <w:rsid w:val="00435A25"/>
    <w:rsid w:val="00435E4F"/>
    <w:rsid w:val="00436469"/>
    <w:rsid w:val="0043695A"/>
    <w:rsid w:val="004369BB"/>
    <w:rsid w:val="0043730A"/>
    <w:rsid w:val="0043747D"/>
    <w:rsid w:val="004375A9"/>
    <w:rsid w:val="00437B1A"/>
    <w:rsid w:val="00437EA5"/>
    <w:rsid w:val="00437F71"/>
    <w:rsid w:val="004405EC"/>
    <w:rsid w:val="004407A2"/>
    <w:rsid w:val="004413D2"/>
    <w:rsid w:val="004414AE"/>
    <w:rsid w:val="0044162F"/>
    <w:rsid w:val="00441F58"/>
    <w:rsid w:val="0044206F"/>
    <w:rsid w:val="004422F7"/>
    <w:rsid w:val="004428DD"/>
    <w:rsid w:val="00442CEA"/>
    <w:rsid w:val="00443413"/>
    <w:rsid w:val="004436E6"/>
    <w:rsid w:val="004441E8"/>
    <w:rsid w:val="00444655"/>
    <w:rsid w:val="00444AA2"/>
    <w:rsid w:val="00445C3E"/>
    <w:rsid w:val="00445DBC"/>
    <w:rsid w:val="00445ED6"/>
    <w:rsid w:val="00446179"/>
    <w:rsid w:val="00446467"/>
    <w:rsid w:val="00446661"/>
    <w:rsid w:val="0044666B"/>
    <w:rsid w:val="00446FD0"/>
    <w:rsid w:val="00447338"/>
    <w:rsid w:val="004473A8"/>
    <w:rsid w:val="004473D2"/>
    <w:rsid w:val="00447469"/>
    <w:rsid w:val="004474AA"/>
    <w:rsid w:val="00447684"/>
    <w:rsid w:val="004476E5"/>
    <w:rsid w:val="0044781C"/>
    <w:rsid w:val="00447D3A"/>
    <w:rsid w:val="004503FF"/>
    <w:rsid w:val="004504F6"/>
    <w:rsid w:val="004507BB"/>
    <w:rsid w:val="00451737"/>
    <w:rsid w:val="00451EAC"/>
    <w:rsid w:val="00452594"/>
    <w:rsid w:val="0045287B"/>
    <w:rsid w:val="00452B80"/>
    <w:rsid w:val="00452C5C"/>
    <w:rsid w:val="00453320"/>
    <w:rsid w:val="00453561"/>
    <w:rsid w:val="00453AB4"/>
    <w:rsid w:val="00453D7E"/>
    <w:rsid w:val="00453EA8"/>
    <w:rsid w:val="004541FF"/>
    <w:rsid w:val="00454976"/>
    <w:rsid w:val="00454CAE"/>
    <w:rsid w:val="00454E00"/>
    <w:rsid w:val="00454FC7"/>
    <w:rsid w:val="0045504A"/>
    <w:rsid w:val="00455785"/>
    <w:rsid w:val="00455993"/>
    <w:rsid w:val="00456B67"/>
    <w:rsid w:val="00456B87"/>
    <w:rsid w:val="0045761C"/>
    <w:rsid w:val="004577B4"/>
    <w:rsid w:val="0046004C"/>
    <w:rsid w:val="00460374"/>
    <w:rsid w:val="00460457"/>
    <w:rsid w:val="00460567"/>
    <w:rsid w:val="0046122C"/>
    <w:rsid w:val="00461806"/>
    <w:rsid w:val="004618E2"/>
    <w:rsid w:val="00461C51"/>
    <w:rsid w:val="00461DBE"/>
    <w:rsid w:val="0046241F"/>
    <w:rsid w:val="00462B28"/>
    <w:rsid w:val="00462DFC"/>
    <w:rsid w:val="00462F94"/>
    <w:rsid w:val="004630D2"/>
    <w:rsid w:val="00463639"/>
    <w:rsid w:val="00463730"/>
    <w:rsid w:val="004638A9"/>
    <w:rsid w:val="00463A9D"/>
    <w:rsid w:val="00463D2D"/>
    <w:rsid w:val="00463D84"/>
    <w:rsid w:val="004644E8"/>
    <w:rsid w:val="00464757"/>
    <w:rsid w:val="00464E03"/>
    <w:rsid w:val="00464E97"/>
    <w:rsid w:val="0046564F"/>
    <w:rsid w:val="00465C91"/>
    <w:rsid w:val="00466E1B"/>
    <w:rsid w:val="00466F65"/>
    <w:rsid w:val="004677AE"/>
    <w:rsid w:val="00467AD1"/>
    <w:rsid w:val="00467ADE"/>
    <w:rsid w:val="00470264"/>
    <w:rsid w:val="004704EF"/>
    <w:rsid w:val="004709BC"/>
    <w:rsid w:val="00470A57"/>
    <w:rsid w:val="00470A73"/>
    <w:rsid w:val="00470D71"/>
    <w:rsid w:val="0047106D"/>
    <w:rsid w:val="004710D9"/>
    <w:rsid w:val="00471558"/>
    <w:rsid w:val="0047159D"/>
    <w:rsid w:val="004716EF"/>
    <w:rsid w:val="00471C38"/>
    <w:rsid w:val="004725FA"/>
    <w:rsid w:val="00472AB8"/>
    <w:rsid w:val="00473CD1"/>
    <w:rsid w:val="004744D2"/>
    <w:rsid w:val="00474799"/>
    <w:rsid w:val="00474CEE"/>
    <w:rsid w:val="00474F36"/>
    <w:rsid w:val="00475104"/>
    <w:rsid w:val="00475382"/>
    <w:rsid w:val="004757FD"/>
    <w:rsid w:val="00475804"/>
    <w:rsid w:val="004759E3"/>
    <w:rsid w:val="00475A27"/>
    <w:rsid w:val="004765DC"/>
    <w:rsid w:val="00477920"/>
    <w:rsid w:val="00477AF1"/>
    <w:rsid w:val="00480166"/>
    <w:rsid w:val="0048056B"/>
    <w:rsid w:val="00480634"/>
    <w:rsid w:val="00480D5F"/>
    <w:rsid w:val="004817E2"/>
    <w:rsid w:val="00481B9B"/>
    <w:rsid w:val="00481C25"/>
    <w:rsid w:val="004829BE"/>
    <w:rsid w:val="00482E20"/>
    <w:rsid w:val="00482F02"/>
    <w:rsid w:val="00483287"/>
    <w:rsid w:val="0048333E"/>
    <w:rsid w:val="00483632"/>
    <w:rsid w:val="00483689"/>
    <w:rsid w:val="004837FC"/>
    <w:rsid w:val="0048456F"/>
    <w:rsid w:val="00485056"/>
    <w:rsid w:val="004851F7"/>
    <w:rsid w:val="00485B83"/>
    <w:rsid w:val="00485E01"/>
    <w:rsid w:val="004866A2"/>
    <w:rsid w:val="00486B6E"/>
    <w:rsid w:val="004870BD"/>
    <w:rsid w:val="00487654"/>
    <w:rsid w:val="00487C04"/>
    <w:rsid w:val="0049007F"/>
    <w:rsid w:val="0049014B"/>
    <w:rsid w:val="00490575"/>
    <w:rsid w:val="004907AC"/>
    <w:rsid w:val="00490AE9"/>
    <w:rsid w:val="00490C71"/>
    <w:rsid w:val="00490CA5"/>
    <w:rsid w:val="0049133B"/>
    <w:rsid w:val="004916EB"/>
    <w:rsid w:val="0049202D"/>
    <w:rsid w:val="0049262D"/>
    <w:rsid w:val="0049283F"/>
    <w:rsid w:val="00492A2E"/>
    <w:rsid w:val="00492D42"/>
    <w:rsid w:val="00493273"/>
    <w:rsid w:val="00493621"/>
    <w:rsid w:val="00493701"/>
    <w:rsid w:val="00493975"/>
    <w:rsid w:val="00494112"/>
    <w:rsid w:val="0049469D"/>
    <w:rsid w:val="0049478B"/>
    <w:rsid w:val="00494A70"/>
    <w:rsid w:val="004950C7"/>
    <w:rsid w:val="00495756"/>
    <w:rsid w:val="0049578A"/>
    <w:rsid w:val="00495978"/>
    <w:rsid w:val="00495D02"/>
    <w:rsid w:val="00496027"/>
    <w:rsid w:val="004969C1"/>
    <w:rsid w:val="00496C0E"/>
    <w:rsid w:val="004972C3"/>
    <w:rsid w:val="004975DB"/>
    <w:rsid w:val="00497BC4"/>
    <w:rsid w:val="004A0406"/>
    <w:rsid w:val="004A0911"/>
    <w:rsid w:val="004A0B2F"/>
    <w:rsid w:val="004A0B9B"/>
    <w:rsid w:val="004A154A"/>
    <w:rsid w:val="004A1C66"/>
    <w:rsid w:val="004A1CBD"/>
    <w:rsid w:val="004A1EA4"/>
    <w:rsid w:val="004A24DF"/>
    <w:rsid w:val="004A276A"/>
    <w:rsid w:val="004A2FC2"/>
    <w:rsid w:val="004A3786"/>
    <w:rsid w:val="004A3DFA"/>
    <w:rsid w:val="004A3E20"/>
    <w:rsid w:val="004A4593"/>
    <w:rsid w:val="004A46B8"/>
    <w:rsid w:val="004A4F64"/>
    <w:rsid w:val="004A5C1B"/>
    <w:rsid w:val="004A6258"/>
    <w:rsid w:val="004A6317"/>
    <w:rsid w:val="004A6399"/>
    <w:rsid w:val="004A66CF"/>
    <w:rsid w:val="004A6C4A"/>
    <w:rsid w:val="004A6CC7"/>
    <w:rsid w:val="004A6E73"/>
    <w:rsid w:val="004A6FF3"/>
    <w:rsid w:val="004A71E2"/>
    <w:rsid w:val="004A765C"/>
    <w:rsid w:val="004A7D0E"/>
    <w:rsid w:val="004A7EC9"/>
    <w:rsid w:val="004B0024"/>
    <w:rsid w:val="004B0025"/>
    <w:rsid w:val="004B0284"/>
    <w:rsid w:val="004B06C2"/>
    <w:rsid w:val="004B0CDE"/>
    <w:rsid w:val="004B1153"/>
    <w:rsid w:val="004B14A3"/>
    <w:rsid w:val="004B1651"/>
    <w:rsid w:val="004B1F5F"/>
    <w:rsid w:val="004B26AD"/>
    <w:rsid w:val="004B2782"/>
    <w:rsid w:val="004B2D8B"/>
    <w:rsid w:val="004B2DFE"/>
    <w:rsid w:val="004B2F35"/>
    <w:rsid w:val="004B331F"/>
    <w:rsid w:val="004B37B6"/>
    <w:rsid w:val="004B3CC1"/>
    <w:rsid w:val="004B3D5D"/>
    <w:rsid w:val="004B46E3"/>
    <w:rsid w:val="004B4CD9"/>
    <w:rsid w:val="004B547C"/>
    <w:rsid w:val="004B6F70"/>
    <w:rsid w:val="004B7039"/>
    <w:rsid w:val="004B7260"/>
    <w:rsid w:val="004B76D8"/>
    <w:rsid w:val="004B7771"/>
    <w:rsid w:val="004B79E9"/>
    <w:rsid w:val="004C0121"/>
    <w:rsid w:val="004C02C4"/>
    <w:rsid w:val="004C08CC"/>
    <w:rsid w:val="004C0CAB"/>
    <w:rsid w:val="004C0D67"/>
    <w:rsid w:val="004C0E88"/>
    <w:rsid w:val="004C1180"/>
    <w:rsid w:val="004C1380"/>
    <w:rsid w:val="004C1909"/>
    <w:rsid w:val="004C1957"/>
    <w:rsid w:val="004C2546"/>
    <w:rsid w:val="004C262F"/>
    <w:rsid w:val="004C2655"/>
    <w:rsid w:val="004C2BE7"/>
    <w:rsid w:val="004C2D00"/>
    <w:rsid w:val="004C3054"/>
    <w:rsid w:val="004C3494"/>
    <w:rsid w:val="004C38A6"/>
    <w:rsid w:val="004C3B0B"/>
    <w:rsid w:val="004C3C7F"/>
    <w:rsid w:val="004C3FFA"/>
    <w:rsid w:val="004C456C"/>
    <w:rsid w:val="004C46EC"/>
    <w:rsid w:val="004C4CF2"/>
    <w:rsid w:val="004C4F80"/>
    <w:rsid w:val="004C51F1"/>
    <w:rsid w:val="004C5A02"/>
    <w:rsid w:val="004C5E84"/>
    <w:rsid w:val="004C6065"/>
    <w:rsid w:val="004C6267"/>
    <w:rsid w:val="004C77DC"/>
    <w:rsid w:val="004C782B"/>
    <w:rsid w:val="004C7FFD"/>
    <w:rsid w:val="004D0543"/>
    <w:rsid w:val="004D0AC7"/>
    <w:rsid w:val="004D0C76"/>
    <w:rsid w:val="004D15CD"/>
    <w:rsid w:val="004D1BA9"/>
    <w:rsid w:val="004D20E4"/>
    <w:rsid w:val="004D2274"/>
    <w:rsid w:val="004D2365"/>
    <w:rsid w:val="004D2ABE"/>
    <w:rsid w:val="004D2ADA"/>
    <w:rsid w:val="004D2B17"/>
    <w:rsid w:val="004D2C2D"/>
    <w:rsid w:val="004D30D0"/>
    <w:rsid w:val="004D3233"/>
    <w:rsid w:val="004D3F84"/>
    <w:rsid w:val="004D436C"/>
    <w:rsid w:val="004D45B0"/>
    <w:rsid w:val="004D480F"/>
    <w:rsid w:val="004D500C"/>
    <w:rsid w:val="004D5449"/>
    <w:rsid w:val="004D5854"/>
    <w:rsid w:val="004D61BF"/>
    <w:rsid w:val="004D68C9"/>
    <w:rsid w:val="004D77FE"/>
    <w:rsid w:val="004D7822"/>
    <w:rsid w:val="004D78F5"/>
    <w:rsid w:val="004D7920"/>
    <w:rsid w:val="004D7BD4"/>
    <w:rsid w:val="004E06D4"/>
    <w:rsid w:val="004E0927"/>
    <w:rsid w:val="004E11ED"/>
    <w:rsid w:val="004E135C"/>
    <w:rsid w:val="004E138A"/>
    <w:rsid w:val="004E206E"/>
    <w:rsid w:val="004E2084"/>
    <w:rsid w:val="004E302D"/>
    <w:rsid w:val="004E32D1"/>
    <w:rsid w:val="004E37B0"/>
    <w:rsid w:val="004E3A03"/>
    <w:rsid w:val="004E3D67"/>
    <w:rsid w:val="004E3E3A"/>
    <w:rsid w:val="004E410A"/>
    <w:rsid w:val="004E4760"/>
    <w:rsid w:val="004E49B9"/>
    <w:rsid w:val="004E4A9C"/>
    <w:rsid w:val="004E512C"/>
    <w:rsid w:val="004E5752"/>
    <w:rsid w:val="004E5CA6"/>
    <w:rsid w:val="004E5F35"/>
    <w:rsid w:val="004E627E"/>
    <w:rsid w:val="004E6894"/>
    <w:rsid w:val="004E6DF2"/>
    <w:rsid w:val="004E76CE"/>
    <w:rsid w:val="004E77E2"/>
    <w:rsid w:val="004E7DCD"/>
    <w:rsid w:val="004F020F"/>
    <w:rsid w:val="004F0876"/>
    <w:rsid w:val="004F0BE8"/>
    <w:rsid w:val="004F1B5A"/>
    <w:rsid w:val="004F1D6C"/>
    <w:rsid w:val="004F1E11"/>
    <w:rsid w:val="004F3201"/>
    <w:rsid w:val="004F38FC"/>
    <w:rsid w:val="004F3CA0"/>
    <w:rsid w:val="004F4207"/>
    <w:rsid w:val="004F4880"/>
    <w:rsid w:val="004F59A1"/>
    <w:rsid w:val="004F5AA5"/>
    <w:rsid w:val="004F602C"/>
    <w:rsid w:val="004F659A"/>
    <w:rsid w:val="004F699D"/>
    <w:rsid w:val="004F6BD4"/>
    <w:rsid w:val="004F6F3A"/>
    <w:rsid w:val="004F7F8E"/>
    <w:rsid w:val="00500E0E"/>
    <w:rsid w:val="00500ED6"/>
    <w:rsid w:val="005011C1"/>
    <w:rsid w:val="0050170E"/>
    <w:rsid w:val="00501FA9"/>
    <w:rsid w:val="00502CF3"/>
    <w:rsid w:val="00502DBA"/>
    <w:rsid w:val="0050361D"/>
    <w:rsid w:val="00503C32"/>
    <w:rsid w:val="00504997"/>
    <w:rsid w:val="00504AC5"/>
    <w:rsid w:val="00504D1D"/>
    <w:rsid w:val="00504D31"/>
    <w:rsid w:val="005051EF"/>
    <w:rsid w:val="005051FD"/>
    <w:rsid w:val="005056EA"/>
    <w:rsid w:val="0050592C"/>
    <w:rsid w:val="00505E86"/>
    <w:rsid w:val="005061CB"/>
    <w:rsid w:val="00506459"/>
    <w:rsid w:val="00506693"/>
    <w:rsid w:val="00506A9C"/>
    <w:rsid w:val="00506D7A"/>
    <w:rsid w:val="00507136"/>
    <w:rsid w:val="00507B52"/>
    <w:rsid w:val="00507BCC"/>
    <w:rsid w:val="00507D6A"/>
    <w:rsid w:val="0051027D"/>
    <w:rsid w:val="005106FD"/>
    <w:rsid w:val="00510A45"/>
    <w:rsid w:val="00510B5F"/>
    <w:rsid w:val="00510EB3"/>
    <w:rsid w:val="005117E5"/>
    <w:rsid w:val="00511BD2"/>
    <w:rsid w:val="00511FD1"/>
    <w:rsid w:val="005120B3"/>
    <w:rsid w:val="00512644"/>
    <w:rsid w:val="00512F0A"/>
    <w:rsid w:val="00513395"/>
    <w:rsid w:val="005133A8"/>
    <w:rsid w:val="005136AE"/>
    <w:rsid w:val="00513991"/>
    <w:rsid w:val="00513B7B"/>
    <w:rsid w:val="0051433B"/>
    <w:rsid w:val="005143A5"/>
    <w:rsid w:val="005145A9"/>
    <w:rsid w:val="00514761"/>
    <w:rsid w:val="00514E74"/>
    <w:rsid w:val="00514EBB"/>
    <w:rsid w:val="00514F2F"/>
    <w:rsid w:val="00514F39"/>
    <w:rsid w:val="00515102"/>
    <w:rsid w:val="00515DFA"/>
    <w:rsid w:val="00516168"/>
    <w:rsid w:val="0051672C"/>
    <w:rsid w:val="0051698B"/>
    <w:rsid w:val="00516A45"/>
    <w:rsid w:val="0051700E"/>
    <w:rsid w:val="0051784E"/>
    <w:rsid w:val="00517B31"/>
    <w:rsid w:val="00517F01"/>
    <w:rsid w:val="00517F78"/>
    <w:rsid w:val="00520563"/>
    <w:rsid w:val="005207A8"/>
    <w:rsid w:val="00521458"/>
    <w:rsid w:val="005218EF"/>
    <w:rsid w:val="00521911"/>
    <w:rsid w:val="00521E01"/>
    <w:rsid w:val="00522E07"/>
    <w:rsid w:val="00523A28"/>
    <w:rsid w:val="00523B1F"/>
    <w:rsid w:val="00524EC0"/>
    <w:rsid w:val="005259F5"/>
    <w:rsid w:val="005267C5"/>
    <w:rsid w:val="0052719A"/>
    <w:rsid w:val="00527430"/>
    <w:rsid w:val="00527D4E"/>
    <w:rsid w:val="005302B4"/>
    <w:rsid w:val="0053071D"/>
    <w:rsid w:val="00530781"/>
    <w:rsid w:val="00530ABE"/>
    <w:rsid w:val="00530C4F"/>
    <w:rsid w:val="005319D3"/>
    <w:rsid w:val="00531A09"/>
    <w:rsid w:val="00532986"/>
    <w:rsid w:val="00532E58"/>
    <w:rsid w:val="00532FAA"/>
    <w:rsid w:val="0053364F"/>
    <w:rsid w:val="00533C02"/>
    <w:rsid w:val="00534184"/>
    <w:rsid w:val="00534EC2"/>
    <w:rsid w:val="005354A5"/>
    <w:rsid w:val="005356C0"/>
    <w:rsid w:val="00536242"/>
    <w:rsid w:val="005362A4"/>
    <w:rsid w:val="00537389"/>
    <w:rsid w:val="00540EC0"/>
    <w:rsid w:val="005410F9"/>
    <w:rsid w:val="00541154"/>
    <w:rsid w:val="00541166"/>
    <w:rsid w:val="0054125B"/>
    <w:rsid w:val="0054216C"/>
    <w:rsid w:val="005425C1"/>
    <w:rsid w:val="005428B9"/>
    <w:rsid w:val="00542D35"/>
    <w:rsid w:val="00543595"/>
    <w:rsid w:val="005436BA"/>
    <w:rsid w:val="00543901"/>
    <w:rsid w:val="00543AF7"/>
    <w:rsid w:val="00543CD4"/>
    <w:rsid w:val="00543DC8"/>
    <w:rsid w:val="0054409A"/>
    <w:rsid w:val="00544256"/>
    <w:rsid w:val="0054439C"/>
    <w:rsid w:val="00544722"/>
    <w:rsid w:val="005447C8"/>
    <w:rsid w:val="005449CC"/>
    <w:rsid w:val="00544B56"/>
    <w:rsid w:val="00544B7E"/>
    <w:rsid w:val="00545133"/>
    <w:rsid w:val="00545329"/>
    <w:rsid w:val="00545713"/>
    <w:rsid w:val="00545807"/>
    <w:rsid w:val="00545F1E"/>
    <w:rsid w:val="00545F53"/>
    <w:rsid w:val="00546344"/>
    <w:rsid w:val="00546957"/>
    <w:rsid w:val="00546A1F"/>
    <w:rsid w:val="00546CE8"/>
    <w:rsid w:val="00546EE8"/>
    <w:rsid w:val="00547064"/>
    <w:rsid w:val="0054718D"/>
    <w:rsid w:val="005473A8"/>
    <w:rsid w:val="005475EC"/>
    <w:rsid w:val="00547C91"/>
    <w:rsid w:val="005500DF"/>
    <w:rsid w:val="00550B0F"/>
    <w:rsid w:val="00550BD9"/>
    <w:rsid w:val="0055170B"/>
    <w:rsid w:val="00551A75"/>
    <w:rsid w:val="00551C21"/>
    <w:rsid w:val="00552394"/>
    <w:rsid w:val="00552896"/>
    <w:rsid w:val="00552D41"/>
    <w:rsid w:val="00552DDF"/>
    <w:rsid w:val="00553024"/>
    <w:rsid w:val="0055337C"/>
    <w:rsid w:val="0055365B"/>
    <w:rsid w:val="0055379F"/>
    <w:rsid w:val="00554A3B"/>
    <w:rsid w:val="00555100"/>
    <w:rsid w:val="005559F3"/>
    <w:rsid w:val="00555D6A"/>
    <w:rsid w:val="00555F45"/>
    <w:rsid w:val="005561AF"/>
    <w:rsid w:val="005563DB"/>
    <w:rsid w:val="005569B0"/>
    <w:rsid w:val="00556CD1"/>
    <w:rsid w:val="00556DFC"/>
    <w:rsid w:val="005570B2"/>
    <w:rsid w:val="005572FC"/>
    <w:rsid w:val="00557321"/>
    <w:rsid w:val="005574C9"/>
    <w:rsid w:val="0055755B"/>
    <w:rsid w:val="00557CCF"/>
    <w:rsid w:val="00560557"/>
    <w:rsid w:val="005607E3"/>
    <w:rsid w:val="0056098E"/>
    <w:rsid w:val="00560F12"/>
    <w:rsid w:val="00560FE0"/>
    <w:rsid w:val="0056139A"/>
    <w:rsid w:val="00561CB4"/>
    <w:rsid w:val="00561EA9"/>
    <w:rsid w:val="00561ED2"/>
    <w:rsid w:val="00561F68"/>
    <w:rsid w:val="00562108"/>
    <w:rsid w:val="00562382"/>
    <w:rsid w:val="005626AD"/>
    <w:rsid w:val="005628B6"/>
    <w:rsid w:val="00562AE4"/>
    <w:rsid w:val="00562E22"/>
    <w:rsid w:val="00562E3C"/>
    <w:rsid w:val="005632DC"/>
    <w:rsid w:val="005634E9"/>
    <w:rsid w:val="00563664"/>
    <w:rsid w:val="00563B3E"/>
    <w:rsid w:val="00563BCF"/>
    <w:rsid w:val="00563D64"/>
    <w:rsid w:val="0056403D"/>
    <w:rsid w:val="0056559A"/>
    <w:rsid w:val="005656A8"/>
    <w:rsid w:val="00566155"/>
    <w:rsid w:val="00566329"/>
    <w:rsid w:val="00566976"/>
    <w:rsid w:val="005669C5"/>
    <w:rsid w:val="00567B5E"/>
    <w:rsid w:val="00567D11"/>
    <w:rsid w:val="0057034C"/>
    <w:rsid w:val="00570441"/>
    <w:rsid w:val="005706E7"/>
    <w:rsid w:val="00570887"/>
    <w:rsid w:val="00570E75"/>
    <w:rsid w:val="005714D0"/>
    <w:rsid w:val="00571C45"/>
    <w:rsid w:val="00571E35"/>
    <w:rsid w:val="005722BF"/>
    <w:rsid w:val="005727ED"/>
    <w:rsid w:val="00572899"/>
    <w:rsid w:val="00573DC0"/>
    <w:rsid w:val="00574046"/>
    <w:rsid w:val="00574117"/>
    <w:rsid w:val="005746B8"/>
    <w:rsid w:val="00574BA0"/>
    <w:rsid w:val="00574BA1"/>
    <w:rsid w:val="005756DD"/>
    <w:rsid w:val="00575783"/>
    <w:rsid w:val="005758BA"/>
    <w:rsid w:val="00575B78"/>
    <w:rsid w:val="00575D93"/>
    <w:rsid w:val="005764FC"/>
    <w:rsid w:val="00576AD6"/>
    <w:rsid w:val="0057729C"/>
    <w:rsid w:val="00577717"/>
    <w:rsid w:val="0057771F"/>
    <w:rsid w:val="00577D21"/>
    <w:rsid w:val="0058089E"/>
    <w:rsid w:val="00581184"/>
    <w:rsid w:val="00581198"/>
    <w:rsid w:val="005811F2"/>
    <w:rsid w:val="005817AC"/>
    <w:rsid w:val="005818C1"/>
    <w:rsid w:val="00581BEF"/>
    <w:rsid w:val="005827AA"/>
    <w:rsid w:val="00582892"/>
    <w:rsid w:val="005829E5"/>
    <w:rsid w:val="005834F0"/>
    <w:rsid w:val="00583CAF"/>
    <w:rsid w:val="00584122"/>
    <w:rsid w:val="00584305"/>
    <w:rsid w:val="005844F1"/>
    <w:rsid w:val="00584A4D"/>
    <w:rsid w:val="00584E53"/>
    <w:rsid w:val="00584FCF"/>
    <w:rsid w:val="0058645A"/>
    <w:rsid w:val="0058655E"/>
    <w:rsid w:val="005871D3"/>
    <w:rsid w:val="005873CE"/>
    <w:rsid w:val="00587681"/>
    <w:rsid w:val="005909A4"/>
    <w:rsid w:val="00591210"/>
    <w:rsid w:val="00591644"/>
    <w:rsid w:val="00591D9D"/>
    <w:rsid w:val="005921FD"/>
    <w:rsid w:val="0059227D"/>
    <w:rsid w:val="00592AD8"/>
    <w:rsid w:val="00592BA2"/>
    <w:rsid w:val="00592EC7"/>
    <w:rsid w:val="005930F8"/>
    <w:rsid w:val="00593267"/>
    <w:rsid w:val="00593437"/>
    <w:rsid w:val="00593F9B"/>
    <w:rsid w:val="005940A2"/>
    <w:rsid w:val="0059422F"/>
    <w:rsid w:val="00594311"/>
    <w:rsid w:val="00594A0F"/>
    <w:rsid w:val="00594B09"/>
    <w:rsid w:val="00594D60"/>
    <w:rsid w:val="00595101"/>
    <w:rsid w:val="005954F1"/>
    <w:rsid w:val="00595690"/>
    <w:rsid w:val="005956E3"/>
    <w:rsid w:val="005958F3"/>
    <w:rsid w:val="00595C36"/>
    <w:rsid w:val="005962BC"/>
    <w:rsid w:val="005962D1"/>
    <w:rsid w:val="00596ACA"/>
    <w:rsid w:val="00596B5C"/>
    <w:rsid w:val="00596CE9"/>
    <w:rsid w:val="00596DA4"/>
    <w:rsid w:val="005971EE"/>
    <w:rsid w:val="0059739A"/>
    <w:rsid w:val="005973D2"/>
    <w:rsid w:val="005974CC"/>
    <w:rsid w:val="00597712"/>
    <w:rsid w:val="005979F2"/>
    <w:rsid w:val="005A0463"/>
    <w:rsid w:val="005A0584"/>
    <w:rsid w:val="005A0F90"/>
    <w:rsid w:val="005A19D5"/>
    <w:rsid w:val="005A1DE2"/>
    <w:rsid w:val="005A1DFC"/>
    <w:rsid w:val="005A27A0"/>
    <w:rsid w:val="005A28A7"/>
    <w:rsid w:val="005A3087"/>
    <w:rsid w:val="005A3139"/>
    <w:rsid w:val="005A32A9"/>
    <w:rsid w:val="005A3527"/>
    <w:rsid w:val="005A3747"/>
    <w:rsid w:val="005A406E"/>
    <w:rsid w:val="005A439B"/>
    <w:rsid w:val="005A49F2"/>
    <w:rsid w:val="005A4A0E"/>
    <w:rsid w:val="005A4B78"/>
    <w:rsid w:val="005A4D55"/>
    <w:rsid w:val="005A4ECC"/>
    <w:rsid w:val="005A6E7E"/>
    <w:rsid w:val="005A7CCE"/>
    <w:rsid w:val="005B0035"/>
    <w:rsid w:val="005B003D"/>
    <w:rsid w:val="005B04B7"/>
    <w:rsid w:val="005B09DE"/>
    <w:rsid w:val="005B0B8C"/>
    <w:rsid w:val="005B0D34"/>
    <w:rsid w:val="005B1584"/>
    <w:rsid w:val="005B1B8F"/>
    <w:rsid w:val="005B2BF1"/>
    <w:rsid w:val="005B2F6E"/>
    <w:rsid w:val="005B2FB1"/>
    <w:rsid w:val="005B34BC"/>
    <w:rsid w:val="005B34BF"/>
    <w:rsid w:val="005B3619"/>
    <w:rsid w:val="005B4922"/>
    <w:rsid w:val="005B49F6"/>
    <w:rsid w:val="005B5677"/>
    <w:rsid w:val="005B576C"/>
    <w:rsid w:val="005B582C"/>
    <w:rsid w:val="005B5F19"/>
    <w:rsid w:val="005B5F1B"/>
    <w:rsid w:val="005B6256"/>
    <w:rsid w:val="005B6C58"/>
    <w:rsid w:val="005B751B"/>
    <w:rsid w:val="005B79B6"/>
    <w:rsid w:val="005B7C4E"/>
    <w:rsid w:val="005B7D3F"/>
    <w:rsid w:val="005C0165"/>
    <w:rsid w:val="005C021C"/>
    <w:rsid w:val="005C0A06"/>
    <w:rsid w:val="005C0A17"/>
    <w:rsid w:val="005C0AA5"/>
    <w:rsid w:val="005C0BAA"/>
    <w:rsid w:val="005C0BC5"/>
    <w:rsid w:val="005C0D42"/>
    <w:rsid w:val="005C1391"/>
    <w:rsid w:val="005C13A5"/>
    <w:rsid w:val="005C1C35"/>
    <w:rsid w:val="005C1D98"/>
    <w:rsid w:val="005C1F57"/>
    <w:rsid w:val="005C21EC"/>
    <w:rsid w:val="005C2240"/>
    <w:rsid w:val="005C22DC"/>
    <w:rsid w:val="005C2C23"/>
    <w:rsid w:val="005C2DC6"/>
    <w:rsid w:val="005C2DE7"/>
    <w:rsid w:val="005C345C"/>
    <w:rsid w:val="005C3BED"/>
    <w:rsid w:val="005C3D21"/>
    <w:rsid w:val="005C3D87"/>
    <w:rsid w:val="005C4B3B"/>
    <w:rsid w:val="005C4C10"/>
    <w:rsid w:val="005C547C"/>
    <w:rsid w:val="005C556C"/>
    <w:rsid w:val="005C57B5"/>
    <w:rsid w:val="005C5A56"/>
    <w:rsid w:val="005C5EEA"/>
    <w:rsid w:val="005C7B1A"/>
    <w:rsid w:val="005C7BB3"/>
    <w:rsid w:val="005C7EFB"/>
    <w:rsid w:val="005D01CB"/>
    <w:rsid w:val="005D0A5D"/>
    <w:rsid w:val="005D10E4"/>
    <w:rsid w:val="005D11BB"/>
    <w:rsid w:val="005D11FC"/>
    <w:rsid w:val="005D13B3"/>
    <w:rsid w:val="005D1E23"/>
    <w:rsid w:val="005D2148"/>
    <w:rsid w:val="005D21A9"/>
    <w:rsid w:val="005D243D"/>
    <w:rsid w:val="005D2B90"/>
    <w:rsid w:val="005D34FA"/>
    <w:rsid w:val="005D377D"/>
    <w:rsid w:val="005D4031"/>
    <w:rsid w:val="005D4094"/>
    <w:rsid w:val="005D47EA"/>
    <w:rsid w:val="005D4CC7"/>
    <w:rsid w:val="005D50AC"/>
    <w:rsid w:val="005D5410"/>
    <w:rsid w:val="005D59EA"/>
    <w:rsid w:val="005D6AF4"/>
    <w:rsid w:val="005D6B6F"/>
    <w:rsid w:val="005D744F"/>
    <w:rsid w:val="005D7953"/>
    <w:rsid w:val="005D7BB4"/>
    <w:rsid w:val="005D7D64"/>
    <w:rsid w:val="005E073B"/>
    <w:rsid w:val="005E0B7C"/>
    <w:rsid w:val="005E0DA9"/>
    <w:rsid w:val="005E100D"/>
    <w:rsid w:val="005E1363"/>
    <w:rsid w:val="005E1457"/>
    <w:rsid w:val="005E1680"/>
    <w:rsid w:val="005E17B0"/>
    <w:rsid w:val="005E1D7C"/>
    <w:rsid w:val="005E220E"/>
    <w:rsid w:val="005E2706"/>
    <w:rsid w:val="005E2841"/>
    <w:rsid w:val="005E31FC"/>
    <w:rsid w:val="005E3D30"/>
    <w:rsid w:val="005E47BA"/>
    <w:rsid w:val="005E4F63"/>
    <w:rsid w:val="005E52B3"/>
    <w:rsid w:val="005E5330"/>
    <w:rsid w:val="005E5DC5"/>
    <w:rsid w:val="005E5F8C"/>
    <w:rsid w:val="005E6DFC"/>
    <w:rsid w:val="005E7016"/>
    <w:rsid w:val="005E728D"/>
    <w:rsid w:val="005E752C"/>
    <w:rsid w:val="005E7568"/>
    <w:rsid w:val="005E79AE"/>
    <w:rsid w:val="005F0588"/>
    <w:rsid w:val="005F0E98"/>
    <w:rsid w:val="005F12AC"/>
    <w:rsid w:val="005F21F5"/>
    <w:rsid w:val="005F21FC"/>
    <w:rsid w:val="005F239A"/>
    <w:rsid w:val="005F30B7"/>
    <w:rsid w:val="005F34EF"/>
    <w:rsid w:val="005F36BA"/>
    <w:rsid w:val="005F37CC"/>
    <w:rsid w:val="005F3DC7"/>
    <w:rsid w:val="005F3E64"/>
    <w:rsid w:val="005F41A3"/>
    <w:rsid w:val="005F474E"/>
    <w:rsid w:val="005F47FA"/>
    <w:rsid w:val="005F4949"/>
    <w:rsid w:val="005F4EAE"/>
    <w:rsid w:val="005F4F4A"/>
    <w:rsid w:val="005F54B2"/>
    <w:rsid w:val="005F56E9"/>
    <w:rsid w:val="005F5F02"/>
    <w:rsid w:val="005F608E"/>
    <w:rsid w:val="005F63BA"/>
    <w:rsid w:val="005F6512"/>
    <w:rsid w:val="005F651E"/>
    <w:rsid w:val="005F6654"/>
    <w:rsid w:val="005F6770"/>
    <w:rsid w:val="005F7091"/>
    <w:rsid w:val="005F73EB"/>
    <w:rsid w:val="005F7435"/>
    <w:rsid w:val="005F7790"/>
    <w:rsid w:val="005F78C1"/>
    <w:rsid w:val="005F7CE3"/>
    <w:rsid w:val="00600D19"/>
    <w:rsid w:val="00600F51"/>
    <w:rsid w:val="00601CA2"/>
    <w:rsid w:val="00601FBC"/>
    <w:rsid w:val="0060235B"/>
    <w:rsid w:val="00602614"/>
    <w:rsid w:val="00602732"/>
    <w:rsid w:val="00602C99"/>
    <w:rsid w:val="0060331F"/>
    <w:rsid w:val="00603349"/>
    <w:rsid w:val="00603647"/>
    <w:rsid w:val="00603715"/>
    <w:rsid w:val="00603838"/>
    <w:rsid w:val="0060393F"/>
    <w:rsid w:val="00603F1B"/>
    <w:rsid w:val="006048AD"/>
    <w:rsid w:val="006052F1"/>
    <w:rsid w:val="0060546E"/>
    <w:rsid w:val="00605B2A"/>
    <w:rsid w:val="00605B46"/>
    <w:rsid w:val="00605C73"/>
    <w:rsid w:val="00605EA0"/>
    <w:rsid w:val="00605F01"/>
    <w:rsid w:val="00605F0E"/>
    <w:rsid w:val="00606468"/>
    <w:rsid w:val="0060668B"/>
    <w:rsid w:val="006066BA"/>
    <w:rsid w:val="00606A5C"/>
    <w:rsid w:val="00606A6C"/>
    <w:rsid w:val="00607072"/>
    <w:rsid w:val="006072F5"/>
    <w:rsid w:val="0060795F"/>
    <w:rsid w:val="00607B74"/>
    <w:rsid w:val="006103AC"/>
    <w:rsid w:val="00610598"/>
    <w:rsid w:val="00610661"/>
    <w:rsid w:val="0061095A"/>
    <w:rsid w:val="00610A45"/>
    <w:rsid w:val="00610B9A"/>
    <w:rsid w:val="006111C0"/>
    <w:rsid w:val="006112F3"/>
    <w:rsid w:val="006118AB"/>
    <w:rsid w:val="00611D4A"/>
    <w:rsid w:val="00611DE5"/>
    <w:rsid w:val="00611F3A"/>
    <w:rsid w:val="00612352"/>
    <w:rsid w:val="0061273A"/>
    <w:rsid w:val="00612937"/>
    <w:rsid w:val="00612B8C"/>
    <w:rsid w:val="00613102"/>
    <w:rsid w:val="00613150"/>
    <w:rsid w:val="00613E0E"/>
    <w:rsid w:val="00613FA2"/>
    <w:rsid w:val="006141FB"/>
    <w:rsid w:val="006145F6"/>
    <w:rsid w:val="006145FA"/>
    <w:rsid w:val="006152F6"/>
    <w:rsid w:val="0061536F"/>
    <w:rsid w:val="00615588"/>
    <w:rsid w:val="0061573E"/>
    <w:rsid w:val="00615BDA"/>
    <w:rsid w:val="00615FE9"/>
    <w:rsid w:val="006160B5"/>
    <w:rsid w:val="0061675D"/>
    <w:rsid w:val="00617A5F"/>
    <w:rsid w:val="0062012D"/>
    <w:rsid w:val="00620168"/>
    <w:rsid w:val="00620403"/>
    <w:rsid w:val="00620A8B"/>
    <w:rsid w:val="00620BA9"/>
    <w:rsid w:val="00621195"/>
    <w:rsid w:val="006211CE"/>
    <w:rsid w:val="00621386"/>
    <w:rsid w:val="006216C1"/>
    <w:rsid w:val="00621F01"/>
    <w:rsid w:val="0062321A"/>
    <w:rsid w:val="0062416E"/>
    <w:rsid w:val="0062423C"/>
    <w:rsid w:val="006244EA"/>
    <w:rsid w:val="00624CE2"/>
    <w:rsid w:val="006251D9"/>
    <w:rsid w:val="0062575D"/>
    <w:rsid w:val="00625A21"/>
    <w:rsid w:val="00625F46"/>
    <w:rsid w:val="006266BA"/>
    <w:rsid w:val="00627308"/>
    <w:rsid w:val="00627429"/>
    <w:rsid w:val="006277E0"/>
    <w:rsid w:val="00627ADE"/>
    <w:rsid w:val="00630329"/>
    <w:rsid w:val="0063114B"/>
    <w:rsid w:val="00631949"/>
    <w:rsid w:val="00631CD3"/>
    <w:rsid w:val="00632241"/>
    <w:rsid w:val="006324C6"/>
    <w:rsid w:val="00632D7F"/>
    <w:rsid w:val="00632E0B"/>
    <w:rsid w:val="0063305F"/>
    <w:rsid w:val="00633107"/>
    <w:rsid w:val="00633C30"/>
    <w:rsid w:val="00633C34"/>
    <w:rsid w:val="00633D67"/>
    <w:rsid w:val="00634028"/>
    <w:rsid w:val="006351E9"/>
    <w:rsid w:val="00635549"/>
    <w:rsid w:val="00635640"/>
    <w:rsid w:val="00635681"/>
    <w:rsid w:val="00635C6F"/>
    <w:rsid w:val="00636806"/>
    <w:rsid w:val="006369B7"/>
    <w:rsid w:val="00636B0A"/>
    <w:rsid w:val="00636C90"/>
    <w:rsid w:val="00637084"/>
    <w:rsid w:val="006370BC"/>
    <w:rsid w:val="00637276"/>
    <w:rsid w:val="006377AF"/>
    <w:rsid w:val="0063781C"/>
    <w:rsid w:val="00637AC4"/>
    <w:rsid w:val="0064004C"/>
    <w:rsid w:val="006402C5"/>
    <w:rsid w:val="00640769"/>
    <w:rsid w:val="00640A4C"/>
    <w:rsid w:val="00640B39"/>
    <w:rsid w:val="00640D90"/>
    <w:rsid w:val="006410CA"/>
    <w:rsid w:val="006411F8"/>
    <w:rsid w:val="006412B6"/>
    <w:rsid w:val="00641312"/>
    <w:rsid w:val="00641F1E"/>
    <w:rsid w:val="00642059"/>
    <w:rsid w:val="006420E2"/>
    <w:rsid w:val="00642148"/>
    <w:rsid w:val="00642B0E"/>
    <w:rsid w:val="00642BAA"/>
    <w:rsid w:val="006431C3"/>
    <w:rsid w:val="00643810"/>
    <w:rsid w:val="00643943"/>
    <w:rsid w:val="00643ADA"/>
    <w:rsid w:val="006445AB"/>
    <w:rsid w:val="0064469C"/>
    <w:rsid w:val="00644DC7"/>
    <w:rsid w:val="00645101"/>
    <w:rsid w:val="006453BC"/>
    <w:rsid w:val="00645510"/>
    <w:rsid w:val="006457BB"/>
    <w:rsid w:val="00645A12"/>
    <w:rsid w:val="00645C5B"/>
    <w:rsid w:val="00645E44"/>
    <w:rsid w:val="00646300"/>
    <w:rsid w:val="006466ED"/>
    <w:rsid w:val="00646B0D"/>
    <w:rsid w:val="00646E30"/>
    <w:rsid w:val="00647171"/>
    <w:rsid w:val="00647733"/>
    <w:rsid w:val="00647825"/>
    <w:rsid w:val="00647D6F"/>
    <w:rsid w:val="006512CD"/>
    <w:rsid w:val="006514F8"/>
    <w:rsid w:val="006516F2"/>
    <w:rsid w:val="00651D9D"/>
    <w:rsid w:val="00651E9E"/>
    <w:rsid w:val="00652832"/>
    <w:rsid w:val="00652B0F"/>
    <w:rsid w:val="00652D6A"/>
    <w:rsid w:val="00652DC2"/>
    <w:rsid w:val="00652DF6"/>
    <w:rsid w:val="006530DA"/>
    <w:rsid w:val="006534B5"/>
    <w:rsid w:val="00653655"/>
    <w:rsid w:val="00653B31"/>
    <w:rsid w:val="006544CF"/>
    <w:rsid w:val="00654D98"/>
    <w:rsid w:val="0065507C"/>
    <w:rsid w:val="00655215"/>
    <w:rsid w:val="00655723"/>
    <w:rsid w:val="006567D6"/>
    <w:rsid w:val="00656C5B"/>
    <w:rsid w:val="00656DF2"/>
    <w:rsid w:val="006570C1"/>
    <w:rsid w:val="006577C0"/>
    <w:rsid w:val="006604F2"/>
    <w:rsid w:val="0066061A"/>
    <w:rsid w:val="006607D3"/>
    <w:rsid w:val="00660CF6"/>
    <w:rsid w:val="006616E6"/>
    <w:rsid w:val="00661D34"/>
    <w:rsid w:val="00662238"/>
    <w:rsid w:val="00662567"/>
    <w:rsid w:val="00662760"/>
    <w:rsid w:val="00662D0C"/>
    <w:rsid w:val="00662DFD"/>
    <w:rsid w:val="0066309A"/>
    <w:rsid w:val="006631D7"/>
    <w:rsid w:val="0066323B"/>
    <w:rsid w:val="0066324B"/>
    <w:rsid w:val="006635DA"/>
    <w:rsid w:val="00663676"/>
    <w:rsid w:val="00663D39"/>
    <w:rsid w:val="00663DD7"/>
    <w:rsid w:val="006642F0"/>
    <w:rsid w:val="006644EB"/>
    <w:rsid w:val="00664BCE"/>
    <w:rsid w:val="006655D4"/>
    <w:rsid w:val="00665669"/>
    <w:rsid w:val="006657E0"/>
    <w:rsid w:val="006659B6"/>
    <w:rsid w:val="00665B40"/>
    <w:rsid w:val="00665B82"/>
    <w:rsid w:val="00665CED"/>
    <w:rsid w:val="006665DD"/>
    <w:rsid w:val="0066660E"/>
    <w:rsid w:val="0066662F"/>
    <w:rsid w:val="0066663A"/>
    <w:rsid w:val="0066667D"/>
    <w:rsid w:val="00666BA1"/>
    <w:rsid w:val="00666D5F"/>
    <w:rsid w:val="006670C6"/>
    <w:rsid w:val="0066712C"/>
    <w:rsid w:val="0066740B"/>
    <w:rsid w:val="00667EC9"/>
    <w:rsid w:val="006706B5"/>
    <w:rsid w:val="00670AEC"/>
    <w:rsid w:val="00670C97"/>
    <w:rsid w:val="00670F66"/>
    <w:rsid w:val="00670FB4"/>
    <w:rsid w:val="00671822"/>
    <w:rsid w:val="00671AA7"/>
    <w:rsid w:val="00671B00"/>
    <w:rsid w:val="00673192"/>
    <w:rsid w:val="00673193"/>
    <w:rsid w:val="0067349E"/>
    <w:rsid w:val="0067372E"/>
    <w:rsid w:val="00673DA0"/>
    <w:rsid w:val="006745AF"/>
    <w:rsid w:val="00674E86"/>
    <w:rsid w:val="006754F6"/>
    <w:rsid w:val="00675572"/>
    <w:rsid w:val="0067589C"/>
    <w:rsid w:val="00675AF0"/>
    <w:rsid w:val="00675FBC"/>
    <w:rsid w:val="0067624C"/>
    <w:rsid w:val="00676277"/>
    <w:rsid w:val="006765E3"/>
    <w:rsid w:val="006767B1"/>
    <w:rsid w:val="00676E57"/>
    <w:rsid w:val="006771FD"/>
    <w:rsid w:val="006772A7"/>
    <w:rsid w:val="00677599"/>
    <w:rsid w:val="00677666"/>
    <w:rsid w:val="006776CE"/>
    <w:rsid w:val="006778D3"/>
    <w:rsid w:val="00677E63"/>
    <w:rsid w:val="00677F29"/>
    <w:rsid w:val="00680692"/>
    <w:rsid w:val="00680C04"/>
    <w:rsid w:val="006810D8"/>
    <w:rsid w:val="00681550"/>
    <w:rsid w:val="00681CB5"/>
    <w:rsid w:val="00681CC3"/>
    <w:rsid w:val="006820C0"/>
    <w:rsid w:val="0068228D"/>
    <w:rsid w:val="0068261D"/>
    <w:rsid w:val="00682ADE"/>
    <w:rsid w:val="00682C60"/>
    <w:rsid w:val="00682D4F"/>
    <w:rsid w:val="00682E04"/>
    <w:rsid w:val="00683000"/>
    <w:rsid w:val="0068312E"/>
    <w:rsid w:val="006831EF"/>
    <w:rsid w:val="0068324C"/>
    <w:rsid w:val="00683262"/>
    <w:rsid w:val="0068339C"/>
    <w:rsid w:val="006837C2"/>
    <w:rsid w:val="00683808"/>
    <w:rsid w:val="00683965"/>
    <w:rsid w:val="0068432E"/>
    <w:rsid w:val="00684734"/>
    <w:rsid w:val="00684AD9"/>
    <w:rsid w:val="00684B8E"/>
    <w:rsid w:val="0068589F"/>
    <w:rsid w:val="00685AC0"/>
    <w:rsid w:val="00685C00"/>
    <w:rsid w:val="006862EC"/>
    <w:rsid w:val="0068649F"/>
    <w:rsid w:val="00686F08"/>
    <w:rsid w:val="00687546"/>
    <w:rsid w:val="00687AEC"/>
    <w:rsid w:val="00687FB1"/>
    <w:rsid w:val="006908B1"/>
    <w:rsid w:val="006908B4"/>
    <w:rsid w:val="00690CD2"/>
    <w:rsid w:val="0069114D"/>
    <w:rsid w:val="00691209"/>
    <w:rsid w:val="00691709"/>
    <w:rsid w:val="00692522"/>
    <w:rsid w:val="00693971"/>
    <w:rsid w:val="00693B6B"/>
    <w:rsid w:val="00693CD2"/>
    <w:rsid w:val="00694248"/>
    <w:rsid w:val="0069506A"/>
    <w:rsid w:val="00695B80"/>
    <w:rsid w:val="00695F5F"/>
    <w:rsid w:val="0069687A"/>
    <w:rsid w:val="0069693B"/>
    <w:rsid w:val="00696C16"/>
    <w:rsid w:val="0069705B"/>
    <w:rsid w:val="00697107"/>
    <w:rsid w:val="00697188"/>
    <w:rsid w:val="00697371"/>
    <w:rsid w:val="006975E3"/>
    <w:rsid w:val="00697FB8"/>
    <w:rsid w:val="006A01C5"/>
    <w:rsid w:val="006A08CB"/>
    <w:rsid w:val="006A0EBF"/>
    <w:rsid w:val="006A1085"/>
    <w:rsid w:val="006A1B21"/>
    <w:rsid w:val="006A242D"/>
    <w:rsid w:val="006A25D1"/>
    <w:rsid w:val="006A28EA"/>
    <w:rsid w:val="006A2AD7"/>
    <w:rsid w:val="006A2B4E"/>
    <w:rsid w:val="006A2BC0"/>
    <w:rsid w:val="006A2E7A"/>
    <w:rsid w:val="006A3F9B"/>
    <w:rsid w:val="006A48FD"/>
    <w:rsid w:val="006A4A8E"/>
    <w:rsid w:val="006A4F14"/>
    <w:rsid w:val="006A5001"/>
    <w:rsid w:val="006A5440"/>
    <w:rsid w:val="006A57B3"/>
    <w:rsid w:val="006A6086"/>
    <w:rsid w:val="006A676A"/>
    <w:rsid w:val="006A68B4"/>
    <w:rsid w:val="006A6BBC"/>
    <w:rsid w:val="006A6F30"/>
    <w:rsid w:val="006A7072"/>
    <w:rsid w:val="006A72FF"/>
    <w:rsid w:val="006A7342"/>
    <w:rsid w:val="006A7919"/>
    <w:rsid w:val="006A79AE"/>
    <w:rsid w:val="006A7A60"/>
    <w:rsid w:val="006B03AC"/>
    <w:rsid w:val="006B0BE9"/>
    <w:rsid w:val="006B0F74"/>
    <w:rsid w:val="006B13C5"/>
    <w:rsid w:val="006B1456"/>
    <w:rsid w:val="006B15A4"/>
    <w:rsid w:val="006B1D95"/>
    <w:rsid w:val="006B1F5B"/>
    <w:rsid w:val="006B2F2E"/>
    <w:rsid w:val="006B37A6"/>
    <w:rsid w:val="006B3854"/>
    <w:rsid w:val="006B38AC"/>
    <w:rsid w:val="006B3A22"/>
    <w:rsid w:val="006B3AB1"/>
    <w:rsid w:val="006B3B8C"/>
    <w:rsid w:val="006B4217"/>
    <w:rsid w:val="006B43BD"/>
    <w:rsid w:val="006B4A20"/>
    <w:rsid w:val="006B4C8C"/>
    <w:rsid w:val="006B5212"/>
    <w:rsid w:val="006B534B"/>
    <w:rsid w:val="006B5787"/>
    <w:rsid w:val="006B57C1"/>
    <w:rsid w:val="006B5DEE"/>
    <w:rsid w:val="006B6CBF"/>
    <w:rsid w:val="006B7E00"/>
    <w:rsid w:val="006B7E50"/>
    <w:rsid w:val="006C01CD"/>
    <w:rsid w:val="006C09BB"/>
    <w:rsid w:val="006C10B8"/>
    <w:rsid w:val="006C1BFF"/>
    <w:rsid w:val="006C1E26"/>
    <w:rsid w:val="006C207C"/>
    <w:rsid w:val="006C24A7"/>
    <w:rsid w:val="006C2684"/>
    <w:rsid w:val="006C34CB"/>
    <w:rsid w:val="006C3683"/>
    <w:rsid w:val="006C43B7"/>
    <w:rsid w:val="006C4440"/>
    <w:rsid w:val="006C46FD"/>
    <w:rsid w:val="006C472B"/>
    <w:rsid w:val="006C4C88"/>
    <w:rsid w:val="006C53BA"/>
    <w:rsid w:val="006C5979"/>
    <w:rsid w:val="006C64C1"/>
    <w:rsid w:val="006C6765"/>
    <w:rsid w:val="006C6996"/>
    <w:rsid w:val="006C6A14"/>
    <w:rsid w:val="006C73E2"/>
    <w:rsid w:val="006C762E"/>
    <w:rsid w:val="006C7646"/>
    <w:rsid w:val="006C76B8"/>
    <w:rsid w:val="006C76BC"/>
    <w:rsid w:val="006D01C7"/>
    <w:rsid w:val="006D02AE"/>
    <w:rsid w:val="006D0340"/>
    <w:rsid w:val="006D0383"/>
    <w:rsid w:val="006D0F8A"/>
    <w:rsid w:val="006D1274"/>
    <w:rsid w:val="006D12D7"/>
    <w:rsid w:val="006D13E4"/>
    <w:rsid w:val="006D14AA"/>
    <w:rsid w:val="006D165F"/>
    <w:rsid w:val="006D21FA"/>
    <w:rsid w:val="006D22E3"/>
    <w:rsid w:val="006D2605"/>
    <w:rsid w:val="006D27F6"/>
    <w:rsid w:val="006D29F8"/>
    <w:rsid w:val="006D3784"/>
    <w:rsid w:val="006D399C"/>
    <w:rsid w:val="006D3DC0"/>
    <w:rsid w:val="006D4549"/>
    <w:rsid w:val="006D50A3"/>
    <w:rsid w:val="006D552F"/>
    <w:rsid w:val="006D5557"/>
    <w:rsid w:val="006D5FFA"/>
    <w:rsid w:val="006D650E"/>
    <w:rsid w:val="006D688C"/>
    <w:rsid w:val="006D6A44"/>
    <w:rsid w:val="006D6A88"/>
    <w:rsid w:val="006D6B33"/>
    <w:rsid w:val="006D6CEB"/>
    <w:rsid w:val="006D6F65"/>
    <w:rsid w:val="006D738F"/>
    <w:rsid w:val="006D7921"/>
    <w:rsid w:val="006E0735"/>
    <w:rsid w:val="006E07B5"/>
    <w:rsid w:val="006E0D79"/>
    <w:rsid w:val="006E0DC7"/>
    <w:rsid w:val="006E12E2"/>
    <w:rsid w:val="006E1417"/>
    <w:rsid w:val="006E1663"/>
    <w:rsid w:val="006E1B4A"/>
    <w:rsid w:val="006E215C"/>
    <w:rsid w:val="006E21F1"/>
    <w:rsid w:val="006E263B"/>
    <w:rsid w:val="006E2904"/>
    <w:rsid w:val="006E2C5E"/>
    <w:rsid w:val="006E2D96"/>
    <w:rsid w:val="006E3389"/>
    <w:rsid w:val="006E34B6"/>
    <w:rsid w:val="006E3783"/>
    <w:rsid w:val="006E37F5"/>
    <w:rsid w:val="006E3878"/>
    <w:rsid w:val="006E38D8"/>
    <w:rsid w:val="006E38F0"/>
    <w:rsid w:val="006E3932"/>
    <w:rsid w:val="006E3D20"/>
    <w:rsid w:val="006E3EF2"/>
    <w:rsid w:val="006E3F31"/>
    <w:rsid w:val="006E426A"/>
    <w:rsid w:val="006E478D"/>
    <w:rsid w:val="006E4B73"/>
    <w:rsid w:val="006E5083"/>
    <w:rsid w:val="006E508D"/>
    <w:rsid w:val="006E541B"/>
    <w:rsid w:val="006E55E9"/>
    <w:rsid w:val="006E56B4"/>
    <w:rsid w:val="006E5990"/>
    <w:rsid w:val="006E600E"/>
    <w:rsid w:val="006E60D9"/>
    <w:rsid w:val="006E60FA"/>
    <w:rsid w:val="006E6104"/>
    <w:rsid w:val="006E63D7"/>
    <w:rsid w:val="006E66E1"/>
    <w:rsid w:val="006E6703"/>
    <w:rsid w:val="006E67F0"/>
    <w:rsid w:val="006E67F2"/>
    <w:rsid w:val="006E689F"/>
    <w:rsid w:val="006E6AE7"/>
    <w:rsid w:val="006E6DA7"/>
    <w:rsid w:val="006E6F88"/>
    <w:rsid w:val="006E7073"/>
    <w:rsid w:val="006E7096"/>
    <w:rsid w:val="006E73A2"/>
    <w:rsid w:val="006E73F9"/>
    <w:rsid w:val="006E7471"/>
    <w:rsid w:val="006E79ED"/>
    <w:rsid w:val="006E7A4C"/>
    <w:rsid w:val="006E7C8B"/>
    <w:rsid w:val="006E7F3C"/>
    <w:rsid w:val="006F04A3"/>
    <w:rsid w:val="006F0693"/>
    <w:rsid w:val="006F0887"/>
    <w:rsid w:val="006F0EFC"/>
    <w:rsid w:val="006F13F7"/>
    <w:rsid w:val="006F1670"/>
    <w:rsid w:val="006F1917"/>
    <w:rsid w:val="006F1AA3"/>
    <w:rsid w:val="006F1F0B"/>
    <w:rsid w:val="006F2A74"/>
    <w:rsid w:val="006F2B60"/>
    <w:rsid w:val="006F2CC1"/>
    <w:rsid w:val="006F358E"/>
    <w:rsid w:val="006F3AC5"/>
    <w:rsid w:val="006F3D8C"/>
    <w:rsid w:val="006F3E45"/>
    <w:rsid w:val="006F412A"/>
    <w:rsid w:val="006F4A8D"/>
    <w:rsid w:val="006F4E5D"/>
    <w:rsid w:val="006F525A"/>
    <w:rsid w:val="006F533C"/>
    <w:rsid w:val="006F53DE"/>
    <w:rsid w:val="006F56D7"/>
    <w:rsid w:val="006F5A35"/>
    <w:rsid w:val="006F5AA2"/>
    <w:rsid w:val="006F5E3E"/>
    <w:rsid w:val="006F6338"/>
    <w:rsid w:val="006F64AD"/>
    <w:rsid w:val="006F66CA"/>
    <w:rsid w:val="006F6947"/>
    <w:rsid w:val="006F6961"/>
    <w:rsid w:val="006F6A50"/>
    <w:rsid w:val="006F6B4A"/>
    <w:rsid w:val="006F7458"/>
    <w:rsid w:val="006F7B4C"/>
    <w:rsid w:val="00700013"/>
    <w:rsid w:val="00700229"/>
    <w:rsid w:val="00700336"/>
    <w:rsid w:val="007009D4"/>
    <w:rsid w:val="00700D12"/>
    <w:rsid w:val="007019FC"/>
    <w:rsid w:val="00701B63"/>
    <w:rsid w:val="00702180"/>
    <w:rsid w:val="00702296"/>
    <w:rsid w:val="00702A4A"/>
    <w:rsid w:val="00702ECE"/>
    <w:rsid w:val="00703034"/>
    <w:rsid w:val="00703A4A"/>
    <w:rsid w:val="0070405E"/>
    <w:rsid w:val="00704329"/>
    <w:rsid w:val="00704860"/>
    <w:rsid w:val="00704876"/>
    <w:rsid w:val="00704E1D"/>
    <w:rsid w:val="00705353"/>
    <w:rsid w:val="0070556C"/>
    <w:rsid w:val="007057AA"/>
    <w:rsid w:val="00706050"/>
    <w:rsid w:val="0070606E"/>
    <w:rsid w:val="00706565"/>
    <w:rsid w:val="007066A6"/>
    <w:rsid w:val="00706CC4"/>
    <w:rsid w:val="00706F7F"/>
    <w:rsid w:val="00707211"/>
    <w:rsid w:val="00707230"/>
    <w:rsid w:val="00707418"/>
    <w:rsid w:val="00707BDE"/>
    <w:rsid w:val="007104EE"/>
    <w:rsid w:val="00710872"/>
    <w:rsid w:val="00710968"/>
    <w:rsid w:val="00710B61"/>
    <w:rsid w:val="00711265"/>
    <w:rsid w:val="007115F5"/>
    <w:rsid w:val="00711793"/>
    <w:rsid w:val="007119BF"/>
    <w:rsid w:val="00711E1A"/>
    <w:rsid w:val="007123B3"/>
    <w:rsid w:val="00712941"/>
    <w:rsid w:val="00712C93"/>
    <w:rsid w:val="00713C56"/>
    <w:rsid w:val="00713D49"/>
    <w:rsid w:val="00713E62"/>
    <w:rsid w:val="00713FED"/>
    <w:rsid w:val="00714109"/>
    <w:rsid w:val="0071518D"/>
    <w:rsid w:val="0071555D"/>
    <w:rsid w:val="00715A20"/>
    <w:rsid w:val="00715A44"/>
    <w:rsid w:val="0071638F"/>
    <w:rsid w:val="00716661"/>
    <w:rsid w:val="00716A57"/>
    <w:rsid w:val="0071756B"/>
    <w:rsid w:val="007176AA"/>
    <w:rsid w:val="00717784"/>
    <w:rsid w:val="007177BB"/>
    <w:rsid w:val="0071796E"/>
    <w:rsid w:val="007200F7"/>
    <w:rsid w:val="007202DB"/>
    <w:rsid w:val="00720371"/>
    <w:rsid w:val="007204EA"/>
    <w:rsid w:val="00720702"/>
    <w:rsid w:val="00720DEA"/>
    <w:rsid w:val="00721927"/>
    <w:rsid w:val="00721A73"/>
    <w:rsid w:val="00721BAE"/>
    <w:rsid w:val="00722A11"/>
    <w:rsid w:val="00723007"/>
    <w:rsid w:val="00723176"/>
    <w:rsid w:val="00723614"/>
    <w:rsid w:val="00723799"/>
    <w:rsid w:val="00724C66"/>
    <w:rsid w:val="00724DC0"/>
    <w:rsid w:val="007250E3"/>
    <w:rsid w:val="007253A1"/>
    <w:rsid w:val="0072578C"/>
    <w:rsid w:val="00725819"/>
    <w:rsid w:val="00725C55"/>
    <w:rsid w:val="00725D3E"/>
    <w:rsid w:val="00725E31"/>
    <w:rsid w:val="0072627C"/>
    <w:rsid w:val="007264A3"/>
    <w:rsid w:val="00726641"/>
    <w:rsid w:val="0072669E"/>
    <w:rsid w:val="00726F50"/>
    <w:rsid w:val="0072795A"/>
    <w:rsid w:val="00727ED8"/>
    <w:rsid w:val="007300F5"/>
    <w:rsid w:val="007306DC"/>
    <w:rsid w:val="0073078C"/>
    <w:rsid w:val="007309CE"/>
    <w:rsid w:val="00730E2B"/>
    <w:rsid w:val="007315EA"/>
    <w:rsid w:val="00731828"/>
    <w:rsid w:val="00731DF0"/>
    <w:rsid w:val="00731E58"/>
    <w:rsid w:val="007323C9"/>
    <w:rsid w:val="00732C51"/>
    <w:rsid w:val="00732EF5"/>
    <w:rsid w:val="00733C6D"/>
    <w:rsid w:val="00733F45"/>
    <w:rsid w:val="00734C21"/>
    <w:rsid w:val="00734DEE"/>
    <w:rsid w:val="00735D0F"/>
    <w:rsid w:val="00735DE6"/>
    <w:rsid w:val="00735EF5"/>
    <w:rsid w:val="00736358"/>
    <w:rsid w:val="0073674D"/>
    <w:rsid w:val="00740029"/>
    <w:rsid w:val="007404EB"/>
    <w:rsid w:val="0074132B"/>
    <w:rsid w:val="007414E2"/>
    <w:rsid w:val="00741BAF"/>
    <w:rsid w:val="00741FA8"/>
    <w:rsid w:val="0074281E"/>
    <w:rsid w:val="00742A2B"/>
    <w:rsid w:val="00742AC4"/>
    <w:rsid w:val="007432D0"/>
    <w:rsid w:val="00743424"/>
    <w:rsid w:val="007435DC"/>
    <w:rsid w:val="00743686"/>
    <w:rsid w:val="00743797"/>
    <w:rsid w:val="0074397E"/>
    <w:rsid w:val="00743CBC"/>
    <w:rsid w:val="00743F0D"/>
    <w:rsid w:val="007441FC"/>
    <w:rsid w:val="0074460B"/>
    <w:rsid w:val="00744838"/>
    <w:rsid w:val="00744B03"/>
    <w:rsid w:val="00744D04"/>
    <w:rsid w:val="00744D35"/>
    <w:rsid w:val="0074508B"/>
    <w:rsid w:val="00745F79"/>
    <w:rsid w:val="0074675A"/>
    <w:rsid w:val="0074677F"/>
    <w:rsid w:val="00747DD0"/>
    <w:rsid w:val="00747EDE"/>
    <w:rsid w:val="00750056"/>
    <w:rsid w:val="00750086"/>
    <w:rsid w:val="0075014A"/>
    <w:rsid w:val="007501BC"/>
    <w:rsid w:val="0075054E"/>
    <w:rsid w:val="0075058E"/>
    <w:rsid w:val="00750AAB"/>
    <w:rsid w:val="00750C84"/>
    <w:rsid w:val="00750DAA"/>
    <w:rsid w:val="00751849"/>
    <w:rsid w:val="00751F1E"/>
    <w:rsid w:val="00752158"/>
    <w:rsid w:val="00752224"/>
    <w:rsid w:val="0075245E"/>
    <w:rsid w:val="00752F26"/>
    <w:rsid w:val="007533DA"/>
    <w:rsid w:val="007536F3"/>
    <w:rsid w:val="0075380E"/>
    <w:rsid w:val="00753AC7"/>
    <w:rsid w:val="00753B2A"/>
    <w:rsid w:val="00753E42"/>
    <w:rsid w:val="00753FBE"/>
    <w:rsid w:val="00754993"/>
    <w:rsid w:val="00754A72"/>
    <w:rsid w:val="00754B5F"/>
    <w:rsid w:val="00754E29"/>
    <w:rsid w:val="00754F34"/>
    <w:rsid w:val="00755092"/>
    <w:rsid w:val="00755A16"/>
    <w:rsid w:val="00755EB0"/>
    <w:rsid w:val="00756237"/>
    <w:rsid w:val="0075671E"/>
    <w:rsid w:val="0075695B"/>
    <w:rsid w:val="00756B82"/>
    <w:rsid w:val="00756BBC"/>
    <w:rsid w:val="00756DB5"/>
    <w:rsid w:val="00757124"/>
    <w:rsid w:val="00757AD4"/>
    <w:rsid w:val="00757BCB"/>
    <w:rsid w:val="0076046E"/>
    <w:rsid w:val="007605DE"/>
    <w:rsid w:val="00760A00"/>
    <w:rsid w:val="00761263"/>
    <w:rsid w:val="00761371"/>
    <w:rsid w:val="00761A91"/>
    <w:rsid w:val="00761D64"/>
    <w:rsid w:val="00761F01"/>
    <w:rsid w:val="00762A25"/>
    <w:rsid w:val="00762B18"/>
    <w:rsid w:val="00762F50"/>
    <w:rsid w:val="00763432"/>
    <w:rsid w:val="0076367D"/>
    <w:rsid w:val="007639DC"/>
    <w:rsid w:val="00763AC8"/>
    <w:rsid w:val="00763B9C"/>
    <w:rsid w:val="0076442E"/>
    <w:rsid w:val="00765726"/>
    <w:rsid w:val="0076590D"/>
    <w:rsid w:val="00765931"/>
    <w:rsid w:val="0076599F"/>
    <w:rsid w:val="00765A7C"/>
    <w:rsid w:val="00765F76"/>
    <w:rsid w:val="007661E6"/>
    <w:rsid w:val="007664CA"/>
    <w:rsid w:val="007665E6"/>
    <w:rsid w:val="00766B4E"/>
    <w:rsid w:val="0076733F"/>
    <w:rsid w:val="00767D3E"/>
    <w:rsid w:val="00770768"/>
    <w:rsid w:val="00770878"/>
    <w:rsid w:val="00770A26"/>
    <w:rsid w:val="007710EB"/>
    <w:rsid w:val="00771418"/>
    <w:rsid w:val="00771D44"/>
    <w:rsid w:val="00772498"/>
    <w:rsid w:val="00772C0B"/>
    <w:rsid w:val="00773025"/>
    <w:rsid w:val="007732CD"/>
    <w:rsid w:val="00773941"/>
    <w:rsid w:val="00773CAA"/>
    <w:rsid w:val="0077460C"/>
    <w:rsid w:val="007748F3"/>
    <w:rsid w:val="00774D2A"/>
    <w:rsid w:val="0077541A"/>
    <w:rsid w:val="00775550"/>
    <w:rsid w:val="00775805"/>
    <w:rsid w:val="00775AEF"/>
    <w:rsid w:val="00775B3D"/>
    <w:rsid w:val="00775DBE"/>
    <w:rsid w:val="00775DE4"/>
    <w:rsid w:val="00775EE9"/>
    <w:rsid w:val="007763D2"/>
    <w:rsid w:val="00776543"/>
    <w:rsid w:val="007766E2"/>
    <w:rsid w:val="00776715"/>
    <w:rsid w:val="00776A6E"/>
    <w:rsid w:val="00776C1A"/>
    <w:rsid w:val="00776EFB"/>
    <w:rsid w:val="00777061"/>
    <w:rsid w:val="0077784C"/>
    <w:rsid w:val="00777A65"/>
    <w:rsid w:val="00777BA5"/>
    <w:rsid w:val="00777F37"/>
    <w:rsid w:val="00781477"/>
    <w:rsid w:val="007818D2"/>
    <w:rsid w:val="007819D1"/>
    <w:rsid w:val="00781EBE"/>
    <w:rsid w:val="00782188"/>
    <w:rsid w:val="0078398B"/>
    <w:rsid w:val="00783C2F"/>
    <w:rsid w:val="00783FF9"/>
    <w:rsid w:val="00784055"/>
    <w:rsid w:val="00784AF2"/>
    <w:rsid w:val="00784D56"/>
    <w:rsid w:val="00784DF8"/>
    <w:rsid w:val="0078531F"/>
    <w:rsid w:val="00785B0E"/>
    <w:rsid w:val="00786235"/>
    <w:rsid w:val="00786479"/>
    <w:rsid w:val="00786A28"/>
    <w:rsid w:val="00787812"/>
    <w:rsid w:val="007878D2"/>
    <w:rsid w:val="00787969"/>
    <w:rsid w:val="007879CC"/>
    <w:rsid w:val="00787C2C"/>
    <w:rsid w:val="00787D60"/>
    <w:rsid w:val="00790280"/>
    <w:rsid w:val="00790DC0"/>
    <w:rsid w:val="00791117"/>
    <w:rsid w:val="007911A3"/>
    <w:rsid w:val="00791435"/>
    <w:rsid w:val="00791577"/>
    <w:rsid w:val="00792EA1"/>
    <w:rsid w:val="007936F5"/>
    <w:rsid w:val="0079379A"/>
    <w:rsid w:val="007939C5"/>
    <w:rsid w:val="00793FD9"/>
    <w:rsid w:val="00794439"/>
    <w:rsid w:val="0079485B"/>
    <w:rsid w:val="00795006"/>
    <w:rsid w:val="007952BB"/>
    <w:rsid w:val="007958F2"/>
    <w:rsid w:val="007966F5"/>
    <w:rsid w:val="00797337"/>
    <w:rsid w:val="0079745E"/>
    <w:rsid w:val="007978E3"/>
    <w:rsid w:val="00797B65"/>
    <w:rsid w:val="007A02C3"/>
    <w:rsid w:val="007A07FC"/>
    <w:rsid w:val="007A08E1"/>
    <w:rsid w:val="007A1192"/>
    <w:rsid w:val="007A11CE"/>
    <w:rsid w:val="007A1A2B"/>
    <w:rsid w:val="007A2091"/>
    <w:rsid w:val="007A27FF"/>
    <w:rsid w:val="007A2ADE"/>
    <w:rsid w:val="007A363D"/>
    <w:rsid w:val="007A3DC5"/>
    <w:rsid w:val="007A3F8E"/>
    <w:rsid w:val="007A4220"/>
    <w:rsid w:val="007A43EF"/>
    <w:rsid w:val="007A44E4"/>
    <w:rsid w:val="007A487C"/>
    <w:rsid w:val="007A4EDB"/>
    <w:rsid w:val="007A594B"/>
    <w:rsid w:val="007A630E"/>
    <w:rsid w:val="007A66CB"/>
    <w:rsid w:val="007A6976"/>
    <w:rsid w:val="007A6A90"/>
    <w:rsid w:val="007A6E11"/>
    <w:rsid w:val="007A731C"/>
    <w:rsid w:val="007A7D71"/>
    <w:rsid w:val="007B0163"/>
    <w:rsid w:val="007B01FE"/>
    <w:rsid w:val="007B0297"/>
    <w:rsid w:val="007B03D1"/>
    <w:rsid w:val="007B0426"/>
    <w:rsid w:val="007B07A2"/>
    <w:rsid w:val="007B1118"/>
    <w:rsid w:val="007B11B8"/>
    <w:rsid w:val="007B1245"/>
    <w:rsid w:val="007B22C3"/>
    <w:rsid w:val="007B244E"/>
    <w:rsid w:val="007B26DB"/>
    <w:rsid w:val="007B298F"/>
    <w:rsid w:val="007B2D09"/>
    <w:rsid w:val="007B32D7"/>
    <w:rsid w:val="007B3300"/>
    <w:rsid w:val="007B35E6"/>
    <w:rsid w:val="007B453F"/>
    <w:rsid w:val="007B4C35"/>
    <w:rsid w:val="007B4F2A"/>
    <w:rsid w:val="007B4F7C"/>
    <w:rsid w:val="007B596B"/>
    <w:rsid w:val="007B5DC3"/>
    <w:rsid w:val="007B6671"/>
    <w:rsid w:val="007B6977"/>
    <w:rsid w:val="007B7988"/>
    <w:rsid w:val="007C00B4"/>
    <w:rsid w:val="007C0271"/>
    <w:rsid w:val="007C0396"/>
    <w:rsid w:val="007C0A6E"/>
    <w:rsid w:val="007C10B2"/>
    <w:rsid w:val="007C17C5"/>
    <w:rsid w:val="007C199A"/>
    <w:rsid w:val="007C230D"/>
    <w:rsid w:val="007C23B2"/>
    <w:rsid w:val="007C26B0"/>
    <w:rsid w:val="007C293C"/>
    <w:rsid w:val="007C2C3E"/>
    <w:rsid w:val="007C2F4C"/>
    <w:rsid w:val="007C3279"/>
    <w:rsid w:val="007C3C56"/>
    <w:rsid w:val="007C4607"/>
    <w:rsid w:val="007C4748"/>
    <w:rsid w:val="007C47DA"/>
    <w:rsid w:val="007C487D"/>
    <w:rsid w:val="007C5056"/>
    <w:rsid w:val="007C5B36"/>
    <w:rsid w:val="007C5B9B"/>
    <w:rsid w:val="007C6409"/>
    <w:rsid w:val="007C6E4F"/>
    <w:rsid w:val="007C703A"/>
    <w:rsid w:val="007C78DD"/>
    <w:rsid w:val="007C79B8"/>
    <w:rsid w:val="007C7C2C"/>
    <w:rsid w:val="007C7CB8"/>
    <w:rsid w:val="007D017D"/>
    <w:rsid w:val="007D0911"/>
    <w:rsid w:val="007D0A0D"/>
    <w:rsid w:val="007D0D6A"/>
    <w:rsid w:val="007D1B5F"/>
    <w:rsid w:val="007D1BEE"/>
    <w:rsid w:val="007D1C54"/>
    <w:rsid w:val="007D244E"/>
    <w:rsid w:val="007D25C6"/>
    <w:rsid w:val="007D2A28"/>
    <w:rsid w:val="007D2D92"/>
    <w:rsid w:val="007D2DDB"/>
    <w:rsid w:val="007D3335"/>
    <w:rsid w:val="007D43D6"/>
    <w:rsid w:val="007D44DB"/>
    <w:rsid w:val="007D4689"/>
    <w:rsid w:val="007D470D"/>
    <w:rsid w:val="007D4BED"/>
    <w:rsid w:val="007D4C0A"/>
    <w:rsid w:val="007D549C"/>
    <w:rsid w:val="007D5515"/>
    <w:rsid w:val="007D612C"/>
    <w:rsid w:val="007D6D01"/>
    <w:rsid w:val="007D6D72"/>
    <w:rsid w:val="007E04E5"/>
    <w:rsid w:val="007E0C04"/>
    <w:rsid w:val="007E0E2C"/>
    <w:rsid w:val="007E1556"/>
    <w:rsid w:val="007E17C9"/>
    <w:rsid w:val="007E1920"/>
    <w:rsid w:val="007E1B26"/>
    <w:rsid w:val="007E1FE6"/>
    <w:rsid w:val="007E23B6"/>
    <w:rsid w:val="007E249F"/>
    <w:rsid w:val="007E27AB"/>
    <w:rsid w:val="007E28E8"/>
    <w:rsid w:val="007E2927"/>
    <w:rsid w:val="007E294B"/>
    <w:rsid w:val="007E29F0"/>
    <w:rsid w:val="007E2C34"/>
    <w:rsid w:val="007E2DC9"/>
    <w:rsid w:val="007E2EE9"/>
    <w:rsid w:val="007E3370"/>
    <w:rsid w:val="007E33BA"/>
    <w:rsid w:val="007E33D6"/>
    <w:rsid w:val="007E39E2"/>
    <w:rsid w:val="007E3B8B"/>
    <w:rsid w:val="007E3C1B"/>
    <w:rsid w:val="007E3D5E"/>
    <w:rsid w:val="007E3DFF"/>
    <w:rsid w:val="007E418A"/>
    <w:rsid w:val="007E4911"/>
    <w:rsid w:val="007E52B1"/>
    <w:rsid w:val="007E5DBD"/>
    <w:rsid w:val="007E6141"/>
    <w:rsid w:val="007E6C2C"/>
    <w:rsid w:val="007E6D51"/>
    <w:rsid w:val="007E71B3"/>
    <w:rsid w:val="007E7216"/>
    <w:rsid w:val="007E76BF"/>
    <w:rsid w:val="007E799B"/>
    <w:rsid w:val="007E7C93"/>
    <w:rsid w:val="007E7EB7"/>
    <w:rsid w:val="007F025C"/>
    <w:rsid w:val="007F03EE"/>
    <w:rsid w:val="007F0672"/>
    <w:rsid w:val="007F0771"/>
    <w:rsid w:val="007F0F90"/>
    <w:rsid w:val="007F1AF5"/>
    <w:rsid w:val="007F1F3E"/>
    <w:rsid w:val="007F24F9"/>
    <w:rsid w:val="007F2796"/>
    <w:rsid w:val="007F2C9F"/>
    <w:rsid w:val="007F2E22"/>
    <w:rsid w:val="007F2F7F"/>
    <w:rsid w:val="007F2FFA"/>
    <w:rsid w:val="007F32D4"/>
    <w:rsid w:val="007F3591"/>
    <w:rsid w:val="007F3881"/>
    <w:rsid w:val="007F3B99"/>
    <w:rsid w:val="007F445C"/>
    <w:rsid w:val="007F4FF3"/>
    <w:rsid w:val="007F556D"/>
    <w:rsid w:val="007F5F1C"/>
    <w:rsid w:val="007F628B"/>
    <w:rsid w:val="007F6ADE"/>
    <w:rsid w:val="007F6C4F"/>
    <w:rsid w:val="007F6CEF"/>
    <w:rsid w:val="007F7296"/>
    <w:rsid w:val="007F755E"/>
    <w:rsid w:val="007F7619"/>
    <w:rsid w:val="007F7DB9"/>
    <w:rsid w:val="008004EE"/>
    <w:rsid w:val="00800632"/>
    <w:rsid w:val="008009A4"/>
    <w:rsid w:val="00800C8A"/>
    <w:rsid w:val="00801289"/>
    <w:rsid w:val="008025E2"/>
    <w:rsid w:val="008027BB"/>
    <w:rsid w:val="00802A2C"/>
    <w:rsid w:val="00802CCD"/>
    <w:rsid w:val="00803653"/>
    <w:rsid w:val="008039F4"/>
    <w:rsid w:val="008044C4"/>
    <w:rsid w:val="008047B6"/>
    <w:rsid w:val="008048D0"/>
    <w:rsid w:val="00804B12"/>
    <w:rsid w:val="00804F23"/>
    <w:rsid w:val="00805792"/>
    <w:rsid w:val="008059CB"/>
    <w:rsid w:val="00805E5D"/>
    <w:rsid w:val="00805E8D"/>
    <w:rsid w:val="008062FA"/>
    <w:rsid w:val="00806AC8"/>
    <w:rsid w:val="00806DC4"/>
    <w:rsid w:val="00807ACE"/>
    <w:rsid w:val="00807DF3"/>
    <w:rsid w:val="00810193"/>
    <w:rsid w:val="00810233"/>
    <w:rsid w:val="0081036D"/>
    <w:rsid w:val="008108C2"/>
    <w:rsid w:val="00810984"/>
    <w:rsid w:val="00810C72"/>
    <w:rsid w:val="0081104A"/>
    <w:rsid w:val="00811274"/>
    <w:rsid w:val="00811AA9"/>
    <w:rsid w:val="00811AE6"/>
    <w:rsid w:val="00811D52"/>
    <w:rsid w:val="00811FAF"/>
    <w:rsid w:val="008123DC"/>
    <w:rsid w:val="00812E04"/>
    <w:rsid w:val="00812F70"/>
    <w:rsid w:val="008131AA"/>
    <w:rsid w:val="00814093"/>
    <w:rsid w:val="008145A4"/>
    <w:rsid w:val="00815B22"/>
    <w:rsid w:val="00815DAC"/>
    <w:rsid w:val="00815F68"/>
    <w:rsid w:val="008161CC"/>
    <w:rsid w:val="00816611"/>
    <w:rsid w:val="00816926"/>
    <w:rsid w:val="00817387"/>
    <w:rsid w:val="008177E4"/>
    <w:rsid w:val="00817A99"/>
    <w:rsid w:val="00817C78"/>
    <w:rsid w:val="0082001F"/>
    <w:rsid w:val="00820C88"/>
    <w:rsid w:val="00820F34"/>
    <w:rsid w:val="008212C9"/>
    <w:rsid w:val="00821940"/>
    <w:rsid w:val="008219FF"/>
    <w:rsid w:val="00821A41"/>
    <w:rsid w:val="00821C3A"/>
    <w:rsid w:val="00821E9D"/>
    <w:rsid w:val="00821F99"/>
    <w:rsid w:val="00822603"/>
    <w:rsid w:val="00822AEB"/>
    <w:rsid w:val="00822CC0"/>
    <w:rsid w:val="008231AA"/>
    <w:rsid w:val="0082384F"/>
    <w:rsid w:val="00824137"/>
    <w:rsid w:val="0082486C"/>
    <w:rsid w:val="00824A66"/>
    <w:rsid w:val="00825062"/>
    <w:rsid w:val="008259CD"/>
    <w:rsid w:val="008259F6"/>
    <w:rsid w:val="00825AED"/>
    <w:rsid w:val="00825EA3"/>
    <w:rsid w:val="00826058"/>
    <w:rsid w:val="00826075"/>
    <w:rsid w:val="00826140"/>
    <w:rsid w:val="008262CF"/>
    <w:rsid w:val="008263B3"/>
    <w:rsid w:val="008264BC"/>
    <w:rsid w:val="00826536"/>
    <w:rsid w:val="008266A1"/>
    <w:rsid w:val="00826C42"/>
    <w:rsid w:val="008279FC"/>
    <w:rsid w:val="00827B85"/>
    <w:rsid w:val="0083024D"/>
    <w:rsid w:val="008306B4"/>
    <w:rsid w:val="00830C24"/>
    <w:rsid w:val="008313DF"/>
    <w:rsid w:val="00831A5B"/>
    <w:rsid w:val="00831E35"/>
    <w:rsid w:val="00831FD9"/>
    <w:rsid w:val="00831FE4"/>
    <w:rsid w:val="00832176"/>
    <w:rsid w:val="008321F0"/>
    <w:rsid w:val="008327FF"/>
    <w:rsid w:val="0083288A"/>
    <w:rsid w:val="00832A60"/>
    <w:rsid w:val="00832DE7"/>
    <w:rsid w:val="008337FA"/>
    <w:rsid w:val="00833D9B"/>
    <w:rsid w:val="00834100"/>
    <w:rsid w:val="008342DC"/>
    <w:rsid w:val="00834ACC"/>
    <w:rsid w:val="008356F4"/>
    <w:rsid w:val="00835819"/>
    <w:rsid w:val="00835DD4"/>
    <w:rsid w:val="00835FB9"/>
    <w:rsid w:val="008360DA"/>
    <w:rsid w:val="008362A3"/>
    <w:rsid w:val="00836343"/>
    <w:rsid w:val="008365AF"/>
    <w:rsid w:val="00836E54"/>
    <w:rsid w:val="00836F1B"/>
    <w:rsid w:val="0083713C"/>
    <w:rsid w:val="00837170"/>
    <w:rsid w:val="008379B9"/>
    <w:rsid w:val="0084048A"/>
    <w:rsid w:val="0084048E"/>
    <w:rsid w:val="008405A8"/>
    <w:rsid w:val="008408C3"/>
    <w:rsid w:val="008409F7"/>
    <w:rsid w:val="00840B30"/>
    <w:rsid w:val="00841863"/>
    <w:rsid w:val="00841A91"/>
    <w:rsid w:val="00841C25"/>
    <w:rsid w:val="00841EC6"/>
    <w:rsid w:val="00841F2F"/>
    <w:rsid w:val="00842E53"/>
    <w:rsid w:val="008433D8"/>
    <w:rsid w:val="0084343E"/>
    <w:rsid w:val="0084344D"/>
    <w:rsid w:val="00844A16"/>
    <w:rsid w:val="00844B62"/>
    <w:rsid w:val="00844CAC"/>
    <w:rsid w:val="00844DF4"/>
    <w:rsid w:val="008450F9"/>
    <w:rsid w:val="0084541D"/>
    <w:rsid w:val="00845615"/>
    <w:rsid w:val="00845A03"/>
    <w:rsid w:val="00845CC0"/>
    <w:rsid w:val="008467EC"/>
    <w:rsid w:val="00846E9C"/>
    <w:rsid w:val="008471F9"/>
    <w:rsid w:val="008473F2"/>
    <w:rsid w:val="00847464"/>
    <w:rsid w:val="008478E8"/>
    <w:rsid w:val="00847C8C"/>
    <w:rsid w:val="00850669"/>
    <w:rsid w:val="00850BDC"/>
    <w:rsid w:val="00851984"/>
    <w:rsid w:val="00851A8C"/>
    <w:rsid w:val="00851C40"/>
    <w:rsid w:val="00852777"/>
    <w:rsid w:val="0085289D"/>
    <w:rsid w:val="00852D83"/>
    <w:rsid w:val="0085351E"/>
    <w:rsid w:val="00853765"/>
    <w:rsid w:val="00853CDE"/>
    <w:rsid w:val="00854664"/>
    <w:rsid w:val="00854685"/>
    <w:rsid w:val="008548E1"/>
    <w:rsid w:val="00854C96"/>
    <w:rsid w:val="008555C9"/>
    <w:rsid w:val="008558C4"/>
    <w:rsid w:val="00855934"/>
    <w:rsid w:val="00855E72"/>
    <w:rsid w:val="0085624E"/>
    <w:rsid w:val="00856999"/>
    <w:rsid w:val="00857225"/>
    <w:rsid w:val="008574AD"/>
    <w:rsid w:val="008577A3"/>
    <w:rsid w:val="00857826"/>
    <w:rsid w:val="00857B5C"/>
    <w:rsid w:val="00857C6C"/>
    <w:rsid w:val="008600B3"/>
    <w:rsid w:val="008605B6"/>
    <w:rsid w:val="0086064E"/>
    <w:rsid w:val="008607EB"/>
    <w:rsid w:val="00860A2E"/>
    <w:rsid w:val="00860CB3"/>
    <w:rsid w:val="00860E62"/>
    <w:rsid w:val="008610E0"/>
    <w:rsid w:val="0086128D"/>
    <w:rsid w:val="0086154C"/>
    <w:rsid w:val="008615D4"/>
    <w:rsid w:val="008618BC"/>
    <w:rsid w:val="00861ECF"/>
    <w:rsid w:val="00861F40"/>
    <w:rsid w:val="00862080"/>
    <w:rsid w:val="008621D4"/>
    <w:rsid w:val="008623C3"/>
    <w:rsid w:val="0086240F"/>
    <w:rsid w:val="00862EDF"/>
    <w:rsid w:val="008632AB"/>
    <w:rsid w:val="00863AC8"/>
    <w:rsid w:val="00863BFF"/>
    <w:rsid w:val="00863C4D"/>
    <w:rsid w:val="00864435"/>
    <w:rsid w:val="008647EA"/>
    <w:rsid w:val="00864C7C"/>
    <w:rsid w:val="00865DCC"/>
    <w:rsid w:val="00866039"/>
    <w:rsid w:val="008666B5"/>
    <w:rsid w:val="008666F2"/>
    <w:rsid w:val="00866915"/>
    <w:rsid w:val="00866A7F"/>
    <w:rsid w:val="00867DE6"/>
    <w:rsid w:val="00870150"/>
    <w:rsid w:val="0087043D"/>
    <w:rsid w:val="0087098A"/>
    <w:rsid w:val="008725A8"/>
    <w:rsid w:val="00872BCE"/>
    <w:rsid w:val="00872C24"/>
    <w:rsid w:val="00872E24"/>
    <w:rsid w:val="008733AB"/>
    <w:rsid w:val="00873895"/>
    <w:rsid w:val="00873E24"/>
    <w:rsid w:val="00873F88"/>
    <w:rsid w:val="00874411"/>
    <w:rsid w:val="00874697"/>
    <w:rsid w:val="008747E2"/>
    <w:rsid w:val="00874A60"/>
    <w:rsid w:val="0087544F"/>
    <w:rsid w:val="00875631"/>
    <w:rsid w:val="00875708"/>
    <w:rsid w:val="00875B23"/>
    <w:rsid w:val="00875FE5"/>
    <w:rsid w:val="00876591"/>
    <w:rsid w:val="008768BF"/>
    <w:rsid w:val="008769D2"/>
    <w:rsid w:val="00877137"/>
    <w:rsid w:val="008773E9"/>
    <w:rsid w:val="00877650"/>
    <w:rsid w:val="00877763"/>
    <w:rsid w:val="008801DF"/>
    <w:rsid w:val="008803B2"/>
    <w:rsid w:val="0088049C"/>
    <w:rsid w:val="0088063C"/>
    <w:rsid w:val="0088071D"/>
    <w:rsid w:val="008808CD"/>
    <w:rsid w:val="00880B83"/>
    <w:rsid w:val="00881037"/>
    <w:rsid w:val="008816FC"/>
    <w:rsid w:val="008819E4"/>
    <w:rsid w:val="00881B72"/>
    <w:rsid w:val="008820B3"/>
    <w:rsid w:val="0088212F"/>
    <w:rsid w:val="0088375C"/>
    <w:rsid w:val="00883891"/>
    <w:rsid w:val="00883C32"/>
    <w:rsid w:val="00883D51"/>
    <w:rsid w:val="00884561"/>
    <w:rsid w:val="008848FE"/>
    <w:rsid w:val="00884931"/>
    <w:rsid w:val="00884A34"/>
    <w:rsid w:val="00884FF3"/>
    <w:rsid w:val="008851BF"/>
    <w:rsid w:val="0088550D"/>
    <w:rsid w:val="008856AF"/>
    <w:rsid w:val="00885888"/>
    <w:rsid w:val="00885E8A"/>
    <w:rsid w:val="00886980"/>
    <w:rsid w:val="00887242"/>
    <w:rsid w:val="008873BE"/>
    <w:rsid w:val="00887726"/>
    <w:rsid w:val="00887D22"/>
    <w:rsid w:val="00890A15"/>
    <w:rsid w:val="00890C01"/>
    <w:rsid w:val="00890D91"/>
    <w:rsid w:val="00891350"/>
    <w:rsid w:val="0089169B"/>
    <w:rsid w:val="00891795"/>
    <w:rsid w:val="008919E5"/>
    <w:rsid w:val="00891A19"/>
    <w:rsid w:val="00891CED"/>
    <w:rsid w:val="008922AE"/>
    <w:rsid w:val="0089261B"/>
    <w:rsid w:val="00892AA6"/>
    <w:rsid w:val="00892B96"/>
    <w:rsid w:val="00892D1A"/>
    <w:rsid w:val="0089304B"/>
    <w:rsid w:val="0089308D"/>
    <w:rsid w:val="00893213"/>
    <w:rsid w:val="008937B7"/>
    <w:rsid w:val="00893902"/>
    <w:rsid w:val="0089466A"/>
    <w:rsid w:val="0089481B"/>
    <w:rsid w:val="00894A3B"/>
    <w:rsid w:val="0089538E"/>
    <w:rsid w:val="00895446"/>
    <w:rsid w:val="008956DD"/>
    <w:rsid w:val="00895B92"/>
    <w:rsid w:val="00895D32"/>
    <w:rsid w:val="008960AD"/>
    <w:rsid w:val="00896922"/>
    <w:rsid w:val="00897059"/>
    <w:rsid w:val="0089783A"/>
    <w:rsid w:val="008979A3"/>
    <w:rsid w:val="00897B4C"/>
    <w:rsid w:val="008A01AF"/>
    <w:rsid w:val="008A0600"/>
    <w:rsid w:val="008A12CB"/>
    <w:rsid w:val="008A19B5"/>
    <w:rsid w:val="008A19E1"/>
    <w:rsid w:val="008A24BE"/>
    <w:rsid w:val="008A25C0"/>
    <w:rsid w:val="008A2630"/>
    <w:rsid w:val="008A2710"/>
    <w:rsid w:val="008A37D3"/>
    <w:rsid w:val="008A387E"/>
    <w:rsid w:val="008A3F01"/>
    <w:rsid w:val="008A4948"/>
    <w:rsid w:val="008A4D29"/>
    <w:rsid w:val="008A5328"/>
    <w:rsid w:val="008A58A7"/>
    <w:rsid w:val="008A5978"/>
    <w:rsid w:val="008A5A89"/>
    <w:rsid w:val="008A5F6E"/>
    <w:rsid w:val="008A60F3"/>
    <w:rsid w:val="008A6202"/>
    <w:rsid w:val="008A63BB"/>
    <w:rsid w:val="008A6542"/>
    <w:rsid w:val="008A6813"/>
    <w:rsid w:val="008A6AAF"/>
    <w:rsid w:val="008A6BE6"/>
    <w:rsid w:val="008A7027"/>
    <w:rsid w:val="008A709D"/>
    <w:rsid w:val="008A73F2"/>
    <w:rsid w:val="008A785F"/>
    <w:rsid w:val="008A7862"/>
    <w:rsid w:val="008A7D48"/>
    <w:rsid w:val="008B0652"/>
    <w:rsid w:val="008B068E"/>
    <w:rsid w:val="008B0BAE"/>
    <w:rsid w:val="008B1FB4"/>
    <w:rsid w:val="008B210B"/>
    <w:rsid w:val="008B24FE"/>
    <w:rsid w:val="008B250C"/>
    <w:rsid w:val="008B2AA5"/>
    <w:rsid w:val="008B2B80"/>
    <w:rsid w:val="008B2C01"/>
    <w:rsid w:val="008B32A4"/>
    <w:rsid w:val="008B35DB"/>
    <w:rsid w:val="008B3C46"/>
    <w:rsid w:val="008B3ED3"/>
    <w:rsid w:val="008B449A"/>
    <w:rsid w:val="008B48D3"/>
    <w:rsid w:val="008B4E63"/>
    <w:rsid w:val="008B501D"/>
    <w:rsid w:val="008B53C7"/>
    <w:rsid w:val="008B5579"/>
    <w:rsid w:val="008B58E9"/>
    <w:rsid w:val="008B5B2C"/>
    <w:rsid w:val="008B5BB0"/>
    <w:rsid w:val="008B5D0B"/>
    <w:rsid w:val="008B5D80"/>
    <w:rsid w:val="008B65EB"/>
    <w:rsid w:val="008B65F6"/>
    <w:rsid w:val="008B67CA"/>
    <w:rsid w:val="008B6841"/>
    <w:rsid w:val="008B6B70"/>
    <w:rsid w:val="008B6BEE"/>
    <w:rsid w:val="008B7289"/>
    <w:rsid w:val="008B7460"/>
    <w:rsid w:val="008B7498"/>
    <w:rsid w:val="008B7D61"/>
    <w:rsid w:val="008B7D64"/>
    <w:rsid w:val="008C0432"/>
    <w:rsid w:val="008C0A08"/>
    <w:rsid w:val="008C0A77"/>
    <w:rsid w:val="008C0BE2"/>
    <w:rsid w:val="008C0CA9"/>
    <w:rsid w:val="008C0F0C"/>
    <w:rsid w:val="008C12FD"/>
    <w:rsid w:val="008C1C54"/>
    <w:rsid w:val="008C26E3"/>
    <w:rsid w:val="008C278F"/>
    <w:rsid w:val="008C2D0A"/>
    <w:rsid w:val="008C2DF5"/>
    <w:rsid w:val="008C2F98"/>
    <w:rsid w:val="008C359F"/>
    <w:rsid w:val="008C3769"/>
    <w:rsid w:val="008C384F"/>
    <w:rsid w:val="008C3896"/>
    <w:rsid w:val="008C39F5"/>
    <w:rsid w:val="008C3DDE"/>
    <w:rsid w:val="008C40C9"/>
    <w:rsid w:val="008C415C"/>
    <w:rsid w:val="008C47A0"/>
    <w:rsid w:val="008C53C5"/>
    <w:rsid w:val="008C58C9"/>
    <w:rsid w:val="008C5D0F"/>
    <w:rsid w:val="008C5E9D"/>
    <w:rsid w:val="008C6106"/>
    <w:rsid w:val="008C65FC"/>
    <w:rsid w:val="008C6A10"/>
    <w:rsid w:val="008C6FC1"/>
    <w:rsid w:val="008C710A"/>
    <w:rsid w:val="008C7C15"/>
    <w:rsid w:val="008C7CA4"/>
    <w:rsid w:val="008C7EF9"/>
    <w:rsid w:val="008D0143"/>
    <w:rsid w:val="008D074E"/>
    <w:rsid w:val="008D099B"/>
    <w:rsid w:val="008D0E70"/>
    <w:rsid w:val="008D1676"/>
    <w:rsid w:val="008D1AB1"/>
    <w:rsid w:val="008D3257"/>
    <w:rsid w:val="008D3C44"/>
    <w:rsid w:val="008D4416"/>
    <w:rsid w:val="008D4CC3"/>
    <w:rsid w:val="008D51F2"/>
    <w:rsid w:val="008D5219"/>
    <w:rsid w:val="008D58ED"/>
    <w:rsid w:val="008D59EB"/>
    <w:rsid w:val="008D5F65"/>
    <w:rsid w:val="008D62EA"/>
    <w:rsid w:val="008D653D"/>
    <w:rsid w:val="008D69AB"/>
    <w:rsid w:val="008D6AA4"/>
    <w:rsid w:val="008D6EDC"/>
    <w:rsid w:val="008D700E"/>
    <w:rsid w:val="008D7300"/>
    <w:rsid w:val="008D7898"/>
    <w:rsid w:val="008D7DD6"/>
    <w:rsid w:val="008E0095"/>
    <w:rsid w:val="008E0382"/>
    <w:rsid w:val="008E05EA"/>
    <w:rsid w:val="008E1319"/>
    <w:rsid w:val="008E17D8"/>
    <w:rsid w:val="008E1C8C"/>
    <w:rsid w:val="008E1EA9"/>
    <w:rsid w:val="008E22AF"/>
    <w:rsid w:val="008E22BA"/>
    <w:rsid w:val="008E272F"/>
    <w:rsid w:val="008E29FC"/>
    <w:rsid w:val="008E2C21"/>
    <w:rsid w:val="008E2F07"/>
    <w:rsid w:val="008E34C1"/>
    <w:rsid w:val="008E390A"/>
    <w:rsid w:val="008E4218"/>
    <w:rsid w:val="008E534A"/>
    <w:rsid w:val="008E547B"/>
    <w:rsid w:val="008E5CC5"/>
    <w:rsid w:val="008E634C"/>
    <w:rsid w:val="008E68E5"/>
    <w:rsid w:val="008E69F9"/>
    <w:rsid w:val="008E6A1A"/>
    <w:rsid w:val="008E6A60"/>
    <w:rsid w:val="008E6D05"/>
    <w:rsid w:val="008E6E23"/>
    <w:rsid w:val="008E6E9E"/>
    <w:rsid w:val="008E708D"/>
    <w:rsid w:val="008E70C0"/>
    <w:rsid w:val="008E7623"/>
    <w:rsid w:val="008F0272"/>
    <w:rsid w:val="008F0A8A"/>
    <w:rsid w:val="008F0BCA"/>
    <w:rsid w:val="008F0CD0"/>
    <w:rsid w:val="008F0EA2"/>
    <w:rsid w:val="008F1419"/>
    <w:rsid w:val="008F181D"/>
    <w:rsid w:val="008F1C57"/>
    <w:rsid w:val="008F2709"/>
    <w:rsid w:val="008F33EA"/>
    <w:rsid w:val="008F4285"/>
    <w:rsid w:val="008F4D22"/>
    <w:rsid w:val="008F4D98"/>
    <w:rsid w:val="008F52F5"/>
    <w:rsid w:val="008F551E"/>
    <w:rsid w:val="008F5631"/>
    <w:rsid w:val="008F56A9"/>
    <w:rsid w:val="008F575E"/>
    <w:rsid w:val="008F580E"/>
    <w:rsid w:val="008F585B"/>
    <w:rsid w:val="008F59BE"/>
    <w:rsid w:val="008F5A0F"/>
    <w:rsid w:val="008F6179"/>
    <w:rsid w:val="008F62CE"/>
    <w:rsid w:val="008F6689"/>
    <w:rsid w:val="008F6A1B"/>
    <w:rsid w:val="008F7158"/>
    <w:rsid w:val="008F73DA"/>
    <w:rsid w:val="008F7609"/>
    <w:rsid w:val="008F77C1"/>
    <w:rsid w:val="008F7B48"/>
    <w:rsid w:val="00900464"/>
    <w:rsid w:val="009009F6"/>
    <w:rsid w:val="00900A4B"/>
    <w:rsid w:val="00900EAE"/>
    <w:rsid w:val="00901057"/>
    <w:rsid w:val="009018F3"/>
    <w:rsid w:val="00901A46"/>
    <w:rsid w:val="00901E1C"/>
    <w:rsid w:val="00902293"/>
    <w:rsid w:val="0090242F"/>
    <w:rsid w:val="00902C7A"/>
    <w:rsid w:val="00902C90"/>
    <w:rsid w:val="00902D7D"/>
    <w:rsid w:val="00902D83"/>
    <w:rsid w:val="00903204"/>
    <w:rsid w:val="009034B8"/>
    <w:rsid w:val="0090379A"/>
    <w:rsid w:val="009042DC"/>
    <w:rsid w:val="0090432C"/>
    <w:rsid w:val="0090452E"/>
    <w:rsid w:val="00904857"/>
    <w:rsid w:val="0090487D"/>
    <w:rsid w:val="00904B57"/>
    <w:rsid w:val="00904EA4"/>
    <w:rsid w:val="00904EB6"/>
    <w:rsid w:val="0090534B"/>
    <w:rsid w:val="00905A8F"/>
    <w:rsid w:val="009061EE"/>
    <w:rsid w:val="00907088"/>
    <w:rsid w:val="00907253"/>
    <w:rsid w:val="00907603"/>
    <w:rsid w:val="00907945"/>
    <w:rsid w:val="00907F97"/>
    <w:rsid w:val="00910E1C"/>
    <w:rsid w:val="00910E6D"/>
    <w:rsid w:val="00910ED9"/>
    <w:rsid w:val="00911466"/>
    <w:rsid w:val="009114D8"/>
    <w:rsid w:val="0091159A"/>
    <w:rsid w:val="009115E5"/>
    <w:rsid w:val="009117B1"/>
    <w:rsid w:val="00911E4C"/>
    <w:rsid w:val="00911EBA"/>
    <w:rsid w:val="009120D2"/>
    <w:rsid w:val="0091248A"/>
    <w:rsid w:val="0091318F"/>
    <w:rsid w:val="00913284"/>
    <w:rsid w:val="00913322"/>
    <w:rsid w:val="0091344D"/>
    <w:rsid w:val="009135CA"/>
    <w:rsid w:val="009137B0"/>
    <w:rsid w:val="009139D2"/>
    <w:rsid w:val="0091461F"/>
    <w:rsid w:val="0091469F"/>
    <w:rsid w:val="00914A66"/>
    <w:rsid w:val="009150D8"/>
    <w:rsid w:val="00915193"/>
    <w:rsid w:val="00915F66"/>
    <w:rsid w:val="0091655C"/>
    <w:rsid w:val="009165E0"/>
    <w:rsid w:val="00916838"/>
    <w:rsid w:val="0091689C"/>
    <w:rsid w:val="009176EF"/>
    <w:rsid w:val="00917706"/>
    <w:rsid w:val="0091782F"/>
    <w:rsid w:val="00917906"/>
    <w:rsid w:val="00917AB5"/>
    <w:rsid w:val="00917DD3"/>
    <w:rsid w:val="00917F6F"/>
    <w:rsid w:val="0092004F"/>
    <w:rsid w:val="0092027F"/>
    <w:rsid w:val="00920392"/>
    <w:rsid w:val="009203BF"/>
    <w:rsid w:val="009206BA"/>
    <w:rsid w:val="0092156D"/>
    <w:rsid w:val="00921B0B"/>
    <w:rsid w:val="00921D4D"/>
    <w:rsid w:val="00921EA8"/>
    <w:rsid w:val="00922C67"/>
    <w:rsid w:val="00922C8E"/>
    <w:rsid w:val="00922F16"/>
    <w:rsid w:val="00923282"/>
    <w:rsid w:val="009235DB"/>
    <w:rsid w:val="009237F8"/>
    <w:rsid w:val="00923834"/>
    <w:rsid w:val="0092399A"/>
    <w:rsid w:val="009240CD"/>
    <w:rsid w:val="009248D2"/>
    <w:rsid w:val="00924C2F"/>
    <w:rsid w:val="00924C81"/>
    <w:rsid w:val="00924DC0"/>
    <w:rsid w:val="00924FD7"/>
    <w:rsid w:val="0092561F"/>
    <w:rsid w:val="0092562A"/>
    <w:rsid w:val="0092576A"/>
    <w:rsid w:val="00926773"/>
    <w:rsid w:val="009269A4"/>
    <w:rsid w:val="009274E1"/>
    <w:rsid w:val="00930004"/>
    <w:rsid w:val="0093078B"/>
    <w:rsid w:val="00930EDA"/>
    <w:rsid w:val="009317A5"/>
    <w:rsid w:val="00932380"/>
    <w:rsid w:val="00932537"/>
    <w:rsid w:val="009325CC"/>
    <w:rsid w:val="00932855"/>
    <w:rsid w:val="00932B10"/>
    <w:rsid w:val="009335A2"/>
    <w:rsid w:val="00933659"/>
    <w:rsid w:val="0093386F"/>
    <w:rsid w:val="00933C99"/>
    <w:rsid w:val="009341DF"/>
    <w:rsid w:val="0093421D"/>
    <w:rsid w:val="009352A7"/>
    <w:rsid w:val="00935398"/>
    <w:rsid w:val="0093579B"/>
    <w:rsid w:val="00935AC8"/>
    <w:rsid w:val="00935EC1"/>
    <w:rsid w:val="0093604F"/>
    <w:rsid w:val="009375D4"/>
    <w:rsid w:val="009378F1"/>
    <w:rsid w:val="0093796E"/>
    <w:rsid w:val="00937A96"/>
    <w:rsid w:val="00937C14"/>
    <w:rsid w:val="00940539"/>
    <w:rsid w:val="00940552"/>
    <w:rsid w:val="00940C6A"/>
    <w:rsid w:val="00940D87"/>
    <w:rsid w:val="00941297"/>
    <w:rsid w:val="009419EC"/>
    <w:rsid w:val="009422CE"/>
    <w:rsid w:val="0094273E"/>
    <w:rsid w:val="00942CED"/>
    <w:rsid w:val="00942DAF"/>
    <w:rsid w:val="0094353A"/>
    <w:rsid w:val="00943C7C"/>
    <w:rsid w:val="00943E6E"/>
    <w:rsid w:val="009440BE"/>
    <w:rsid w:val="00944188"/>
    <w:rsid w:val="0094506B"/>
    <w:rsid w:val="00945130"/>
    <w:rsid w:val="00945E61"/>
    <w:rsid w:val="00946261"/>
    <w:rsid w:val="00946622"/>
    <w:rsid w:val="00946906"/>
    <w:rsid w:val="0094697F"/>
    <w:rsid w:val="00946BA5"/>
    <w:rsid w:val="0094762D"/>
    <w:rsid w:val="00947812"/>
    <w:rsid w:val="00947F9B"/>
    <w:rsid w:val="00950293"/>
    <w:rsid w:val="009505A6"/>
    <w:rsid w:val="00950CEF"/>
    <w:rsid w:val="00950F88"/>
    <w:rsid w:val="00951522"/>
    <w:rsid w:val="00951858"/>
    <w:rsid w:val="0095227A"/>
    <w:rsid w:val="00952506"/>
    <w:rsid w:val="00952728"/>
    <w:rsid w:val="0095274A"/>
    <w:rsid w:val="00952830"/>
    <w:rsid w:val="009529DA"/>
    <w:rsid w:val="00952EA3"/>
    <w:rsid w:val="00953615"/>
    <w:rsid w:val="00953CB2"/>
    <w:rsid w:val="00954155"/>
    <w:rsid w:val="00954A7B"/>
    <w:rsid w:val="009552C0"/>
    <w:rsid w:val="009556AB"/>
    <w:rsid w:val="00955F1B"/>
    <w:rsid w:val="009561C2"/>
    <w:rsid w:val="009561D4"/>
    <w:rsid w:val="009568DE"/>
    <w:rsid w:val="00957355"/>
    <w:rsid w:val="00957AA2"/>
    <w:rsid w:val="00957B7F"/>
    <w:rsid w:val="00960879"/>
    <w:rsid w:val="00960CBD"/>
    <w:rsid w:val="009610CE"/>
    <w:rsid w:val="00961A99"/>
    <w:rsid w:val="00961ADC"/>
    <w:rsid w:val="00962534"/>
    <w:rsid w:val="009632C4"/>
    <w:rsid w:val="00963679"/>
    <w:rsid w:val="00963AA0"/>
    <w:rsid w:val="00963C09"/>
    <w:rsid w:val="00964644"/>
    <w:rsid w:val="00964985"/>
    <w:rsid w:val="00964A4C"/>
    <w:rsid w:val="00964B77"/>
    <w:rsid w:val="00964EE4"/>
    <w:rsid w:val="00965377"/>
    <w:rsid w:val="009655F0"/>
    <w:rsid w:val="00965866"/>
    <w:rsid w:val="00965B18"/>
    <w:rsid w:val="009661C9"/>
    <w:rsid w:val="00966307"/>
    <w:rsid w:val="009664DE"/>
    <w:rsid w:val="009668EA"/>
    <w:rsid w:val="00966AF9"/>
    <w:rsid w:val="009678CE"/>
    <w:rsid w:val="00967901"/>
    <w:rsid w:val="00970029"/>
    <w:rsid w:val="0097008E"/>
    <w:rsid w:val="00970365"/>
    <w:rsid w:val="00970728"/>
    <w:rsid w:val="00970883"/>
    <w:rsid w:val="00970975"/>
    <w:rsid w:val="00970B90"/>
    <w:rsid w:val="00970BE4"/>
    <w:rsid w:val="00970CE1"/>
    <w:rsid w:val="0097129A"/>
    <w:rsid w:val="0097190D"/>
    <w:rsid w:val="00971F80"/>
    <w:rsid w:val="0097275C"/>
    <w:rsid w:val="00972955"/>
    <w:rsid w:val="00972A5E"/>
    <w:rsid w:val="00972B35"/>
    <w:rsid w:val="009736E7"/>
    <w:rsid w:val="00973B1B"/>
    <w:rsid w:val="00973C66"/>
    <w:rsid w:val="009743C4"/>
    <w:rsid w:val="0097441D"/>
    <w:rsid w:val="009744AE"/>
    <w:rsid w:val="00974FDC"/>
    <w:rsid w:val="00975398"/>
    <w:rsid w:val="009757F9"/>
    <w:rsid w:val="00975A2D"/>
    <w:rsid w:val="00975D1D"/>
    <w:rsid w:val="00976229"/>
    <w:rsid w:val="009762DB"/>
    <w:rsid w:val="0097679C"/>
    <w:rsid w:val="00977602"/>
    <w:rsid w:val="0097772D"/>
    <w:rsid w:val="00977971"/>
    <w:rsid w:val="00977CDD"/>
    <w:rsid w:val="009802A6"/>
    <w:rsid w:val="00980721"/>
    <w:rsid w:val="0098076A"/>
    <w:rsid w:val="00980966"/>
    <w:rsid w:val="00980B48"/>
    <w:rsid w:val="00980C35"/>
    <w:rsid w:val="00980DE6"/>
    <w:rsid w:val="00980FCC"/>
    <w:rsid w:val="0098102D"/>
    <w:rsid w:val="0098113A"/>
    <w:rsid w:val="009815BC"/>
    <w:rsid w:val="009815FA"/>
    <w:rsid w:val="009819EF"/>
    <w:rsid w:val="009822C6"/>
    <w:rsid w:val="00982EDD"/>
    <w:rsid w:val="0098328F"/>
    <w:rsid w:val="00983542"/>
    <w:rsid w:val="00983743"/>
    <w:rsid w:val="009837F5"/>
    <w:rsid w:val="00983DA1"/>
    <w:rsid w:val="00983E03"/>
    <w:rsid w:val="00983F48"/>
    <w:rsid w:val="009842EB"/>
    <w:rsid w:val="00984679"/>
    <w:rsid w:val="00984BC9"/>
    <w:rsid w:val="00984FE0"/>
    <w:rsid w:val="00985296"/>
    <w:rsid w:val="00985C87"/>
    <w:rsid w:val="009860EE"/>
    <w:rsid w:val="009862E4"/>
    <w:rsid w:val="009869B7"/>
    <w:rsid w:val="00986A65"/>
    <w:rsid w:val="00986B91"/>
    <w:rsid w:val="00986DC9"/>
    <w:rsid w:val="00987AFC"/>
    <w:rsid w:val="00987EC3"/>
    <w:rsid w:val="00991567"/>
    <w:rsid w:val="009918CA"/>
    <w:rsid w:val="0099215B"/>
    <w:rsid w:val="00992345"/>
    <w:rsid w:val="009923A0"/>
    <w:rsid w:val="0099328F"/>
    <w:rsid w:val="009937EA"/>
    <w:rsid w:val="0099386D"/>
    <w:rsid w:val="009939BA"/>
    <w:rsid w:val="00993C2D"/>
    <w:rsid w:val="00993D61"/>
    <w:rsid w:val="009941E1"/>
    <w:rsid w:val="009947E7"/>
    <w:rsid w:val="00994A50"/>
    <w:rsid w:val="00994DA5"/>
    <w:rsid w:val="00994FE1"/>
    <w:rsid w:val="0099514A"/>
    <w:rsid w:val="009966A3"/>
    <w:rsid w:val="009968AA"/>
    <w:rsid w:val="009970E3"/>
    <w:rsid w:val="00997B69"/>
    <w:rsid w:val="00997B9F"/>
    <w:rsid w:val="009A0298"/>
    <w:rsid w:val="009A08AA"/>
    <w:rsid w:val="009A0A19"/>
    <w:rsid w:val="009A0CDC"/>
    <w:rsid w:val="009A0DF7"/>
    <w:rsid w:val="009A0F4A"/>
    <w:rsid w:val="009A0FFD"/>
    <w:rsid w:val="009A121B"/>
    <w:rsid w:val="009A1427"/>
    <w:rsid w:val="009A18D2"/>
    <w:rsid w:val="009A20D6"/>
    <w:rsid w:val="009A262E"/>
    <w:rsid w:val="009A2E26"/>
    <w:rsid w:val="009A3549"/>
    <w:rsid w:val="009A3DB8"/>
    <w:rsid w:val="009A3E11"/>
    <w:rsid w:val="009A3E8B"/>
    <w:rsid w:val="009A3EF4"/>
    <w:rsid w:val="009A4311"/>
    <w:rsid w:val="009A431A"/>
    <w:rsid w:val="009A46E5"/>
    <w:rsid w:val="009A4A03"/>
    <w:rsid w:val="009A4B99"/>
    <w:rsid w:val="009A4BB2"/>
    <w:rsid w:val="009A4E7B"/>
    <w:rsid w:val="009A5465"/>
    <w:rsid w:val="009A5BA5"/>
    <w:rsid w:val="009A5C9E"/>
    <w:rsid w:val="009A5F14"/>
    <w:rsid w:val="009A71FF"/>
    <w:rsid w:val="009A74EF"/>
    <w:rsid w:val="009A7855"/>
    <w:rsid w:val="009A7AE0"/>
    <w:rsid w:val="009A7C4A"/>
    <w:rsid w:val="009A7CE7"/>
    <w:rsid w:val="009A7E5C"/>
    <w:rsid w:val="009B01DC"/>
    <w:rsid w:val="009B0258"/>
    <w:rsid w:val="009B041E"/>
    <w:rsid w:val="009B05C2"/>
    <w:rsid w:val="009B0764"/>
    <w:rsid w:val="009B0F82"/>
    <w:rsid w:val="009B1149"/>
    <w:rsid w:val="009B13BA"/>
    <w:rsid w:val="009B145A"/>
    <w:rsid w:val="009B18D9"/>
    <w:rsid w:val="009B2343"/>
    <w:rsid w:val="009B2E85"/>
    <w:rsid w:val="009B337B"/>
    <w:rsid w:val="009B389C"/>
    <w:rsid w:val="009B4615"/>
    <w:rsid w:val="009B4641"/>
    <w:rsid w:val="009B46C4"/>
    <w:rsid w:val="009B5251"/>
    <w:rsid w:val="009B5297"/>
    <w:rsid w:val="009B53B9"/>
    <w:rsid w:val="009B548D"/>
    <w:rsid w:val="009B55FE"/>
    <w:rsid w:val="009B5FA4"/>
    <w:rsid w:val="009B7223"/>
    <w:rsid w:val="009B7439"/>
    <w:rsid w:val="009B79F3"/>
    <w:rsid w:val="009B7BC0"/>
    <w:rsid w:val="009B7C83"/>
    <w:rsid w:val="009C0229"/>
    <w:rsid w:val="009C02FE"/>
    <w:rsid w:val="009C07E6"/>
    <w:rsid w:val="009C0D56"/>
    <w:rsid w:val="009C17EA"/>
    <w:rsid w:val="009C1EE0"/>
    <w:rsid w:val="009C2392"/>
    <w:rsid w:val="009C29A8"/>
    <w:rsid w:val="009C2A66"/>
    <w:rsid w:val="009C2E03"/>
    <w:rsid w:val="009C2E91"/>
    <w:rsid w:val="009C32A2"/>
    <w:rsid w:val="009C35BA"/>
    <w:rsid w:val="009C36EC"/>
    <w:rsid w:val="009C3E3A"/>
    <w:rsid w:val="009C3EE0"/>
    <w:rsid w:val="009C41CA"/>
    <w:rsid w:val="009C425A"/>
    <w:rsid w:val="009C4630"/>
    <w:rsid w:val="009C522C"/>
    <w:rsid w:val="009C5277"/>
    <w:rsid w:val="009C57E9"/>
    <w:rsid w:val="009C59C9"/>
    <w:rsid w:val="009C59E0"/>
    <w:rsid w:val="009C6B5F"/>
    <w:rsid w:val="009C700E"/>
    <w:rsid w:val="009C79D0"/>
    <w:rsid w:val="009C7E54"/>
    <w:rsid w:val="009D083D"/>
    <w:rsid w:val="009D0BAD"/>
    <w:rsid w:val="009D0D5B"/>
    <w:rsid w:val="009D0E32"/>
    <w:rsid w:val="009D1388"/>
    <w:rsid w:val="009D1975"/>
    <w:rsid w:val="009D1B3B"/>
    <w:rsid w:val="009D1EF6"/>
    <w:rsid w:val="009D24F9"/>
    <w:rsid w:val="009D290F"/>
    <w:rsid w:val="009D2CC8"/>
    <w:rsid w:val="009D2CD5"/>
    <w:rsid w:val="009D35C7"/>
    <w:rsid w:val="009D3EC0"/>
    <w:rsid w:val="009D4757"/>
    <w:rsid w:val="009D4A20"/>
    <w:rsid w:val="009D4B65"/>
    <w:rsid w:val="009D4E59"/>
    <w:rsid w:val="009D4EDE"/>
    <w:rsid w:val="009D5828"/>
    <w:rsid w:val="009D6531"/>
    <w:rsid w:val="009D68D5"/>
    <w:rsid w:val="009D6C47"/>
    <w:rsid w:val="009D78D3"/>
    <w:rsid w:val="009D7988"/>
    <w:rsid w:val="009D7A27"/>
    <w:rsid w:val="009E125B"/>
    <w:rsid w:val="009E1979"/>
    <w:rsid w:val="009E1A5C"/>
    <w:rsid w:val="009E1BFA"/>
    <w:rsid w:val="009E1EB4"/>
    <w:rsid w:val="009E2160"/>
    <w:rsid w:val="009E246A"/>
    <w:rsid w:val="009E2AB0"/>
    <w:rsid w:val="009E2D21"/>
    <w:rsid w:val="009E3F29"/>
    <w:rsid w:val="009E4280"/>
    <w:rsid w:val="009E487E"/>
    <w:rsid w:val="009E5303"/>
    <w:rsid w:val="009E5C03"/>
    <w:rsid w:val="009E6315"/>
    <w:rsid w:val="009E6740"/>
    <w:rsid w:val="009E744A"/>
    <w:rsid w:val="009E78D5"/>
    <w:rsid w:val="009E79AE"/>
    <w:rsid w:val="009E7DFF"/>
    <w:rsid w:val="009E7E70"/>
    <w:rsid w:val="009E7EA3"/>
    <w:rsid w:val="009F00AB"/>
    <w:rsid w:val="009F00DD"/>
    <w:rsid w:val="009F050E"/>
    <w:rsid w:val="009F0732"/>
    <w:rsid w:val="009F07E7"/>
    <w:rsid w:val="009F0AB1"/>
    <w:rsid w:val="009F0B22"/>
    <w:rsid w:val="009F0CD4"/>
    <w:rsid w:val="009F1141"/>
    <w:rsid w:val="009F1AA7"/>
    <w:rsid w:val="009F1EFE"/>
    <w:rsid w:val="009F271D"/>
    <w:rsid w:val="009F2AD9"/>
    <w:rsid w:val="009F2F59"/>
    <w:rsid w:val="009F300E"/>
    <w:rsid w:val="009F3650"/>
    <w:rsid w:val="009F392D"/>
    <w:rsid w:val="009F3C92"/>
    <w:rsid w:val="009F3D74"/>
    <w:rsid w:val="009F3D90"/>
    <w:rsid w:val="009F4193"/>
    <w:rsid w:val="009F44EA"/>
    <w:rsid w:val="009F45BC"/>
    <w:rsid w:val="009F4958"/>
    <w:rsid w:val="009F4E46"/>
    <w:rsid w:val="009F54F2"/>
    <w:rsid w:val="009F5BF4"/>
    <w:rsid w:val="009F5E99"/>
    <w:rsid w:val="009F65DE"/>
    <w:rsid w:val="009F65E3"/>
    <w:rsid w:val="009F6B26"/>
    <w:rsid w:val="009F6D71"/>
    <w:rsid w:val="009F6F1F"/>
    <w:rsid w:val="009F72CD"/>
    <w:rsid w:val="009F7750"/>
    <w:rsid w:val="009F77F6"/>
    <w:rsid w:val="009F7C3E"/>
    <w:rsid w:val="009F7D67"/>
    <w:rsid w:val="009F7E09"/>
    <w:rsid w:val="00A00167"/>
    <w:rsid w:val="00A001C2"/>
    <w:rsid w:val="00A00221"/>
    <w:rsid w:val="00A00C19"/>
    <w:rsid w:val="00A0102B"/>
    <w:rsid w:val="00A01917"/>
    <w:rsid w:val="00A0192F"/>
    <w:rsid w:val="00A01B59"/>
    <w:rsid w:val="00A025D0"/>
    <w:rsid w:val="00A0263D"/>
    <w:rsid w:val="00A037DF"/>
    <w:rsid w:val="00A039B4"/>
    <w:rsid w:val="00A03B47"/>
    <w:rsid w:val="00A04883"/>
    <w:rsid w:val="00A04A18"/>
    <w:rsid w:val="00A04E81"/>
    <w:rsid w:val="00A052F9"/>
    <w:rsid w:val="00A0534D"/>
    <w:rsid w:val="00A05461"/>
    <w:rsid w:val="00A05828"/>
    <w:rsid w:val="00A05CD1"/>
    <w:rsid w:val="00A05D75"/>
    <w:rsid w:val="00A05E39"/>
    <w:rsid w:val="00A06240"/>
    <w:rsid w:val="00A06597"/>
    <w:rsid w:val="00A06611"/>
    <w:rsid w:val="00A06D0F"/>
    <w:rsid w:val="00A0776D"/>
    <w:rsid w:val="00A07B56"/>
    <w:rsid w:val="00A100AC"/>
    <w:rsid w:val="00A10BAE"/>
    <w:rsid w:val="00A11093"/>
    <w:rsid w:val="00A11341"/>
    <w:rsid w:val="00A11D15"/>
    <w:rsid w:val="00A11FF0"/>
    <w:rsid w:val="00A1253A"/>
    <w:rsid w:val="00A129FA"/>
    <w:rsid w:val="00A1311D"/>
    <w:rsid w:val="00A1391E"/>
    <w:rsid w:val="00A13B1A"/>
    <w:rsid w:val="00A1469F"/>
    <w:rsid w:val="00A1477C"/>
    <w:rsid w:val="00A14C27"/>
    <w:rsid w:val="00A15047"/>
    <w:rsid w:val="00A150D3"/>
    <w:rsid w:val="00A15305"/>
    <w:rsid w:val="00A1590B"/>
    <w:rsid w:val="00A15988"/>
    <w:rsid w:val="00A15B13"/>
    <w:rsid w:val="00A15DD2"/>
    <w:rsid w:val="00A16243"/>
    <w:rsid w:val="00A165B4"/>
    <w:rsid w:val="00A16A2F"/>
    <w:rsid w:val="00A16ADE"/>
    <w:rsid w:val="00A16C5C"/>
    <w:rsid w:val="00A17572"/>
    <w:rsid w:val="00A17C32"/>
    <w:rsid w:val="00A17CF7"/>
    <w:rsid w:val="00A200BD"/>
    <w:rsid w:val="00A20979"/>
    <w:rsid w:val="00A20B62"/>
    <w:rsid w:val="00A20CBD"/>
    <w:rsid w:val="00A21163"/>
    <w:rsid w:val="00A2134F"/>
    <w:rsid w:val="00A21764"/>
    <w:rsid w:val="00A22106"/>
    <w:rsid w:val="00A2221A"/>
    <w:rsid w:val="00A227EA"/>
    <w:rsid w:val="00A22D3A"/>
    <w:rsid w:val="00A22DCB"/>
    <w:rsid w:val="00A2328A"/>
    <w:rsid w:val="00A23341"/>
    <w:rsid w:val="00A23347"/>
    <w:rsid w:val="00A23B5F"/>
    <w:rsid w:val="00A23D2C"/>
    <w:rsid w:val="00A25ACD"/>
    <w:rsid w:val="00A26745"/>
    <w:rsid w:val="00A26C62"/>
    <w:rsid w:val="00A26D2D"/>
    <w:rsid w:val="00A26F77"/>
    <w:rsid w:val="00A270F5"/>
    <w:rsid w:val="00A27304"/>
    <w:rsid w:val="00A27368"/>
    <w:rsid w:val="00A27729"/>
    <w:rsid w:val="00A27853"/>
    <w:rsid w:val="00A27D1E"/>
    <w:rsid w:val="00A27F5D"/>
    <w:rsid w:val="00A30130"/>
    <w:rsid w:val="00A30189"/>
    <w:rsid w:val="00A302B8"/>
    <w:rsid w:val="00A30748"/>
    <w:rsid w:val="00A31888"/>
    <w:rsid w:val="00A31924"/>
    <w:rsid w:val="00A31F99"/>
    <w:rsid w:val="00A32303"/>
    <w:rsid w:val="00A32539"/>
    <w:rsid w:val="00A32A87"/>
    <w:rsid w:val="00A32B53"/>
    <w:rsid w:val="00A32CCC"/>
    <w:rsid w:val="00A32EE9"/>
    <w:rsid w:val="00A33587"/>
    <w:rsid w:val="00A33982"/>
    <w:rsid w:val="00A34046"/>
    <w:rsid w:val="00A34542"/>
    <w:rsid w:val="00A34684"/>
    <w:rsid w:val="00A34846"/>
    <w:rsid w:val="00A35710"/>
    <w:rsid w:val="00A35D56"/>
    <w:rsid w:val="00A36667"/>
    <w:rsid w:val="00A36F6A"/>
    <w:rsid w:val="00A37E7B"/>
    <w:rsid w:val="00A40A22"/>
    <w:rsid w:val="00A40F02"/>
    <w:rsid w:val="00A41B60"/>
    <w:rsid w:val="00A41F3B"/>
    <w:rsid w:val="00A41F81"/>
    <w:rsid w:val="00A4314A"/>
    <w:rsid w:val="00A431B9"/>
    <w:rsid w:val="00A431D3"/>
    <w:rsid w:val="00A44775"/>
    <w:rsid w:val="00A44786"/>
    <w:rsid w:val="00A447BF"/>
    <w:rsid w:val="00A44B32"/>
    <w:rsid w:val="00A451A6"/>
    <w:rsid w:val="00A45D25"/>
    <w:rsid w:val="00A4604A"/>
    <w:rsid w:val="00A46529"/>
    <w:rsid w:val="00A4705A"/>
    <w:rsid w:val="00A4717A"/>
    <w:rsid w:val="00A47343"/>
    <w:rsid w:val="00A47969"/>
    <w:rsid w:val="00A50E4A"/>
    <w:rsid w:val="00A51899"/>
    <w:rsid w:val="00A51E78"/>
    <w:rsid w:val="00A51FD1"/>
    <w:rsid w:val="00A52023"/>
    <w:rsid w:val="00A524BD"/>
    <w:rsid w:val="00A52FF5"/>
    <w:rsid w:val="00A541AD"/>
    <w:rsid w:val="00A547D9"/>
    <w:rsid w:val="00A54B70"/>
    <w:rsid w:val="00A54F79"/>
    <w:rsid w:val="00A551F4"/>
    <w:rsid w:val="00A562EA"/>
    <w:rsid w:val="00A564DC"/>
    <w:rsid w:val="00A569D6"/>
    <w:rsid w:val="00A56B86"/>
    <w:rsid w:val="00A56BDE"/>
    <w:rsid w:val="00A56EB2"/>
    <w:rsid w:val="00A57435"/>
    <w:rsid w:val="00A60116"/>
    <w:rsid w:val="00A603A8"/>
    <w:rsid w:val="00A60A52"/>
    <w:rsid w:val="00A61450"/>
    <w:rsid w:val="00A61880"/>
    <w:rsid w:val="00A61D48"/>
    <w:rsid w:val="00A624BB"/>
    <w:rsid w:val="00A62521"/>
    <w:rsid w:val="00A6261E"/>
    <w:rsid w:val="00A62687"/>
    <w:rsid w:val="00A62749"/>
    <w:rsid w:val="00A627B4"/>
    <w:rsid w:val="00A62D0E"/>
    <w:rsid w:val="00A62FB6"/>
    <w:rsid w:val="00A63318"/>
    <w:rsid w:val="00A633BB"/>
    <w:rsid w:val="00A634DA"/>
    <w:rsid w:val="00A63599"/>
    <w:rsid w:val="00A635A9"/>
    <w:rsid w:val="00A63B74"/>
    <w:rsid w:val="00A64245"/>
    <w:rsid w:val="00A642F6"/>
    <w:rsid w:val="00A6439B"/>
    <w:rsid w:val="00A64DA5"/>
    <w:rsid w:val="00A654CD"/>
    <w:rsid w:val="00A65780"/>
    <w:rsid w:val="00A65A2C"/>
    <w:rsid w:val="00A65AA2"/>
    <w:rsid w:val="00A6610E"/>
    <w:rsid w:val="00A66ADA"/>
    <w:rsid w:val="00A66AF8"/>
    <w:rsid w:val="00A66BDA"/>
    <w:rsid w:val="00A66F3B"/>
    <w:rsid w:val="00A67CA0"/>
    <w:rsid w:val="00A70140"/>
    <w:rsid w:val="00A71155"/>
    <w:rsid w:val="00A71679"/>
    <w:rsid w:val="00A7169E"/>
    <w:rsid w:val="00A71701"/>
    <w:rsid w:val="00A72089"/>
    <w:rsid w:val="00A7234F"/>
    <w:rsid w:val="00A72501"/>
    <w:rsid w:val="00A725F9"/>
    <w:rsid w:val="00A72929"/>
    <w:rsid w:val="00A72B1B"/>
    <w:rsid w:val="00A72D15"/>
    <w:rsid w:val="00A72EB9"/>
    <w:rsid w:val="00A736FE"/>
    <w:rsid w:val="00A73769"/>
    <w:rsid w:val="00A73F18"/>
    <w:rsid w:val="00A74ACA"/>
    <w:rsid w:val="00A74C24"/>
    <w:rsid w:val="00A75229"/>
    <w:rsid w:val="00A7555C"/>
    <w:rsid w:val="00A75685"/>
    <w:rsid w:val="00A75992"/>
    <w:rsid w:val="00A75AD9"/>
    <w:rsid w:val="00A75DA0"/>
    <w:rsid w:val="00A767A3"/>
    <w:rsid w:val="00A76C5F"/>
    <w:rsid w:val="00A7721A"/>
    <w:rsid w:val="00A77971"/>
    <w:rsid w:val="00A77C64"/>
    <w:rsid w:val="00A8020D"/>
    <w:rsid w:val="00A80426"/>
    <w:rsid w:val="00A80630"/>
    <w:rsid w:val="00A809A2"/>
    <w:rsid w:val="00A80C98"/>
    <w:rsid w:val="00A817A6"/>
    <w:rsid w:val="00A81830"/>
    <w:rsid w:val="00A81CE8"/>
    <w:rsid w:val="00A8285E"/>
    <w:rsid w:val="00A82DB8"/>
    <w:rsid w:val="00A836D8"/>
    <w:rsid w:val="00A8476E"/>
    <w:rsid w:val="00A847EA"/>
    <w:rsid w:val="00A849EB"/>
    <w:rsid w:val="00A84B4B"/>
    <w:rsid w:val="00A8524A"/>
    <w:rsid w:val="00A85276"/>
    <w:rsid w:val="00A852A6"/>
    <w:rsid w:val="00A853F9"/>
    <w:rsid w:val="00A85533"/>
    <w:rsid w:val="00A857CA"/>
    <w:rsid w:val="00A85FC0"/>
    <w:rsid w:val="00A863DB"/>
    <w:rsid w:val="00A86A50"/>
    <w:rsid w:val="00A87EC7"/>
    <w:rsid w:val="00A9024B"/>
    <w:rsid w:val="00A90307"/>
    <w:rsid w:val="00A90B7B"/>
    <w:rsid w:val="00A90C72"/>
    <w:rsid w:val="00A91A92"/>
    <w:rsid w:val="00A91E12"/>
    <w:rsid w:val="00A92218"/>
    <w:rsid w:val="00A92232"/>
    <w:rsid w:val="00A9258B"/>
    <w:rsid w:val="00A92B54"/>
    <w:rsid w:val="00A92EEA"/>
    <w:rsid w:val="00A92F88"/>
    <w:rsid w:val="00A92FBA"/>
    <w:rsid w:val="00A92FC8"/>
    <w:rsid w:val="00A933A7"/>
    <w:rsid w:val="00A9351D"/>
    <w:rsid w:val="00A9391A"/>
    <w:rsid w:val="00A943BC"/>
    <w:rsid w:val="00A94765"/>
    <w:rsid w:val="00A94D88"/>
    <w:rsid w:val="00A96726"/>
    <w:rsid w:val="00A969DE"/>
    <w:rsid w:val="00A96C81"/>
    <w:rsid w:val="00A97137"/>
    <w:rsid w:val="00A979A9"/>
    <w:rsid w:val="00A97A05"/>
    <w:rsid w:val="00A97E4F"/>
    <w:rsid w:val="00AA0870"/>
    <w:rsid w:val="00AA0AD6"/>
    <w:rsid w:val="00AA11E1"/>
    <w:rsid w:val="00AA138A"/>
    <w:rsid w:val="00AA2629"/>
    <w:rsid w:val="00AA27CE"/>
    <w:rsid w:val="00AA27FF"/>
    <w:rsid w:val="00AA2A08"/>
    <w:rsid w:val="00AA2ED5"/>
    <w:rsid w:val="00AA2F0A"/>
    <w:rsid w:val="00AA304F"/>
    <w:rsid w:val="00AA3672"/>
    <w:rsid w:val="00AA3B15"/>
    <w:rsid w:val="00AA3B7C"/>
    <w:rsid w:val="00AA4034"/>
    <w:rsid w:val="00AA4644"/>
    <w:rsid w:val="00AA46F9"/>
    <w:rsid w:val="00AA4806"/>
    <w:rsid w:val="00AA4FBA"/>
    <w:rsid w:val="00AA5199"/>
    <w:rsid w:val="00AA52F1"/>
    <w:rsid w:val="00AA581A"/>
    <w:rsid w:val="00AA5E77"/>
    <w:rsid w:val="00AA6C8C"/>
    <w:rsid w:val="00AA6EAA"/>
    <w:rsid w:val="00AA6F43"/>
    <w:rsid w:val="00AA784C"/>
    <w:rsid w:val="00AA7F6E"/>
    <w:rsid w:val="00AB04E3"/>
    <w:rsid w:val="00AB065E"/>
    <w:rsid w:val="00AB0A94"/>
    <w:rsid w:val="00AB0B79"/>
    <w:rsid w:val="00AB0ECF"/>
    <w:rsid w:val="00AB1007"/>
    <w:rsid w:val="00AB1174"/>
    <w:rsid w:val="00AB1179"/>
    <w:rsid w:val="00AB11A9"/>
    <w:rsid w:val="00AB1351"/>
    <w:rsid w:val="00AB1421"/>
    <w:rsid w:val="00AB194A"/>
    <w:rsid w:val="00AB1B40"/>
    <w:rsid w:val="00AB1BDF"/>
    <w:rsid w:val="00AB1E50"/>
    <w:rsid w:val="00AB2526"/>
    <w:rsid w:val="00AB2529"/>
    <w:rsid w:val="00AB2580"/>
    <w:rsid w:val="00AB25EB"/>
    <w:rsid w:val="00AB3098"/>
    <w:rsid w:val="00AB3468"/>
    <w:rsid w:val="00AB34D8"/>
    <w:rsid w:val="00AB350B"/>
    <w:rsid w:val="00AB3AFD"/>
    <w:rsid w:val="00AB4680"/>
    <w:rsid w:val="00AB4AC3"/>
    <w:rsid w:val="00AB4B29"/>
    <w:rsid w:val="00AB4D6C"/>
    <w:rsid w:val="00AB5073"/>
    <w:rsid w:val="00AB50D3"/>
    <w:rsid w:val="00AB512B"/>
    <w:rsid w:val="00AB51E1"/>
    <w:rsid w:val="00AB5669"/>
    <w:rsid w:val="00AB5EC3"/>
    <w:rsid w:val="00AB60A1"/>
    <w:rsid w:val="00AB66CC"/>
    <w:rsid w:val="00AB6B00"/>
    <w:rsid w:val="00AB6DEA"/>
    <w:rsid w:val="00AB6E0A"/>
    <w:rsid w:val="00AB6E35"/>
    <w:rsid w:val="00AB6FAB"/>
    <w:rsid w:val="00AB73B2"/>
    <w:rsid w:val="00AB778F"/>
    <w:rsid w:val="00AB7968"/>
    <w:rsid w:val="00AB7A8A"/>
    <w:rsid w:val="00AB7B9D"/>
    <w:rsid w:val="00AC0119"/>
    <w:rsid w:val="00AC077C"/>
    <w:rsid w:val="00AC08B5"/>
    <w:rsid w:val="00AC08BA"/>
    <w:rsid w:val="00AC0A47"/>
    <w:rsid w:val="00AC0D08"/>
    <w:rsid w:val="00AC0EF1"/>
    <w:rsid w:val="00AC1488"/>
    <w:rsid w:val="00AC1717"/>
    <w:rsid w:val="00AC1CCC"/>
    <w:rsid w:val="00AC1D84"/>
    <w:rsid w:val="00AC1EAA"/>
    <w:rsid w:val="00AC20AC"/>
    <w:rsid w:val="00AC21A0"/>
    <w:rsid w:val="00AC295B"/>
    <w:rsid w:val="00AC3125"/>
    <w:rsid w:val="00AC33B8"/>
    <w:rsid w:val="00AC3A92"/>
    <w:rsid w:val="00AC3B6C"/>
    <w:rsid w:val="00AC3F74"/>
    <w:rsid w:val="00AC4841"/>
    <w:rsid w:val="00AC5753"/>
    <w:rsid w:val="00AC6748"/>
    <w:rsid w:val="00AC6DB9"/>
    <w:rsid w:val="00AC6DDE"/>
    <w:rsid w:val="00AC7501"/>
    <w:rsid w:val="00AC75FC"/>
    <w:rsid w:val="00AC7CC6"/>
    <w:rsid w:val="00AD00B2"/>
    <w:rsid w:val="00AD00BD"/>
    <w:rsid w:val="00AD01B4"/>
    <w:rsid w:val="00AD048D"/>
    <w:rsid w:val="00AD0669"/>
    <w:rsid w:val="00AD0B79"/>
    <w:rsid w:val="00AD0E5F"/>
    <w:rsid w:val="00AD11F8"/>
    <w:rsid w:val="00AD1609"/>
    <w:rsid w:val="00AD1674"/>
    <w:rsid w:val="00AD170F"/>
    <w:rsid w:val="00AD174E"/>
    <w:rsid w:val="00AD1AF2"/>
    <w:rsid w:val="00AD1B95"/>
    <w:rsid w:val="00AD1C7C"/>
    <w:rsid w:val="00AD2135"/>
    <w:rsid w:val="00AD2290"/>
    <w:rsid w:val="00AD236B"/>
    <w:rsid w:val="00AD2679"/>
    <w:rsid w:val="00AD295E"/>
    <w:rsid w:val="00AD30E1"/>
    <w:rsid w:val="00AD3130"/>
    <w:rsid w:val="00AD33DA"/>
    <w:rsid w:val="00AD3675"/>
    <w:rsid w:val="00AD377A"/>
    <w:rsid w:val="00AD39AF"/>
    <w:rsid w:val="00AD3BFB"/>
    <w:rsid w:val="00AD42BA"/>
    <w:rsid w:val="00AD4BFD"/>
    <w:rsid w:val="00AD5370"/>
    <w:rsid w:val="00AD5828"/>
    <w:rsid w:val="00AD6590"/>
    <w:rsid w:val="00AD6969"/>
    <w:rsid w:val="00AD69BA"/>
    <w:rsid w:val="00AD6BB7"/>
    <w:rsid w:val="00AD74D5"/>
    <w:rsid w:val="00AE0078"/>
    <w:rsid w:val="00AE08D3"/>
    <w:rsid w:val="00AE0D07"/>
    <w:rsid w:val="00AE1B62"/>
    <w:rsid w:val="00AE1D56"/>
    <w:rsid w:val="00AE2836"/>
    <w:rsid w:val="00AE2FAC"/>
    <w:rsid w:val="00AE2FD4"/>
    <w:rsid w:val="00AE3605"/>
    <w:rsid w:val="00AE42A5"/>
    <w:rsid w:val="00AE456E"/>
    <w:rsid w:val="00AE47DA"/>
    <w:rsid w:val="00AE4971"/>
    <w:rsid w:val="00AE521A"/>
    <w:rsid w:val="00AE6463"/>
    <w:rsid w:val="00AE68A0"/>
    <w:rsid w:val="00AE6B55"/>
    <w:rsid w:val="00AE7175"/>
    <w:rsid w:val="00AE78C7"/>
    <w:rsid w:val="00AE7B0D"/>
    <w:rsid w:val="00AF08A2"/>
    <w:rsid w:val="00AF0E2F"/>
    <w:rsid w:val="00AF0FD5"/>
    <w:rsid w:val="00AF131B"/>
    <w:rsid w:val="00AF1F72"/>
    <w:rsid w:val="00AF269C"/>
    <w:rsid w:val="00AF2FAF"/>
    <w:rsid w:val="00AF3057"/>
    <w:rsid w:val="00AF33A9"/>
    <w:rsid w:val="00AF3664"/>
    <w:rsid w:val="00AF3980"/>
    <w:rsid w:val="00AF3A8D"/>
    <w:rsid w:val="00AF3B7E"/>
    <w:rsid w:val="00AF3D58"/>
    <w:rsid w:val="00AF3DD1"/>
    <w:rsid w:val="00AF407A"/>
    <w:rsid w:val="00AF4B6A"/>
    <w:rsid w:val="00AF4DDC"/>
    <w:rsid w:val="00AF4EBE"/>
    <w:rsid w:val="00AF5897"/>
    <w:rsid w:val="00AF5A61"/>
    <w:rsid w:val="00AF5B91"/>
    <w:rsid w:val="00AF667E"/>
    <w:rsid w:val="00AF66C7"/>
    <w:rsid w:val="00AF6846"/>
    <w:rsid w:val="00AF6CE4"/>
    <w:rsid w:val="00AF6DC0"/>
    <w:rsid w:val="00AF6DFA"/>
    <w:rsid w:val="00AF7DD5"/>
    <w:rsid w:val="00B00634"/>
    <w:rsid w:val="00B00887"/>
    <w:rsid w:val="00B00E34"/>
    <w:rsid w:val="00B012F5"/>
    <w:rsid w:val="00B01DDD"/>
    <w:rsid w:val="00B02223"/>
    <w:rsid w:val="00B029A0"/>
    <w:rsid w:val="00B02EDF"/>
    <w:rsid w:val="00B02FF3"/>
    <w:rsid w:val="00B031AD"/>
    <w:rsid w:val="00B03372"/>
    <w:rsid w:val="00B03609"/>
    <w:rsid w:val="00B03FE2"/>
    <w:rsid w:val="00B0427D"/>
    <w:rsid w:val="00B04EBB"/>
    <w:rsid w:val="00B05495"/>
    <w:rsid w:val="00B05ADE"/>
    <w:rsid w:val="00B05FFF"/>
    <w:rsid w:val="00B067FC"/>
    <w:rsid w:val="00B06B9C"/>
    <w:rsid w:val="00B06C68"/>
    <w:rsid w:val="00B06CB8"/>
    <w:rsid w:val="00B070DF"/>
    <w:rsid w:val="00B07440"/>
    <w:rsid w:val="00B07BF1"/>
    <w:rsid w:val="00B07CE0"/>
    <w:rsid w:val="00B10A79"/>
    <w:rsid w:val="00B11001"/>
    <w:rsid w:val="00B1111E"/>
    <w:rsid w:val="00B1113F"/>
    <w:rsid w:val="00B1159B"/>
    <w:rsid w:val="00B1161B"/>
    <w:rsid w:val="00B11C99"/>
    <w:rsid w:val="00B11D7C"/>
    <w:rsid w:val="00B12045"/>
    <w:rsid w:val="00B12A78"/>
    <w:rsid w:val="00B12DBD"/>
    <w:rsid w:val="00B1302C"/>
    <w:rsid w:val="00B13162"/>
    <w:rsid w:val="00B132E7"/>
    <w:rsid w:val="00B13512"/>
    <w:rsid w:val="00B1365A"/>
    <w:rsid w:val="00B139E2"/>
    <w:rsid w:val="00B13D66"/>
    <w:rsid w:val="00B13FCE"/>
    <w:rsid w:val="00B144B4"/>
    <w:rsid w:val="00B150F7"/>
    <w:rsid w:val="00B151F1"/>
    <w:rsid w:val="00B15225"/>
    <w:rsid w:val="00B15333"/>
    <w:rsid w:val="00B1630F"/>
    <w:rsid w:val="00B1691F"/>
    <w:rsid w:val="00B16AD5"/>
    <w:rsid w:val="00B16B3B"/>
    <w:rsid w:val="00B202A9"/>
    <w:rsid w:val="00B2037C"/>
    <w:rsid w:val="00B20ED9"/>
    <w:rsid w:val="00B20FF8"/>
    <w:rsid w:val="00B218FE"/>
    <w:rsid w:val="00B21959"/>
    <w:rsid w:val="00B21B63"/>
    <w:rsid w:val="00B220E2"/>
    <w:rsid w:val="00B2234F"/>
    <w:rsid w:val="00B225EE"/>
    <w:rsid w:val="00B228BE"/>
    <w:rsid w:val="00B2354F"/>
    <w:rsid w:val="00B23767"/>
    <w:rsid w:val="00B23AE9"/>
    <w:rsid w:val="00B23D7B"/>
    <w:rsid w:val="00B23D84"/>
    <w:rsid w:val="00B244B9"/>
    <w:rsid w:val="00B24544"/>
    <w:rsid w:val="00B246B5"/>
    <w:rsid w:val="00B25377"/>
    <w:rsid w:val="00B255F8"/>
    <w:rsid w:val="00B25C54"/>
    <w:rsid w:val="00B2639B"/>
    <w:rsid w:val="00B265D6"/>
    <w:rsid w:val="00B26B62"/>
    <w:rsid w:val="00B27602"/>
    <w:rsid w:val="00B278C3"/>
    <w:rsid w:val="00B27959"/>
    <w:rsid w:val="00B27C53"/>
    <w:rsid w:val="00B301AF"/>
    <w:rsid w:val="00B3041B"/>
    <w:rsid w:val="00B30888"/>
    <w:rsid w:val="00B30C64"/>
    <w:rsid w:val="00B31C7A"/>
    <w:rsid w:val="00B3238A"/>
    <w:rsid w:val="00B3272D"/>
    <w:rsid w:val="00B3275D"/>
    <w:rsid w:val="00B3288B"/>
    <w:rsid w:val="00B32EF0"/>
    <w:rsid w:val="00B3320D"/>
    <w:rsid w:val="00B336DB"/>
    <w:rsid w:val="00B337DF"/>
    <w:rsid w:val="00B337FE"/>
    <w:rsid w:val="00B34466"/>
    <w:rsid w:val="00B351CE"/>
    <w:rsid w:val="00B3542F"/>
    <w:rsid w:val="00B35A77"/>
    <w:rsid w:val="00B36010"/>
    <w:rsid w:val="00B363C8"/>
    <w:rsid w:val="00B36424"/>
    <w:rsid w:val="00B36A93"/>
    <w:rsid w:val="00B36C51"/>
    <w:rsid w:val="00B36E72"/>
    <w:rsid w:val="00B36F21"/>
    <w:rsid w:val="00B3703D"/>
    <w:rsid w:val="00B37447"/>
    <w:rsid w:val="00B376A5"/>
    <w:rsid w:val="00B37AFB"/>
    <w:rsid w:val="00B37FEB"/>
    <w:rsid w:val="00B40D13"/>
    <w:rsid w:val="00B41321"/>
    <w:rsid w:val="00B4132C"/>
    <w:rsid w:val="00B414F3"/>
    <w:rsid w:val="00B41521"/>
    <w:rsid w:val="00B41676"/>
    <w:rsid w:val="00B41692"/>
    <w:rsid w:val="00B427FA"/>
    <w:rsid w:val="00B42C0D"/>
    <w:rsid w:val="00B42EF0"/>
    <w:rsid w:val="00B430C5"/>
    <w:rsid w:val="00B43599"/>
    <w:rsid w:val="00B44604"/>
    <w:rsid w:val="00B449CE"/>
    <w:rsid w:val="00B44CCD"/>
    <w:rsid w:val="00B44F01"/>
    <w:rsid w:val="00B4537B"/>
    <w:rsid w:val="00B456AE"/>
    <w:rsid w:val="00B459DE"/>
    <w:rsid w:val="00B45C7E"/>
    <w:rsid w:val="00B45FCF"/>
    <w:rsid w:val="00B460FF"/>
    <w:rsid w:val="00B4630A"/>
    <w:rsid w:val="00B4645A"/>
    <w:rsid w:val="00B46A76"/>
    <w:rsid w:val="00B4780D"/>
    <w:rsid w:val="00B47C7C"/>
    <w:rsid w:val="00B47D15"/>
    <w:rsid w:val="00B5005E"/>
    <w:rsid w:val="00B50703"/>
    <w:rsid w:val="00B50B09"/>
    <w:rsid w:val="00B50B86"/>
    <w:rsid w:val="00B50D59"/>
    <w:rsid w:val="00B51176"/>
    <w:rsid w:val="00B513E3"/>
    <w:rsid w:val="00B51757"/>
    <w:rsid w:val="00B51E39"/>
    <w:rsid w:val="00B51ED5"/>
    <w:rsid w:val="00B52077"/>
    <w:rsid w:val="00B5299D"/>
    <w:rsid w:val="00B530FA"/>
    <w:rsid w:val="00B535F8"/>
    <w:rsid w:val="00B5383E"/>
    <w:rsid w:val="00B5399D"/>
    <w:rsid w:val="00B53BA3"/>
    <w:rsid w:val="00B547D7"/>
    <w:rsid w:val="00B548A0"/>
    <w:rsid w:val="00B5490F"/>
    <w:rsid w:val="00B54A33"/>
    <w:rsid w:val="00B54DB7"/>
    <w:rsid w:val="00B55576"/>
    <w:rsid w:val="00B55C80"/>
    <w:rsid w:val="00B55E9C"/>
    <w:rsid w:val="00B55ECC"/>
    <w:rsid w:val="00B56028"/>
    <w:rsid w:val="00B566EF"/>
    <w:rsid w:val="00B56873"/>
    <w:rsid w:val="00B57198"/>
    <w:rsid w:val="00B57957"/>
    <w:rsid w:val="00B6018F"/>
    <w:rsid w:val="00B6026C"/>
    <w:rsid w:val="00B6048F"/>
    <w:rsid w:val="00B60814"/>
    <w:rsid w:val="00B609E5"/>
    <w:rsid w:val="00B60A21"/>
    <w:rsid w:val="00B60D59"/>
    <w:rsid w:val="00B61663"/>
    <w:rsid w:val="00B62618"/>
    <w:rsid w:val="00B6267F"/>
    <w:rsid w:val="00B62ACC"/>
    <w:rsid w:val="00B631BE"/>
    <w:rsid w:val="00B63C30"/>
    <w:rsid w:val="00B64BB1"/>
    <w:rsid w:val="00B650EF"/>
    <w:rsid w:val="00B65D5B"/>
    <w:rsid w:val="00B661D0"/>
    <w:rsid w:val="00B66418"/>
    <w:rsid w:val="00B667A2"/>
    <w:rsid w:val="00B66BEE"/>
    <w:rsid w:val="00B66CA0"/>
    <w:rsid w:val="00B673EA"/>
    <w:rsid w:val="00B67637"/>
    <w:rsid w:val="00B67BE1"/>
    <w:rsid w:val="00B67C44"/>
    <w:rsid w:val="00B7089A"/>
    <w:rsid w:val="00B70D87"/>
    <w:rsid w:val="00B7107F"/>
    <w:rsid w:val="00B716CC"/>
    <w:rsid w:val="00B7176B"/>
    <w:rsid w:val="00B71ABE"/>
    <w:rsid w:val="00B720E4"/>
    <w:rsid w:val="00B7280A"/>
    <w:rsid w:val="00B72A4B"/>
    <w:rsid w:val="00B72CBD"/>
    <w:rsid w:val="00B72DF2"/>
    <w:rsid w:val="00B7307C"/>
    <w:rsid w:val="00B732CB"/>
    <w:rsid w:val="00B73320"/>
    <w:rsid w:val="00B73422"/>
    <w:rsid w:val="00B7354C"/>
    <w:rsid w:val="00B7390E"/>
    <w:rsid w:val="00B73EB5"/>
    <w:rsid w:val="00B74955"/>
    <w:rsid w:val="00B74AD6"/>
    <w:rsid w:val="00B74CAD"/>
    <w:rsid w:val="00B75242"/>
    <w:rsid w:val="00B75547"/>
    <w:rsid w:val="00B75A3F"/>
    <w:rsid w:val="00B7656F"/>
    <w:rsid w:val="00B7678C"/>
    <w:rsid w:val="00B768E2"/>
    <w:rsid w:val="00B76B7E"/>
    <w:rsid w:val="00B76CE1"/>
    <w:rsid w:val="00B771E3"/>
    <w:rsid w:val="00B773E8"/>
    <w:rsid w:val="00B8070E"/>
    <w:rsid w:val="00B80724"/>
    <w:rsid w:val="00B8090B"/>
    <w:rsid w:val="00B80DBB"/>
    <w:rsid w:val="00B80FA0"/>
    <w:rsid w:val="00B813F2"/>
    <w:rsid w:val="00B814E8"/>
    <w:rsid w:val="00B81D6E"/>
    <w:rsid w:val="00B82F82"/>
    <w:rsid w:val="00B83275"/>
    <w:rsid w:val="00B83475"/>
    <w:rsid w:val="00B83523"/>
    <w:rsid w:val="00B8419C"/>
    <w:rsid w:val="00B84205"/>
    <w:rsid w:val="00B845B7"/>
    <w:rsid w:val="00B849F7"/>
    <w:rsid w:val="00B84A01"/>
    <w:rsid w:val="00B84C4F"/>
    <w:rsid w:val="00B84EA6"/>
    <w:rsid w:val="00B851B2"/>
    <w:rsid w:val="00B858B4"/>
    <w:rsid w:val="00B85CE6"/>
    <w:rsid w:val="00B86195"/>
    <w:rsid w:val="00B863F3"/>
    <w:rsid w:val="00B86877"/>
    <w:rsid w:val="00B86FBF"/>
    <w:rsid w:val="00B875AF"/>
    <w:rsid w:val="00B87613"/>
    <w:rsid w:val="00B87863"/>
    <w:rsid w:val="00B87A16"/>
    <w:rsid w:val="00B87B4D"/>
    <w:rsid w:val="00B87BC7"/>
    <w:rsid w:val="00B907FE"/>
    <w:rsid w:val="00B908AA"/>
    <w:rsid w:val="00B90A54"/>
    <w:rsid w:val="00B90D4C"/>
    <w:rsid w:val="00B911D5"/>
    <w:rsid w:val="00B91791"/>
    <w:rsid w:val="00B92B20"/>
    <w:rsid w:val="00B92E39"/>
    <w:rsid w:val="00B92F13"/>
    <w:rsid w:val="00B93467"/>
    <w:rsid w:val="00B93576"/>
    <w:rsid w:val="00B936E3"/>
    <w:rsid w:val="00B93746"/>
    <w:rsid w:val="00B937D8"/>
    <w:rsid w:val="00B93C27"/>
    <w:rsid w:val="00B93FFD"/>
    <w:rsid w:val="00B9422D"/>
    <w:rsid w:val="00B94658"/>
    <w:rsid w:val="00B9488E"/>
    <w:rsid w:val="00B94949"/>
    <w:rsid w:val="00B94AD7"/>
    <w:rsid w:val="00B9507F"/>
    <w:rsid w:val="00B9517A"/>
    <w:rsid w:val="00B955F5"/>
    <w:rsid w:val="00B955F9"/>
    <w:rsid w:val="00B9618A"/>
    <w:rsid w:val="00B961F4"/>
    <w:rsid w:val="00B9629B"/>
    <w:rsid w:val="00B965DD"/>
    <w:rsid w:val="00B9667C"/>
    <w:rsid w:val="00B9709C"/>
    <w:rsid w:val="00B97C0A"/>
    <w:rsid w:val="00B97E1C"/>
    <w:rsid w:val="00BA0698"/>
    <w:rsid w:val="00BA0ACA"/>
    <w:rsid w:val="00BA1124"/>
    <w:rsid w:val="00BA1D2D"/>
    <w:rsid w:val="00BA2DF0"/>
    <w:rsid w:val="00BA3226"/>
    <w:rsid w:val="00BA3280"/>
    <w:rsid w:val="00BA3407"/>
    <w:rsid w:val="00BA34C4"/>
    <w:rsid w:val="00BA376A"/>
    <w:rsid w:val="00BA3848"/>
    <w:rsid w:val="00BA4058"/>
    <w:rsid w:val="00BA45BF"/>
    <w:rsid w:val="00BA468F"/>
    <w:rsid w:val="00BA4791"/>
    <w:rsid w:val="00BA48CE"/>
    <w:rsid w:val="00BA4BB8"/>
    <w:rsid w:val="00BA4D13"/>
    <w:rsid w:val="00BA51B0"/>
    <w:rsid w:val="00BA5246"/>
    <w:rsid w:val="00BA577E"/>
    <w:rsid w:val="00BA5F9A"/>
    <w:rsid w:val="00BA6556"/>
    <w:rsid w:val="00BA67D5"/>
    <w:rsid w:val="00BA6815"/>
    <w:rsid w:val="00BA6D8D"/>
    <w:rsid w:val="00BA70BC"/>
    <w:rsid w:val="00BA7211"/>
    <w:rsid w:val="00BA7DBC"/>
    <w:rsid w:val="00BB0249"/>
    <w:rsid w:val="00BB06BB"/>
    <w:rsid w:val="00BB07BC"/>
    <w:rsid w:val="00BB07F5"/>
    <w:rsid w:val="00BB1105"/>
    <w:rsid w:val="00BB1649"/>
    <w:rsid w:val="00BB16E0"/>
    <w:rsid w:val="00BB1A1A"/>
    <w:rsid w:val="00BB1B50"/>
    <w:rsid w:val="00BB1BAF"/>
    <w:rsid w:val="00BB1CA3"/>
    <w:rsid w:val="00BB2053"/>
    <w:rsid w:val="00BB24A3"/>
    <w:rsid w:val="00BB24F7"/>
    <w:rsid w:val="00BB2882"/>
    <w:rsid w:val="00BB2901"/>
    <w:rsid w:val="00BB2C13"/>
    <w:rsid w:val="00BB30CE"/>
    <w:rsid w:val="00BB30E8"/>
    <w:rsid w:val="00BB33C7"/>
    <w:rsid w:val="00BB347D"/>
    <w:rsid w:val="00BB389F"/>
    <w:rsid w:val="00BB47B1"/>
    <w:rsid w:val="00BB4B81"/>
    <w:rsid w:val="00BB52AB"/>
    <w:rsid w:val="00BB57F5"/>
    <w:rsid w:val="00BB5A2C"/>
    <w:rsid w:val="00BB6246"/>
    <w:rsid w:val="00BB657A"/>
    <w:rsid w:val="00BB6967"/>
    <w:rsid w:val="00BB6CB9"/>
    <w:rsid w:val="00BB71AB"/>
    <w:rsid w:val="00BB7481"/>
    <w:rsid w:val="00BB7674"/>
    <w:rsid w:val="00BB7CD1"/>
    <w:rsid w:val="00BB7DBA"/>
    <w:rsid w:val="00BC06AA"/>
    <w:rsid w:val="00BC113A"/>
    <w:rsid w:val="00BC17A3"/>
    <w:rsid w:val="00BC17BB"/>
    <w:rsid w:val="00BC1A1F"/>
    <w:rsid w:val="00BC2C76"/>
    <w:rsid w:val="00BC2FD2"/>
    <w:rsid w:val="00BC3D9C"/>
    <w:rsid w:val="00BC4622"/>
    <w:rsid w:val="00BC4BDA"/>
    <w:rsid w:val="00BC4FF5"/>
    <w:rsid w:val="00BC53BE"/>
    <w:rsid w:val="00BC60D0"/>
    <w:rsid w:val="00BC6E6E"/>
    <w:rsid w:val="00BC7DD1"/>
    <w:rsid w:val="00BD103C"/>
    <w:rsid w:val="00BD10F1"/>
    <w:rsid w:val="00BD1B74"/>
    <w:rsid w:val="00BD1E43"/>
    <w:rsid w:val="00BD1F44"/>
    <w:rsid w:val="00BD277A"/>
    <w:rsid w:val="00BD28D3"/>
    <w:rsid w:val="00BD2AAA"/>
    <w:rsid w:val="00BD2D23"/>
    <w:rsid w:val="00BD2E83"/>
    <w:rsid w:val="00BD406D"/>
    <w:rsid w:val="00BD410D"/>
    <w:rsid w:val="00BD413D"/>
    <w:rsid w:val="00BD4793"/>
    <w:rsid w:val="00BD483F"/>
    <w:rsid w:val="00BD4B95"/>
    <w:rsid w:val="00BD4DC5"/>
    <w:rsid w:val="00BD5105"/>
    <w:rsid w:val="00BD51C1"/>
    <w:rsid w:val="00BD5386"/>
    <w:rsid w:val="00BD53D1"/>
    <w:rsid w:val="00BD5EB8"/>
    <w:rsid w:val="00BD62EE"/>
    <w:rsid w:val="00BD645A"/>
    <w:rsid w:val="00BD6CFC"/>
    <w:rsid w:val="00BD7114"/>
    <w:rsid w:val="00BD7350"/>
    <w:rsid w:val="00BD77D7"/>
    <w:rsid w:val="00BD78AB"/>
    <w:rsid w:val="00BD79BB"/>
    <w:rsid w:val="00BE036B"/>
    <w:rsid w:val="00BE04E7"/>
    <w:rsid w:val="00BE051F"/>
    <w:rsid w:val="00BE0644"/>
    <w:rsid w:val="00BE10F5"/>
    <w:rsid w:val="00BE1270"/>
    <w:rsid w:val="00BE1276"/>
    <w:rsid w:val="00BE1389"/>
    <w:rsid w:val="00BE146D"/>
    <w:rsid w:val="00BE147E"/>
    <w:rsid w:val="00BE171C"/>
    <w:rsid w:val="00BE1DFC"/>
    <w:rsid w:val="00BE25E1"/>
    <w:rsid w:val="00BE2F60"/>
    <w:rsid w:val="00BE312E"/>
    <w:rsid w:val="00BE32D9"/>
    <w:rsid w:val="00BE3457"/>
    <w:rsid w:val="00BE3605"/>
    <w:rsid w:val="00BE39CC"/>
    <w:rsid w:val="00BE4063"/>
    <w:rsid w:val="00BE4391"/>
    <w:rsid w:val="00BE44CF"/>
    <w:rsid w:val="00BE4B28"/>
    <w:rsid w:val="00BE53EC"/>
    <w:rsid w:val="00BE5948"/>
    <w:rsid w:val="00BE599A"/>
    <w:rsid w:val="00BE610A"/>
    <w:rsid w:val="00BE658D"/>
    <w:rsid w:val="00BE6F3F"/>
    <w:rsid w:val="00BE72E3"/>
    <w:rsid w:val="00BE73A6"/>
    <w:rsid w:val="00BE76CA"/>
    <w:rsid w:val="00BE79CB"/>
    <w:rsid w:val="00BE7F05"/>
    <w:rsid w:val="00BE7F32"/>
    <w:rsid w:val="00BF08E1"/>
    <w:rsid w:val="00BF0C7E"/>
    <w:rsid w:val="00BF0CFF"/>
    <w:rsid w:val="00BF0F32"/>
    <w:rsid w:val="00BF1C1B"/>
    <w:rsid w:val="00BF1CE3"/>
    <w:rsid w:val="00BF1E4E"/>
    <w:rsid w:val="00BF24A4"/>
    <w:rsid w:val="00BF260B"/>
    <w:rsid w:val="00BF3DC6"/>
    <w:rsid w:val="00BF3DF8"/>
    <w:rsid w:val="00BF4E83"/>
    <w:rsid w:val="00BF502A"/>
    <w:rsid w:val="00BF524B"/>
    <w:rsid w:val="00BF53B2"/>
    <w:rsid w:val="00BF5486"/>
    <w:rsid w:val="00BF54BB"/>
    <w:rsid w:val="00BF56A0"/>
    <w:rsid w:val="00BF6037"/>
    <w:rsid w:val="00BF625A"/>
    <w:rsid w:val="00BF6630"/>
    <w:rsid w:val="00BF68D7"/>
    <w:rsid w:val="00BF6AB8"/>
    <w:rsid w:val="00BF6BA2"/>
    <w:rsid w:val="00BF6BBA"/>
    <w:rsid w:val="00BF72A0"/>
    <w:rsid w:val="00BF7820"/>
    <w:rsid w:val="00BF783C"/>
    <w:rsid w:val="00BF7F99"/>
    <w:rsid w:val="00C003C8"/>
    <w:rsid w:val="00C0040C"/>
    <w:rsid w:val="00C012CB"/>
    <w:rsid w:val="00C015FB"/>
    <w:rsid w:val="00C01683"/>
    <w:rsid w:val="00C01EC6"/>
    <w:rsid w:val="00C0209D"/>
    <w:rsid w:val="00C02256"/>
    <w:rsid w:val="00C02285"/>
    <w:rsid w:val="00C0235F"/>
    <w:rsid w:val="00C0261D"/>
    <w:rsid w:val="00C0307F"/>
    <w:rsid w:val="00C033C6"/>
    <w:rsid w:val="00C03C09"/>
    <w:rsid w:val="00C03D22"/>
    <w:rsid w:val="00C03D66"/>
    <w:rsid w:val="00C03EC4"/>
    <w:rsid w:val="00C0406C"/>
    <w:rsid w:val="00C04393"/>
    <w:rsid w:val="00C04869"/>
    <w:rsid w:val="00C04BE4"/>
    <w:rsid w:val="00C052F3"/>
    <w:rsid w:val="00C054C4"/>
    <w:rsid w:val="00C05988"/>
    <w:rsid w:val="00C05E3E"/>
    <w:rsid w:val="00C05F1C"/>
    <w:rsid w:val="00C0628F"/>
    <w:rsid w:val="00C067CA"/>
    <w:rsid w:val="00C069E0"/>
    <w:rsid w:val="00C06E58"/>
    <w:rsid w:val="00C06E8D"/>
    <w:rsid w:val="00C070F1"/>
    <w:rsid w:val="00C073C3"/>
    <w:rsid w:val="00C0742F"/>
    <w:rsid w:val="00C07533"/>
    <w:rsid w:val="00C07AD4"/>
    <w:rsid w:val="00C07BC4"/>
    <w:rsid w:val="00C07C84"/>
    <w:rsid w:val="00C1031B"/>
    <w:rsid w:val="00C104F1"/>
    <w:rsid w:val="00C10B7D"/>
    <w:rsid w:val="00C110E0"/>
    <w:rsid w:val="00C11119"/>
    <w:rsid w:val="00C11515"/>
    <w:rsid w:val="00C1159E"/>
    <w:rsid w:val="00C116D2"/>
    <w:rsid w:val="00C119ED"/>
    <w:rsid w:val="00C1317E"/>
    <w:rsid w:val="00C13228"/>
    <w:rsid w:val="00C137CF"/>
    <w:rsid w:val="00C13977"/>
    <w:rsid w:val="00C13A59"/>
    <w:rsid w:val="00C13A8B"/>
    <w:rsid w:val="00C13C6E"/>
    <w:rsid w:val="00C14316"/>
    <w:rsid w:val="00C149DC"/>
    <w:rsid w:val="00C156A0"/>
    <w:rsid w:val="00C157D9"/>
    <w:rsid w:val="00C16653"/>
    <w:rsid w:val="00C166B0"/>
    <w:rsid w:val="00C16787"/>
    <w:rsid w:val="00C16796"/>
    <w:rsid w:val="00C1681A"/>
    <w:rsid w:val="00C16B6C"/>
    <w:rsid w:val="00C17781"/>
    <w:rsid w:val="00C2046C"/>
    <w:rsid w:val="00C2056E"/>
    <w:rsid w:val="00C20ED7"/>
    <w:rsid w:val="00C20F9F"/>
    <w:rsid w:val="00C2109D"/>
    <w:rsid w:val="00C214E2"/>
    <w:rsid w:val="00C21730"/>
    <w:rsid w:val="00C21743"/>
    <w:rsid w:val="00C21F93"/>
    <w:rsid w:val="00C22BB6"/>
    <w:rsid w:val="00C22C42"/>
    <w:rsid w:val="00C23298"/>
    <w:rsid w:val="00C238C4"/>
    <w:rsid w:val="00C23C14"/>
    <w:rsid w:val="00C23FB7"/>
    <w:rsid w:val="00C245C7"/>
    <w:rsid w:val="00C2491A"/>
    <w:rsid w:val="00C25A26"/>
    <w:rsid w:val="00C25B93"/>
    <w:rsid w:val="00C25C1D"/>
    <w:rsid w:val="00C25CAC"/>
    <w:rsid w:val="00C25E65"/>
    <w:rsid w:val="00C26108"/>
    <w:rsid w:val="00C26A12"/>
    <w:rsid w:val="00C26B3F"/>
    <w:rsid w:val="00C271C8"/>
    <w:rsid w:val="00C274A3"/>
    <w:rsid w:val="00C27674"/>
    <w:rsid w:val="00C27AC2"/>
    <w:rsid w:val="00C27B92"/>
    <w:rsid w:val="00C30036"/>
    <w:rsid w:val="00C30156"/>
    <w:rsid w:val="00C30242"/>
    <w:rsid w:val="00C302AC"/>
    <w:rsid w:val="00C30766"/>
    <w:rsid w:val="00C30B97"/>
    <w:rsid w:val="00C32892"/>
    <w:rsid w:val="00C32CEF"/>
    <w:rsid w:val="00C33012"/>
    <w:rsid w:val="00C3340B"/>
    <w:rsid w:val="00C337B9"/>
    <w:rsid w:val="00C3381F"/>
    <w:rsid w:val="00C338A6"/>
    <w:rsid w:val="00C3393C"/>
    <w:rsid w:val="00C3394A"/>
    <w:rsid w:val="00C33C89"/>
    <w:rsid w:val="00C33DA1"/>
    <w:rsid w:val="00C34012"/>
    <w:rsid w:val="00C3482A"/>
    <w:rsid w:val="00C34F30"/>
    <w:rsid w:val="00C34FCF"/>
    <w:rsid w:val="00C35368"/>
    <w:rsid w:val="00C35663"/>
    <w:rsid w:val="00C3575A"/>
    <w:rsid w:val="00C35997"/>
    <w:rsid w:val="00C3623E"/>
    <w:rsid w:val="00C362B8"/>
    <w:rsid w:val="00C36528"/>
    <w:rsid w:val="00C36BEE"/>
    <w:rsid w:val="00C36FCB"/>
    <w:rsid w:val="00C3799B"/>
    <w:rsid w:val="00C4001D"/>
    <w:rsid w:val="00C403F4"/>
    <w:rsid w:val="00C405DA"/>
    <w:rsid w:val="00C40F89"/>
    <w:rsid w:val="00C40F96"/>
    <w:rsid w:val="00C40FB3"/>
    <w:rsid w:val="00C413C5"/>
    <w:rsid w:val="00C420BB"/>
    <w:rsid w:val="00C42958"/>
    <w:rsid w:val="00C42D35"/>
    <w:rsid w:val="00C43BCE"/>
    <w:rsid w:val="00C43DA4"/>
    <w:rsid w:val="00C43E5D"/>
    <w:rsid w:val="00C43F41"/>
    <w:rsid w:val="00C441E2"/>
    <w:rsid w:val="00C4476A"/>
    <w:rsid w:val="00C44C23"/>
    <w:rsid w:val="00C451DC"/>
    <w:rsid w:val="00C45455"/>
    <w:rsid w:val="00C457D2"/>
    <w:rsid w:val="00C45E02"/>
    <w:rsid w:val="00C467E0"/>
    <w:rsid w:val="00C46A4C"/>
    <w:rsid w:val="00C47022"/>
    <w:rsid w:val="00C4710F"/>
    <w:rsid w:val="00C478BA"/>
    <w:rsid w:val="00C47B89"/>
    <w:rsid w:val="00C47C07"/>
    <w:rsid w:val="00C50496"/>
    <w:rsid w:val="00C50601"/>
    <w:rsid w:val="00C50655"/>
    <w:rsid w:val="00C5079E"/>
    <w:rsid w:val="00C50CE0"/>
    <w:rsid w:val="00C50E04"/>
    <w:rsid w:val="00C50F93"/>
    <w:rsid w:val="00C51455"/>
    <w:rsid w:val="00C514A5"/>
    <w:rsid w:val="00C5157E"/>
    <w:rsid w:val="00C51DD2"/>
    <w:rsid w:val="00C52078"/>
    <w:rsid w:val="00C5278F"/>
    <w:rsid w:val="00C52915"/>
    <w:rsid w:val="00C52EA4"/>
    <w:rsid w:val="00C52FB2"/>
    <w:rsid w:val="00C53AC6"/>
    <w:rsid w:val="00C53BC8"/>
    <w:rsid w:val="00C54293"/>
    <w:rsid w:val="00C547F7"/>
    <w:rsid w:val="00C5481E"/>
    <w:rsid w:val="00C55925"/>
    <w:rsid w:val="00C559E6"/>
    <w:rsid w:val="00C55A9A"/>
    <w:rsid w:val="00C55B05"/>
    <w:rsid w:val="00C56B3A"/>
    <w:rsid w:val="00C572E3"/>
    <w:rsid w:val="00C5798D"/>
    <w:rsid w:val="00C57E0A"/>
    <w:rsid w:val="00C57E0C"/>
    <w:rsid w:val="00C60F70"/>
    <w:rsid w:val="00C61038"/>
    <w:rsid w:val="00C61088"/>
    <w:rsid w:val="00C61148"/>
    <w:rsid w:val="00C61BCF"/>
    <w:rsid w:val="00C61ECF"/>
    <w:rsid w:val="00C62E9C"/>
    <w:rsid w:val="00C63170"/>
    <w:rsid w:val="00C637C3"/>
    <w:rsid w:val="00C63A73"/>
    <w:rsid w:val="00C63E44"/>
    <w:rsid w:val="00C64123"/>
    <w:rsid w:val="00C6496B"/>
    <w:rsid w:val="00C64AF0"/>
    <w:rsid w:val="00C64CA8"/>
    <w:rsid w:val="00C65430"/>
    <w:rsid w:val="00C65567"/>
    <w:rsid w:val="00C6585D"/>
    <w:rsid w:val="00C65A6B"/>
    <w:rsid w:val="00C65E1E"/>
    <w:rsid w:val="00C6696E"/>
    <w:rsid w:val="00C66C28"/>
    <w:rsid w:val="00C66E41"/>
    <w:rsid w:val="00C67208"/>
    <w:rsid w:val="00C673C8"/>
    <w:rsid w:val="00C6744D"/>
    <w:rsid w:val="00C67A7B"/>
    <w:rsid w:val="00C67A8A"/>
    <w:rsid w:val="00C7020E"/>
    <w:rsid w:val="00C702D3"/>
    <w:rsid w:val="00C706BE"/>
    <w:rsid w:val="00C70793"/>
    <w:rsid w:val="00C70960"/>
    <w:rsid w:val="00C710CF"/>
    <w:rsid w:val="00C717AF"/>
    <w:rsid w:val="00C720BB"/>
    <w:rsid w:val="00C72251"/>
    <w:rsid w:val="00C72418"/>
    <w:rsid w:val="00C725A7"/>
    <w:rsid w:val="00C7269B"/>
    <w:rsid w:val="00C72887"/>
    <w:rsid w:val="00C72C65"/>
    <w:rsid w:val="00C73148"/>
    <w:rsid w:val="00C732EF"/>
    <w:rsid w:val="00C73603"/>
    <w:rsid w:val="00C737A7"/>
    <w:rsid w:val="00C73BCC"/>
    <w:rsid w:val="00C740B6"/>
    <w:rsid w:val="00C740C4"/>
    <w:rsid w:val="00C74597"/>
    <w:rsid w:val="00C7463E"/>
    <w:rsid w:val="00C7536C"/>
    <w:rsid w:val="00C75426"/>
    <w:rsid w:val="00C75611"/>
    <w:rsid w:val="00C757E9"/>
    <w:rsid w:val="00C75823"/>
    <w:rsid w:val="00C75A50"/>
    <w:rsid w:val="00C75B7F"/>
    <w:rsid w:val="00C75FF0"/>
    <w:rsid w:val="00C763DE"/>
    <w:rsid w:val="00C769AD"/>
    <w:rsid w:val="00C76AAC"/>
    <w:rsid w:val="00C77C19"/>
    <w:rsid w:val="00C802B8"/>
    <w:rsid w:val="00C802E5"/>
    <w:rsid w:val="00C80556"/>
    <w:rsid w:val="00C8076B"/>
    <w:rsid w:val="00C8093D"/>
    <w:rsid w:val="00C80AE5"/>
    <w:rsid w:val="00C80C6A"/>
    <w:rsid w:val="00C80C8B"/>
    <w:rsid w:val="00C81A95"/>
    <w:rsid w:val="00C82002"/>
    <w:rsid w:val="00C821C8"/>
    <w:rsid w:val="00C823A3"/>
    <w:rsid w:val="00C82AFB"/>
    <w:rsid w:val="00C82E91"/>
    <w:rsid w:val="00C83D29"/>
    <w:rsid w:val="00C844EB"/>
    <w:rsid w:val="00C847A7"/>
    <w:rsid w:val="00C850B4"/>
    <w:rsid w:val="00C8578B"/>
    <w:rsid w:val="00C85804"/>
    <w:rsid w:val="00C86019"/>
    <w:rsid w:val="00C8620C"/>
    <w:rsid w:val="00C86214"/>
    <w:rsid w:val="00C86A97"/>
    <w:rsid w:val="00C87B4D"/>
    <w:rsid w:val="00C906DD"/>
    <w:rsid w:val="00C90A5C"/>
    <w:rsid w:val="00C90E1C"/>
    <w:rsid w:val="00C9107A"/>
    <w:rsid w:val="00C9111C"/>
    <w:rsid w:val="00C912B2"/>
    <w:rsid w:val="00C91512"/>
    <w:rsid w:val="00C91B38"/>
    <w:rsid w:val="00C92F1D"/>
    <w:rsid w:val="00C93365"/>
    <w:rsid w:val="00C9474D"/>
    <w:rsid w:val="00C94B09"/>
    <w:rsid w:val="00C9579E"/>
    <w:rsid w:val="00C95CDE"/>
    <w:rsid w:val="00C95F48"/>
    <w:rsid w:val="00C9687E"/>
    <w:rsid w:val="00C96DFB"/>
    <w:rsid w:val="00C96E5E"/>
    <w:rsid w:val="00CA00F4"/>
    <w:rsid w:val="00CA0166"/>
    <w:rsid w:val="00CA0232"/>
    <w:rsid w:val="00CA08D4"/>
    <w:rsid w:val="00CA0D34"/>
    <w:rsid w:val="00CA11AF"/>
    <w:rsid w:val="00CA144A"/>
    <w:rsid w:val="00CA18B4"/>
    <w:rsid w:val="00CA22A6"/>
    <w:rsid w:val="00CA3480"/>
    <w:rsid w:val="00CA369B"/>
    <w:rsid w:val="00CA3DFF"/>
    <w:rsid w:val="00CA4212"/>
    <w:rsid w:val="00CA4286"/>
    <w:rsid w:val="00CA4548"/>
    <w:rsid w:val="00CA47E4"/>
    <w:rsid w:val="00CA4E74"/>
    <w:rsid w:val="00CA592B"/>
    <w:rsid w:val="00CA5D37"/>
    <w:rsid w:val="00CA5FB0"/>
    <w:rsid w:val="00CA6210"/>
    <w:rsid w:val="00CA652E"/>
    <w:rsid w:val="00CA6D65"/>
    <w:rsid w:val="00CA6E07"/>
    <w:rsid w:val="00CA7335"/>
    <w:rsid w:val="00CA743E"/>
    <w:rsid w:val="00CB01F6"/>
    <w:rsid w:val="00CB0924"/>
    <w:rsid w:val="00CB0C2B"/>
    <w:rsid w:val="00CB0D87"/>
    <w:rsid w:val="00CB0E59"/>
    <w:rsid w:val="00CB1225"/>
    <w:rsid w:val="00CB1783"/>
    <w:rsid w:val="00CB207D"/>
    <w:rsid w:val="00CB20F0"/>
    <w:rsid w:val="00CB28CE"/>
    <w:rsid w:val="00CB28FA"/>
    <w:rsid w:val="00CB2A5D"/>
    <w:rsid w:val="00CB3587"/>
    <w:rsid w:val="00CB35D0"/>
    <w:rsid w:val="00CB37E0"/>
    <w:rsid w:val="00CB3CA3"/>
    <w:rsid w:val="00CB3CCA"/>
    <w:rsid w:val="00CB3EAD"/>
    <w:rsid w:val="00CB436A"/>
    <w:rsid w:val="00CB4DA1"/>
    <w:rsid w:val="00CB5224"/>
    <w:rsid w:val="00CB54D4"/>
    <w:rsid w:val="00CB5D61"/>
    <w:rsid w:val="00CB5FB3"/>
    <w:rsid w:val="00CB6132"/>
    <w:rsid w:val="00CB64F5"/>
    <w:rsid w:val="00CB6B63"/>
    <w:rsid w:val="00CB76B9"/>
    <w:rsid w:val="00CB7BAF"/>
    <w:rsid w:val="00CB7E35"/>
    <w:rsid w:val="00CB7E42"/>
    <w:rsid w:val="00CB7FE2"/>
    <w:rsid w:val="00CC00EF"/>
    <w:rsid w:val="00CC037E"/>
    <w:rsid w:val="00CC04FC"/>
    <w:rsid w:val="00CC0CD6"/>
    <w:rsid w:val="00CC0D14"/>
    <w:rsid w:val="00CC0E47"/>
    <w:rsid w:val="00CC127F"/>
    <w:rsid w:val="00CC1635"/>
    <w:rsid w:val="00CC180D"/>
    <w:rsid w:val="00CC1971"/>
    <w:rsid w:val="00CC1DBC"/>
    <w:rsid w:val="00CC22D9"/>
    <w:rsid w:val="00CC25B2"/>
    <w:rsid w:val="00CC260A"/>
    <w:rsid w:val="00CC267B"/>
    <w:rsid w:val="00CC310E"/>
    <w:rsid w:val="00CC312A"/>
    <w:rsid w:val="00CC321A"/>
    <w:rsid w:val="00CC3533"/>
    <w:rsid w:val="00CC389F"/>
    <w:rsid w:val="00CC3B7D"/>
    <w:rsid w:val="00CC4758"/>
    <w:rsid w:val="00CC4B63"/>
    <w:rsid w:val="00CC4FEB"/>
    <w:rsid w:val="00CC555D"/>
    <w:rsid w:val="00CC55DE"/>
    <w:rsid w:val="00CC6827"/>
    <w:rsid w:val="00CC68CF"/>
    <w:rsid w:val="00CC6A47"/>
    <w:rsid w:val="00CC6C41"/>
    <w:rsid w:val="00CC6E46"/>
    <w:rsid w:val="00CC6F90"/>
    <w:rsid w:val="00CC753B"/>
    <w:rsid w:val="00CC76BD"/>
    <w:rsid w:val="00CC7B50"/>
    <w:rsid w:val="00CC7C81"/>
    <w:rsid w:val="00CC7ED3"/>
    <w:rsid w:val="00CD005E"/>
    <w:rsid w:val="00CD00B3"/>
    <w:rsid w:val="00CD11DB"/>
    <w:rsid w:val="00CD196B"/>
    <w:rsid w:val="00CD1DA3"/>
    <w:rsid w:val="00CD1F0D"/>
    <w:rsid w:val="00CD1F8E"/>
    <w:rsid w:val="00CD24AE"/>
    <w:rsid w:val="00CD2D4A"/>
    <w:rsid w:val="00CD3560"/>
    <w:rsid w:val="00CD3B93"/>
    <w:rsid w:val="00CD3CC8"/>
    <w:rsid w:val="00CD3DDF"/>
    <w:rsid w:val="00CD42C2"/>
    <w:rsid w:val="00CD4D95"/>
    <w:rsid w:val="00CD4DAC"/>
    <w:rsid w:val="00CD51F2"/>
    <w:rsid w:val="00CD549D"/>
    <w:rsid w:val="00CD586C"/>
    <w:rsid w:val="00CD5A21"/>
    <w:rsid w:val="00CD5A45"/>
    <w:rsid w:val="00CD5A9D"/>
    <w:rsid w:val="00CD5AB0"/>
    <w:rsid w:val="00CD5AE9"/>
    <w:rsid w:val="00CD5EC3"/>
    <w:rsid w:val="00CD61A6"/>
    <w:rsid w:val="00CD69DC"/>
    <w:rsid w:val="00CD6E7A"/>
    <w:rsid w:val="00CD6FB8"/>
    <w:rsid w:val="00CD7076"/>
    <w:rsid w:val="00CD7207"/>
    <w:rsid w:val="00CD77F3"/>
    <w:rsid w:val="00CD78C9"/>
    <w:rsid w:val="00CD7A29"/>
    <w:rsid w:val="00CD7B43"/>
    <w:rsid w:val="00CE04CC"/>
    <w:rsid w:val="00CE0C8D"/>
    <w:rsid w:val="00CE1FDB"/>
    <w:rsid w:val="00CE224C"/>
    <w:rsid w:val="00CE2787"/>
    <w:rsid w:val="00CE2825"/>
    <w:rsid w:val="00CE29FD"/>
    <w:rsid w:val="00CE2EBF"/>
    <w:rsid w:val="00CE2F4A"/>
    <w:rsid w:val="00CE391A"/>
    <w:rsid w:val="00CE39F4"/>
    <w:rsid w:val="00CE3E8F"/>
    <w:rsid w:val="00CE40B4"/>
    <w:rsid w:val="00CE4322"/>
    <w:rsid w:val="00CE4655"/>
    <w:rsid w:val="00CE4816"/>
    <w:rsid w:val="00CE53ED"/>
    <w:rsid w:val="00CE561A"/>
    <w:rsid w:val="00CE5E1B"/>
    <w:rsid w:val="00CE7166"/>
    <w:rsid w:val="00CE75DA"/>
    <w:rsid w:val="00CE7873"/>
    <w:rsid w:val="00CE7959"/>
    <w:rsid w:val="00CE7F77"/>
    <w:rsid w:val="00CF007B"/>
    <w:rsid w:val="00CF02CA"/>
    <w:rsid w:val="00CF04C2"/>
    <w:rsid w:val="00CF093D"/>
    <w:rsid w:val="00CF0CD4"/>
    <w:rsid w:val="00CF0D6F"/>
    <w:rsid w:val="00CF114F"/>
    <w:rsid w:val="00CF1A04"/>
    <w:rsid w:val="00CF2ED9"/>
    <w:rsid w:val="00CF3959"/>
    <w:rsid w:val="00CF3F59"/>
    <w:rsid w:val="00CF44C1"/>
    <w:rsid w:val="00CF45A1"/>
    <w:rsid w:val="00CF4AA5"/>
    <w:rsid w:val="00CF5270"/>
    <w:rsid w:val="00CF55A1"/>
    <w:rsid w:val="00CF6763"/>
    <w:rsid w:val="00CF687E"/>
    <w:rsid w:val="00CF68BC"/>
    <w:rsid w:val="00CF6B5B"/>
    <w:rsid w:val="00CF6CAA"/>
    <w:rsid w:val="00CF70F4"/>
    <w:rsid w:val="00CF7273"/>
    <w:rsid w:val="00CF72B5"/>
    <w:rsid w:val="00CF76AA"/>
    <w:rsid w:val="00CF7E5A"/>
    <w:rsid w:val="00D0007F"/>
    <w:rsid w:val="00D0037C"/>
    <w:rsid w:val="00D003A2"/>
    <w:rsid w:val="00D004C2"/>
    <w:rsid w:val="00D0058C"/>
    <w:rsid w:val="00D00866"/>
    <w:rsid w:val="00D00CFB"/>
    <w:rsid w:val="00D00D8F"/>
    <w:rsid w:val="00D00F6D"/>
    <w:rsid w:val="00D01195"/>
    <w:rsid w:val="00D011B0"/>
    <w:rsid w:val="00D021B8"/>
    <w:rsid w:val="00D02D58"/>
    <w:rsid w:val="00D02E22"/>
    <w:rsid w:val="00D034F1"/>
    <w:rsid w:val="00D03B3A"/>
    <w:rsid w:val="00D04007"/>
    <w:rsid w:val="00D04836"/>
    <w:rsid w:val="00D049D0"/>
    <w:rsid w:val="00D04E92"/>
    <w:rsid w:val="00D051A4"/>
    <w:rsid w:val="00D05923"/>
    <w:rsid w:val="00D05972"/>
    <w:rsid w:val="00D059BD"/>
    <w:rsid w:val="00D06181"/>
    <w:rsid w:val="00D06B3D"/>
    <w:rsid w:val="00D06BCA"/>
    <w:rsid w:val="00D06F05"/>
    <w:rsid w:val="00D06F7F"/>
    <w:rsid w:val="00D0705A"/>
    <w:rsid w:val="00D07134"/>
    <w:rsid w:val="00D0725A"/>
    <w:rsid w:val="00D07692"/>
    <w:rsid w:val="00D0772E"/>
    <w:rsid w:val="00D07C41"/>
    <w:rsid w:val="00D07E40"/>
    <w:rsid w:val="00D10A8D"/>
    <w:rsid w:val="00D114A7"/>
    <w:rsid w:val="00D11B64"/>
    <w:rsid w:val="00D11C00"/>
    <w:rsid w:val="00D11D67"/>
    <w:rsid w:val="00D11DBD"/>
    <w:rsid w:val="00D11EB0"/>
    <w:rsid w:val="00D11F99"/>
    <w:rsid w:val="00D124EA"/>
    <w:rsid w:val="00D12582"/>
    <w:rsid w:val="00D13123"/>
    <w:rsid w:val="00D135CC"/>
    <w:rsid w:val="00D13709"/>
    <w:rsid w:val="00D13835"/>
    <w:rsid w:val="00D14046"/>
    <w:rsid w:val="00D14700"/>
    <w:rsid w:val="00D14781"/>
    <w:rsid w:val="00D154AE"/>
    <w:rsid w:val="00D15733"/>
    <w:rsid w:val="00D159DE"/>
    <w:rsid w:val="00D15C38"/>
    <w:rsid w:val="00D15D3C"/>
    <w:rsid w:val="00D15D64"/>
    <w:rsid w:val="00D15FCE"/>
    <w:rsid w:val="00D1646A"/>
    <w:rsid w:val="00D1658F"/>
    <w:rsid w:val="00D16BF9"/>
    <w:rsid w:val="00D16E92"/>
    <w:rsid w:val="00D17332"/>
    <w:rsid w:val="00D17658"/>
    <w:rsid w:val="00D1794D"/>
    <w:rsid w:val="00D203EB"/>
    <w:rsid w:val="00D20600"/>
    <w:rsid w:val="00D20795"/>
    <w:rsid w:val="00D213F4"/>
    <w:rsid w:val="00D218C5"/>
    <w:rsid w:val="00D21986"/>
    <w:rsid w:val="00D21C6E"/>
    <w:rsid w:val="00D22972"/>
    <w:rsid w:val="00D2306B"/>
    <w:rsid w:val="00D230AF"/>
    <w:rsid w:val="00D23CC2"/>
    <w:rsid w:val="00D24D99"/>
    <w:rsid w:val="00D24DB4"/>
    <w:rsid w:val="00D2540A"/>
    <w:rsid w:val="00D25452"/>
    <w:rsid w:val="00D25609"/>
    <w:rsid w:val="00D256A4"/>
    <w:rsid w:val="00D25BCB"/>
    <w:rsid w:val="00D25DC1"/>
    <w:rsid w:val="00D25FE7"/>
    <w:rsid w:val="00D2612F"/>
    <w:rsid w:val="00D26B57"/>
    <w:rsid w:val="00D26CEC"/>
    <w:rsid w:val="00D26E0C"/>
    <w:rsid w:val="00D26E4B"/>
    <w:rsid w:val="00D2752F"/>
    <w:rsid w:val="00D27626"/>
    <w:rsid w:val="00D277E8"/>
    <w:rsid w:val="00D27A64"/>
    <w:rsid w:val="00D27AE9"/>
    <w:rsid w:val="00D27B1D"/>
    <w:rsid w:val="00D30518"/>
    <w:rsid w:val="00D30761"/>
    <w:rsid w:val="00D30A01"/>
    <w:rsid w:val="00D30A22"/>
    <w:rsid w:val="00D30FF5"/>
    <w:rsid w:val="00D31390"/>
    <w:rsid w:val="00D31466"/>
    <w:rsid w:val="00D31496"/>
    <w:rsid w:val="00D317CD"/>
    <w:rsid w:val="00D31A43"/>
    <w:rsid w:val="00D31F53"/>
    <w:rsid w:val="00D3205C"/>
    <w:rsid w:val="00D32661"/>
    <w:rsid w:val="00D32ACB"/>
    <w:rsid w:val="00D33015"/>
    <w:rsid w:val="00D339A1"/>
    <w:rsid w:val="00D33D82"/>
    <w:rsid w:val="00D354C5"/>
    <w:rsid w:val="00D354D8"/>
    <w:rsid w:val="00D35701"/>
    <w:rsid w:val="00D3575C"/>
    <w:rsid w:val="00D35AF7"/>
    <w:rsid w:val="00D3607D"/>
    <w:rsid w:val="00D360F1"/>
    <w:rsid w:val="00D365E4"/>
    <w:rsid w:val="00D366FB"/>
    <w:rsid w:val="00D36F46"/>
    <w:rsid w:val="00D370EB"/>
    <w:rsid w:val="00D3725C"/>
    <w:rsid w:val="00D378C0"/>
    <w:rsid w:val="00D379FF"/>
    <w:rsid w:val="00D37ACB"/>
    <w:rsid w:val="00D37C12"/>
    <w:rsid w:val="00D40E6D"/>
    <w:rsid w:val="00D414AE"/>
    <w:rsid w:val="00D41E9D"/>
    <w:rsid w:val="00D42235"/>
    <w:rsid w:val="00D42410"/>
    <w:rsid w:val="00D428AA"/>
    <w:rsid w:val="00D42F5E"/>
    <w:rsid w:val="00D4328E"/>
    <w:rsid w:val="00D4382A"/>
    <w:rsid w:val="00D43A34"/>
    <w:rsid w:val="00D43D2F"/>
    <w:rsid w:val="00D43DAB"/>
    <w:rsid w:val="00D44345"/>
    <w:rsid w:val="00D4467E"/>
    <w:rsid w:val="00D44779"/>
    <w:rsid w:val="00D447DE"/>
    <w:rsid w:val="00D44AE4"/>
    <w:rsid w:val="00D45C4B"/>
    <w:rsid w:val="00D4611C"/>
    <w:rsid w:val="00D465FA"/>
    <w:rsid w:val="00D46D56"/>
    <w:rsid w:val="00D47044"/>
    <w:rsid w:val="00D473FE"/>
    <w:rsid w:val="00D474F0"/>
    <w:rsid w:val="00D476E5"/>
    <w:rsid w:val="00D50A6A"/>
    <w:rsid w:val="00D50C37"/>
    <w:rsid w:val="00D50E7B"/>
    <w:rsid w:val="00D51404"/>
    <w:rsid w:val="00D516FB"/>
    <w:rsid w:val="00D51764"/>
    <w:rsid w:val="00D518C6"/>
    <w:rsid w:val="00D52161"/>
    <w:rsid w:val="00D52440"/>
    <w:rsid w:val="00D52B7E"/>
    <w:rsid w:val="00D534AE"/>
    <w:rsid w:val="00D536E8"/>
    <w:rsid w:val="00D538DA"/>
    <w:rsid w:val="00D53A68"/>
    <w:rsid w:val="00D53E9F"/>
    <w:rsid w:val="00D54370"/>
    <w:rsid w:val="00D5489C"/>
    <w:rsid w:val="00D548A6"/>
    <w:rsid w:val="00D54AAA"/>
    <w:rsid w:val="00D55807"/>
    <w:rsid w:val="00D5641C"/>
    <w:rsid w:val="00D56795"/>
    <w:rsid w:val="00D5699A"/>
    <w:rsid w:val="00D569B4"/>
    <w:rsid w:val="00D56C22"/>
    <w:rsid w:val="00D56FE3"/>
    <w:rsid w:val="00D57048"/>
    <w:rsid w:val="00D5737D"/>
    <w:rsid w:val="00D5745F"/>
    <w:rsid w:val="00D576FD"/>
    <w:rsid w:val="00D57BEC"/>
    <w:rsid w:val="00D60508"/>
    <w:rsid w:val="00D607E3"/>
    <w:rsid w:val="00D608FA"/>
    <w:rsid w:val="00D60988"/>
    <w:rsid w:val="00D60EA9"/>
    <w:rsid w:val="00D60FC4"/>
    <w:rsid w:val="00D6107C"/>
    <w:rsid w:val="00D61A5F"/>
    <w:rsid w:val="00D61E18"/>
    <w:rsid w:val="00D61EB0"/>
    <w:rsid w:val="00D62363"/>
    <w:rsid w:val="00D625F5"/>
    <w:rsid w:val="00D62A0A"/>
    <w:rsid w:val="00D62B31"/>
    <w:rsid w:val="00D62E65"/>
    <w:rsid w:val="00D631DB"/>
    <w:rsid w:val="00D63444"/>
    <w:rsid w:val="00D6387F"/>
    <w:rsid w:val="00D641FC"/>
    <w:rsid w:val="00D642B8"/>
    <w:rsid w:val="00D642F8"/>
    <w:rsid w:val="00D64D94"/>
    <w:rsid w:val="00D64DAC"/>
    <w:rsid w:val="00D65057"/>
    <w:rsid w:val="00D6519D"/>
    <w:rsid w:val="00D65786"/>
    <w:rsid w:val="00D65AC8"/>
    <w:rsid w:val="00D65C79"/>
    <w:rsid w:val="00D65FF0"/>
    <w:rsid w:val="00D660FE"/>
    <w:rsid w:val="00D6623B"/>
    <w:rsid w:val="00D66610"/>
    <w:rsid w:val="00D666CA"/>
    <w:rsid w:val="00D66A42"/>
    <w:rsid w:val="00D67773"/>
    <w:rsid w:val="00D7028E"/>
    <w:rsid w:val="00D707E2"/>
    <w:rsid w:val="00D709D1"/>
    <w:rsid w:val="00D70F0C"/>
    <w:rsid w:val="00D70F2D"/>
    <w:rsid w:val="00D7176D"/>
    <w:rsid w:val="00D71843"/>
    <w:rsid w:val="00D71A93"/>
    <w:rsid w:val="00D72184"/>
    <w:rsid w:val="00D72350"/>
    <w:rsid w:val="00D72B20"/>
    <w:rsid w:val="00D72FCE"/>
    <w:rsid w:val="00D73169"/>
    <w:rsid w:val="00D7319F"/>
    <w:rsid w:val="00D7396E"/>
    <w:rsid w:val="00D74229"/>
    <w:rsid w:val="00D742DA"/>
    <w:rsid w:val="00D74536"/>
    <w:rsid w:val="00D746DB"/>
    <w:rsid w:val="00D74742"/>
    <w:rsid w:val="00D74D57"/>
    <w:rsid w:val="00D756BB"/>
    <w:rsid w:val="00D759F0"/>
    <w:rsid w:val="00D75E2C"/>
    <w:rsid w:val="00D760C5"/>
    <w:rsid w:val="00D76465"/>
    <w:rsid w:val="00D767A0"/>
    <w:rsid w:val="00D76822"/>
    <w:rsid w:val="00D76B0B"/>
    <w:rsid w:val="00D76DD9"/>
    <w:rsid w:val="00D76E9B"/>
    <w:rsid w:val="00D77095"/>
    <w:rsid w:val="00D772DD"/>
    <w:rsid w:val="00D774A1"/>
    <w:rsid w:val="00D774B7"/>
    <w:rsid w:val="00D77501"/>
    <w:rsid w:val="00D775AB"/>
    <w:rsid w:val="00D7797E"/>
    <w:rsid w:val="00D77E12"/>
    <w:rsid w:val="00D80258"/>
    <w:rsid w:val="00D80C14"/>
    <w:rsid w:val="00D8150A"/>
    <w:rsid w:val="00D81667"/>
    <w:rsid w:val="00D816FA"/>
    <w:rsid w:val="00D818DC"/>
    <w:rsid w:val="00D8196E"/>
    <w:rsid w:val="00D81EF3"/>
    <w:rsid w:val="00D82205"/>
    <w:rsid w:val="00D822E4"/>
    <w:rsid w:val="00D824C4"/>
    <w:rsid w:val="00D82E33"/>
    <w:rsid w:val="00D82FAF"/>
    <w:rsid w:val="00D8355D"/>
    <w:rsid w:val="00D83889"/>
    <w:rsid w:val="00D83A07"/>
    <w:rsid w:val="00D83D17"/>
    <w:rsid w:val="00D84C22"/>
    <w:rsid w:val="00D84D6B"/>
    <w:rsid w:val="00D8538E"/>
    <w:rsid w:val="00D85D4D"/>
    <w:rsid w:val="00D86101"/>
    <w:rsid w:val="00D86537"/>
    <w:rsid w:val="00D86FD6"/>
    <w:rsid w:val="00D87A6A"/>
    <w:rsid w:val="00D901E7"/>
    <w:rsid w:val="00D90A2A"/>
    <w:rsid w:val="00D91B78"/>
    <w:rsid w:val="00D91C57"/>
    <w:rsid w:val="00D91C71"/>
    <w:rsid w:val="00D923CD"/>
    <w:rsid w:val="00D92FAF"/>
    <w:rsid w:val="00D932D5"/>
    <w:rsid w:val="00D933A0"/>
    <w:rsid w:val="00D9358D"/>
    <w:rsid w:val="00D937C1"/>
    <w:rsid w:val="00D9473E"/>
    <w:rsid w:val="00D951DA"/>
    <w:rsid w:val="00D95475"/>
    <w:rsid w:val="00D95A1C"/>
    <w:rsid w:val="00D95D77"/>
    <w:rsid w:val="00D9650F"/>
    <w:rsid w:val="00D96556"/>
    <w:rsid w:val="00D96DC9"/>
    <w:rsid w:val="00D97019"/>
    <w:rsid w:val="00D9758B"/>
    <w:rsid w:val="00D97B2F"/>
    <w:rsid w:val="00D97CB5"/>
    <w:rsid w:val="00DA0664"/>
    <w:rsid w:val="00DA0A1C"/>
    <w:rsid w:val="00DA0D53"/>
    <w:rsid w:val="00DA1395"/>
    <w:rsid w:val="00DA1634"/>
    <w:rsid w:val="00DA1A0F"/>
    <w:rsid w:val="00DA2CBA"/>
    <w:rsid w:val="00DA3664"/>
    <w:rsid w:val="00DA3852"/>
    <w:rsid w:val="00DA3984"/>
    <w:rsid w:val="00DA41EB"/>
    <w:rsid w:val="00DA421F"/>
    <w:rsid w:val="00DA42A4"/>
    <w:rsid w:val="00DA4501"/>
    <w:rsid w:val="00DA45A6"/>
    <w:rsid w:val="00DA4E8D"/>
    <w:rsid w:val="00DA553D"/>
    <w:rsid w:val="00DA5802"/>
    <w:rsid w:val="00DA5830"/>
    <w:rsid w:val="00DA64AD"/>
    <w:rsid w:val="00DA6D84"/>
    <w:rsid w:val="00DA6E3C"/>
    <w:rsid w:val="00DA6FBD"/>
    <w:rsid w:val="00DA7521"/>
    <w:rsid w:val="00DA7D96"/>
    <w:rsid w:val="00DB0136"/>
    <w:rsid w:val="00DB0716"/>
    <w:rsid w:val="00DB0868"/>
    <w:rsid w:val="00DB0982"/>
    <w:rsid w:val="00DB0CCE"/>
    <w:rsid w:val="00DB0F11"/>
    <w:rsid w:val="00DB1290"/>
    <w:rsid w:val="00DB12D6"/>
    <w:rsid w:val="00DB18B0"/>
    <w:rsid w:val="00DB195A"/>
    <w:rsid w:val="00DB1BD3"/>
    <w:rsid w:val="00DB1DDE"/>
    <w:rsid w:val="00DB20C2"/>
    <w:rsid w:val="00DB252D"/>
    <w:rsid w:val="00DB287E"/>
    <w:rsid w:val="00DB2C5D"/>
    <w:rsid w:val="00DB2CEE"/>
    <w:rsid w:val="00DB2EED"/>
    <w:rsid w:val="00DB33A4"/>
    <w:rsid w:val="00DB3496"/>
    <w:rsid w:val="00DB3517"/>
    <w:rsid w:val="00DB37F4"/>
    <w:rsid w:val="00DB39CE"/>
    <w:rsid w:val="00DB3AF8"/>
    <w:rsid w:val="00DB3D01"/>
    <w:rsid w:val="00DB4260"/>
    <w:rsid w:val="00DB42F5"/>
    <w:rsid w:val="00DB448F"/>
    <w:rsid w:val="00DB453D"/>
    <w:rsid w:val="00DB4945"/>
    <w:rsid w:val="00DB5254"/>
    <w:rsid w:val="00DB5729"/>
    <w:rsid w:val="00DB573E"/>
    <w:rsid w:val="00DB58EE"/>
    <w:rsid w:val="00DB5BBC"/>
    <w:rsid w:val="00DB5EA1"/>
    <w:rsid w:val="00DB6029"/>
    <w:rsid w:val="00DB6164"/>
    <w:rsid w:val="00DB6BB3"/>
    <w:rsid w:val="00DB7D4F"/>
    <w:rsid w:val="00DB7EBF"/>
    <w:rsid w:val="00DC00CE"/>
    <w:rsid w:val="00DC01A2"/>
    <w:rsid w:val="00DC148D"/>
    <w:rsid w:val="00DC16BB"/>
    <w:rsid w:val="00DC187B"/>
    <w:rsid w:val="00DC1EBF"/>
    <w:rsid w:val="00DC2565"/>
    <w:rsid w:val="00DC27ED"/>
    <w:rsid w:val="00DC2B47"/>
    <w:rsid w:val="00DC2B9B"/>
    <w:rsid w:val="00DC2DDB"/>
    <w:rsid w:val="00DC31E7"/>
    <w:rsid w:val="00DC36D3"/>
    <w:rsid w:val="00DC38D6"/>
    <w:rsid w:val="00DC3B13"/>
    <w:rsid w:val="00DC3B2D"/>
    <w:rsid w:val="00DC3B8C"/>
    <w:rsid w:val="00DC4142"/>
    <w:rsid w:val="00DC43FE"/>
    <w:rsid w:val="00DC4641"/>
    <w:rsid w:val="00DC4AE1"/>
    <w:rsid w:val="00DC4D92"/>
    <w:rsid w:val="00DC5948"/>
    <w:rsid w:val="00DC5A82"/>
    <w:rsid w:val="00DC5C0D"/>
    <w:rsid w:val="00DC5DBF"/>
    <w:rsid w:val="00DC732D"/>
    <w:rsid w:val="00DD0163"/>
    <w:rsid w:val="00DD0F87"/>
    <w:rsid w:val="00DD11BA"/>
    <w:rsid w:val="00DD13EB"/>
    <w:rsid w:val="00DD182A"/>
    <w:rsid w:val="00DD1E53"/>
    <w:rsid w:val="00DD1F07"/>
    <w:rsid w:val="00DD2068"/>
    <w:rsid w:val="00DD36C5"/>
    <w:rsid w:val="00DD43C1"/>
    <w:rsid w:val="00DD4923"/>
    <w:rsid w:val="00DD4D34"/>
    <w:rsid w:val="00DD4D84"/>
    <w:rsid w:val="00DD5109"/>
    <w:rsid w:val="00DD5470"/>
    <w:rsid w:val="00DD5AB3"/>
    <w:rsid w:val="00DD6DF2"/>
    <w:rsid w:val="00DD6F98"/>
    <w:rsid w:val="00DD7226"/>
    <w:rsid w:val="00DD7249"/>
    <w:rsid w:val="00DD73B9"/>
    <w:rsid w:val="00DD782C"/>
    <w:rsid w:val="00DD7842"/>
    <w:rsid w:val="00DD7A2F"/>
    <w:rsid w:val="00DD7DFF"/>
    <w:rsid w:val="00DE0264"/>
    <w:rsid w:val="00DE128F"/>
    <w:rsid w:val="00DE1E18"/>
    <w:rsid w:val="00DE1F2F"/>
    <w:rsid w:val="00DE232D"/>
    <w:rsid w:val="00DE29EB"/>
    <w:rsid w:val="00DE2D94"/>
    <w:rsid w:val="00DE394D"/>
    <w:rsid w:val="00DE39B3"/>
    <w:rsid w:val="00DE520F"/>
    <w:rsid w:val="00DE5969"/>
    <w:rsid w:val="00DE5A95"/>
    <w:rsid w:val="00DE605C"/>
    <w:rsid w:val="00DE62DA"/>
    <w:rsid w:val="00DE64AF"/>
    <w:rsid w:val="00DE6707"/>
    <w:rsid w:val="00DE67A6"/>
    <w:rsid w:val="00DE6A81"/>
    <w:rsid w:val="00DE7825"/>
    <w:rsid w:val="00DE7B70"/>
    <w:rsid w:val="00DF0079"/>
    <w:rsid w:val="00DF0207"/>
    <w:rsid w:val="00DF0321"/>
    <w:rsid w:val="00DF080F"/>
    <w:rsid w:val="00DF1177"/>
    <w:rsid w:val="00DF13AE"/>
    <w:rsid w:val="00DF1DFE"/>
    <w:rsid w:val="00DF1EEB"/>
    <w:rsid w:val="00DF1F15"/>
    <w:rsid w:val="00DF292E"/>
    <w:rsid w:val="00DF2E60"/>
    <w:rsid w:val="00DF31C8"/>
    <w:rsid w:val="00DF3253"/>
    <w:rsid w:val="00DF3418"/>
    <w:rsid w:val="00DF3E24"/>
    <w:rsid w:val="00DF4581"/>
    <w:rsid w:val="00DF484C"/>
    <w:rsid w:val="00DF4F46"/>
    <w:rsid w:val="00DF5116"/>
    <w:rsid w:val="00DF5399"/>
    <w:rsid w:val="00DF54C8"/>
    <w:rsid w:val="00DF5573"/>
    <w:rsid w:val="00DF5681"/>
    <w:rsid w:val="00DF581C"/>
    <w:rsid w:val="00DF5A96"/>
    <w:rsid w:val="00DF5BCB"/>
    <w:rsid w:val="00DF5C9C"/>
    <w:rsid w:val="00DF5E82"/>
    <w:rsid w:val="00DF6A29"/>
    <w:rsid w:val="00DF6BE0"/>
    <w:rsid w:val="00DF724A"/>
    <w:rsid w:val="00DF7463"/>
    <w:rsid w:val="00DF75D3"/>
    <w:rsid w:val="00DF7841"/>
    <w:rsid w:val="00DF7B30"/>
    <w:rsid w:val="00DF7FD2"/>
    <w:rsid w:val="00E00063"/>
    <w:rsid w:val="00E005C6"/>
    <w:rsid w:val="00E00611"/>
    <w:rsid w:val="00E00D55"/>
    <w:rsid w:val="00E011D1"/>
    <w:rsid w:val="00E0125A"/>
    <w:rsid w:val="00E02091"/>
    <w:rsid w:val="00E026B2"/>
    <w:rsid w:val="00E026CC"/>
    <w:rsid w:val="00E02A77"/>
    <w:rsid w:val="00E02DC2"/>
    <w:rsid w:val="00E02DD3"/>
    <w:rsid w:val="00E0372D"/>
    <w:rsid w:val="00E03A2E"/>
    <w:rsid w:val="00E03C7F"/>
    <w:rsid w:val="00E03D1E"/>
    <w:rsid w:val="00E0447C"/>
    <w:rsid w:val="00E04608"/>
    <w:rsid w:val="00E05527"/>
    <w:rsid w:val="00E05CD0"/>
    <w:rsid w:val="00E06283"/>
    <w:rsid w:val="00E06AF2"/>
    <w:rsid w:val="00E06C35"/>
    <w:rsid w:val="00E06DC8"/>
    <w:rsid w:val="00E076A6"/>
    <w:rsid w:val="00E07AE4"/>
    <w:rsid w:val="00E07BDE"/>
    <w:rsid w:val="00E11AA3"/>
    <w:rsid w:val="00E11F79"/>
    <w:rsid w:val="00E12A9D"/>
    <w:rsid w:val="00E12BCC"/>
    <w:rsid w:val="00E12F05"/>
    <w:rsid w:val="00E13ED5"/>
    <w:rsid w:val="00E14124"/>
    <w:rsid w:val="00E1487C"/>
    <w:rsid w:val="00E1492F"/>
    <w:rsid w:val="00E14A7E"/>
    <w:rsid w:val="00E150FD"/>
    <w:rsid w:val="00E1548E"/>
    <w:rsid w:val="00E15AAE"/>
    <w:rsid w:val="00E1650B"/>
    <w:rsid w:val="00E167DB"/>
    <w:rsid w:val="00E167F8"/>
    <w:rsid w:val="00E1691F"/>
    <w:rsid w:val="00E16DB1"/>
    <w:rsid w:val="00E17101"/>
    <w:rsid w:val="00E172FE"/>
    <w:rsid w:val="00E17673"/>
    <w:rsid w:val="00E202DC"/>
    <w:rsid w:val="00E203ED"/>
    <w:rsid w:val="00E2051A"/>
    <w:rsid w:val="00E20908"/>
    <w:rsid w:val="00E20D70"/>
    <w:rsid w:val="00E20E18"/>
    <w:rsid w:val="00E210B7"/>
    <w:rsid w:val="00E213FC"/>
    <w:rsid w:val="00E21C2E"/>
    <w:rsid w:val="00E21D70"/>
    <w:rsid w:val="00E2214D"/>
    <w:rsid w:val="00E2217A"/>
    <w:rsid w:val="00E22394"/>
    <w:rsid w:val="00E22AAA"/>
    <w:rsid w:val="00E23020"/>
    <w:rsid w:val="00E23681"/>
    <w:rsid w:val="00E2369B"/>
    <w:rsid w:val="00E238AE"/>
    <w:rsid w:val="00E23B2D"/>
    <w:rsid w:val="00E24004"/>
    <w:rsid w:val="00E24BD1"/>
    <w:rsid w:val="00E254C7"/>
    <w:rsid w:val="00E25782"/>
    <w:rsid w:val="00E258F2"/>
    <w:rsid w:val="00E25D90"/>
    <w:rsid w:val="00E26192"/>
    <w:rsid w:val="00E2639A"/>
    <w:rsid w:val="00E269C6"/>
    <w:rsid w:val="00E270A2"/>
    <w:rsid w:val="00E2729C"/>
    <w:rsid w:val="00E272F3"/>
    <w:rsid w:val="00E27872"/>
    <w:rsid w:val="00E27A8A"/>
    <w:rsid w:val="00E27A90"/>
    <w:rsid w:val="00E27C5D"/>
    <w:rsid w:val="00E27ECF"/>
    <w:rsid w:val="00E30008"/>
    <w:rsid w:val="00E3009E"/>
    <w:rsid w:val="00E30E7F"/>
    <w:rsid w:val="00E316E2"/>
    <w:rsid w:val="00E316F5"/>
    <w:rsid w:val="00E317D5"/>
    <w:rsid w:val="00E31E54"/>
    <w:rsid w:val="00E328B8"/>
    <w:rsid w:val="00E3297A"/>
    <w:rsid w:val="00E32F89"/>
    <w:rsid w:val="00E33014"/>
    <w:rsid w:val="00E33602"/>
    <w:rsid w:val="00E3419B"/>
    <w:rsid w:val="00E357B1"/>
    <w:rsid w:val="00E35EE2"/>
    <w:rsid w:val="00E3697E"/>
    <w:rsid w:val="00E36BA0"/>
    <w:rsid w:val="00E36BD9"/>
    <w:rsid w:val="00E36D3E"/>
    <w:rsid w:val="00E36F7D"/>
    <w:rsid w:val="00E3729A"/>
    <w:rsid w:val="00E37AD7"/>
    <w:rsid w:val="00E37BA8"/>
    <w:rsid w:val="00E40210"/>
    <w:rsid w:val="00E40505"/>
    <w:rsid w:val="00E405D2"/>
    <w:rsid w:val="00E40B71"/>
    <w:rsid w:val="00E40D6E"/>
    <w:rsid w:val="00E4121D"/>
    <w:rsid w:val="00E41320"/>
    <w:rsid w:val="00E41335"/>
    <w:rsid w:val="00E41718"/>
    <w:rsid w:val="00E41E44"/>
    <w:rsid w:val="00E41F4F"/>
    <w:rsid w:val="00E4210C"/>
    <w:rsid w:val="00E42198"/>
    <w:rsid w:val="00E42349"/>
    <w:rsid w:val="00E4290F"/>
    <w:rsid w:val="00E429E0"/>
    <w:rsid w:val="00E42EE3"/>
    <w:rsid w:val="00E43710"/>
    <w:rsid w:val="00E4400A"/>
    <w:rsid w:val="00E446CC"/>
    <w:rsid w:val="00E452DA"/>
    <w:rsid w:val="00E45A8E"/>
    <w:rsid w:val="00E45DEE"/>
    <w:rsid w:val="00E45F8E"/>
    <w:rsid w:val="00E46326"/>
    <w:rsid w:val="00E46B1A"/>
    <w:rsid w:val="00E46BBD"/>
    <w:rsid w:val="00E46C05"/>
    <w:rsid w:val="00E46CCD"/>
    <w:rsid w:val="00E46D8C"/>
    <w:rsid w:val="00E47174"/>
    <w:rsid w:val="00E47B98"/>
    <w:rsid w:val="00E47F6A"/>
    <w:rsid w:val="00E50140"/>
    <w:rsid w:val="00E50448"/>
    <w:rsid w:val="00E51166"/>
    <w:rsid w:val="00E51668"/>
    <w:rsid w:val="00E5175A"/>
    <w:rsid w:val="00E51B4B"/>
    <w:rsid w:val="00E51C06"/>
    <w:rsid w:val="00E51E9E"/>
    <w:rsid w:val="00E51EEE"/>
    <w:rsid w:val="00E53096"/>
    <w:rsid w:val="00E53559"/>
    <w:rsid w:val="00E53D80"/>
    <w:rsid w:val="00E5417A"/>
    <w:rsid w:val="00E542CC"/>
    <w:rsid w:val="00E54413"/>
    <w:rsid w:val="00E54B6D"/>
    <w:rsid w:val="00E5522D"/>
    <w:rsid w:val="00E55310"/>
    <w:rsid w:val="00E5549F"/>
    <w:rsid w:val="00E55619"/>
    <w:rsid w:val="00E55A40"/>
    <w:rsid w:val="00E56391"/>
    <w:rsid w:val="00E575F0"/>
    <w:rsid w:val="00E57755"/>
    <w:rsid w:val="00E57D44"/>
    <w:rsid w:val="00E606C1"/>
    <w:rsid w:val="00E60E7D"/>
    <w:rsid w:val="00E61A78"/>
    <w:rsid w:val="00E62ABA"/>
    <w:rsid w:val="00E636B5"/>
    <w:rsid w:val="00E63C06"/>
    <w:rsid w:val="00E63D85"/>
    <w:rsid w:val="00E63DB2"/>
    <w:rsid w:val="00E63FBF"/>
    <w:rsid w:val="00E64062"/>
    <w:rsid w:val="00E64644"/>
    <w:rsid w:val="00E64857"/>
    <w:rsid w:val="00E64FFF"/>
    <w:rsid w:val="00E65202"/>
    <w:rsid w:val="00E65271"/>
    <w:rsid w:val="00E6535F"/>
    <w:rsid w:val="00E6552B"/>
    <w:rsid w:val="00E66279"/>
    <w:rsid w:val="00E66327"/>
    <w:rsid w:val="00E663F3"/>
    <w:rsid w:val="00E666C8"/>
    <w:rsid w:val="00E66981"/>
    <w:rsid w:val="00E669C6"/>
    <w:rsid w:val="00E66B41"/>
    <w:rsid w:val="00E66BAF"/>
    <w:rsid w:val="00E66FCF"/>
    <w:rsid w:val="00E6765E"/>
    <w:rsid w:val="00E67F53"/>
    <w:rsid w:val="00E702D9"/>
    <w:rsid w:val="00E706D5"/>
    <w:rsid w:val="00E70767"/>
    <w:rsid w:val="00E71115"/>
    <w:rsid w:val="00E717CC"/>
    <w:rsid w:val="00E71A7B"/>
    <w:rsid w:val="00E71EE5"/>
    <w:rsid w:val="00E725EF"/>
    <w:rsid w:val="00E72DE9"/>
    <w:rsid w:val="00E7386B"/>
    <w:rsid w:val="00E73A00"/>
    <w:rsid w:val="00E73A76"/>
    <w:rsid w:val="00E73F40"/>
    <w:rsid w:val="00E73FE2"/>
    <w:rsid w:val="00E74518"/>
    <w:rsid w:val="00E74668"/>
    <w:rsid w:val="00E747FE"/>
    <w:rsid w:val="00E74933"/>
    <w:rsid w:val="00E754E6"/>
    <w:rsid w:val="00E76191"/>
    <w:rsid w:val="00E76210"/>
    <w:rsid w:val="00E76868"/>
    <w:rsid w:val="00E76C62"/>
    <w:rsid w:val="00E76C9A"/>
    <w:rsid w:val="00E76E35"/>
    <w:rsid w:val="00E771DF"/>
    <w:rsid w:val="00E77264"/>
    <w:rsid w:val="00E774FE"/>
    <w:rsid w:val="00E77A3F"/>
    <w:rsid w:val="00E808B8"/>
    <w:rsid w:val="00E81112"/>
    <w:rsid w:val="00E8176D"/>
    <w:rsid w:val="00E817AD"/>
    <w:rsid w:val="00E81DF0"/>
    <w:rsid w:val="00E824D8"/>
    <w:rsid w:val="00E82D4F"/>
    <w:rsid w:val="00E83190"/>
    <w:rsid w:val="00E83AF5"/>
    <w:rsid w:val="00E84063"/>
    <w:rsid w:val="00E84381"/>
    <w:rsid w:val="00E847CD"/>
    <w:rsid w:val="00E84813"/>
    <w:rsid w:val="00E84CBF"/>
    <w:rsid w:val="00E84D35"/>
    <w:rsid w:val="00E85146"/>
    <w:rsid w:val="00E852F4"/>
    <w:rsid w:val="00E85384"/>
    <w:rsid w:val="00E854D9"/>
    <w:rsid w:val="00E85CC0"/>
    <w:rsid w:val="00E85CE5"/>
    <w:rsid w:val="00E85FB1"/>
    <w:rsid w:val="00E86043"/>
    <w:rsid w:val="00E86128"/>
    <w:rsid w:val="00E8726A"/>
    <w:rsid w:val="00E87757"/>
    <w:rsid w:val="00E901D9"/>
    <w:rsid w:val="00E90462"/>
    <w:rsid w:val="00E9047E"/>
    <w:rsid w:val="00E909E8"/>
    <w:rsid w:val="00E90C83"/>
    <w:rsid w:val="00E9197E"/>
    <w:rsid w:val="00E91C73"/>
    <w:rsid w:val="00E91D0B"/>
    <w:rsid w:val="00E920F5"/>
    <w:rsid w:val="00E9224D"/>
    <w:rsid w:val="00E92B53"/>
    <w:rsid w:val="00E933C3"/>
    <w:rsid w:val="00E93506"/>
    <w:rsid w:val="00E93522"/>
    <w:rsid w:val="00E9396D"/>
    <w:rsid w:val="00E939AC"/>
    <w:rsid w:val="00E939EC"/>
    <w:rsid w:val="00E93BDE"/>
    <w:rsid w:val="00E93DA4"/>
    <w:rsid w:val="00E94504"/>
    <w:rsid w:val="00E94C1F"/>
    <w:rsid w:val="00E94C23"/>
    <w:rsid w:val="00E9507E"/>
    <w:rsid w:val="00E950ED"/>
    <w:rsid w:val="00E954A1"/>
    <w:rsid w:val="00E95B01"/>
    <w:rsid w:val="00E95B35"/>
    <w:rsid w:val="00E95D05"/>
    <w:rsid w:val="00E95FE3"/>
    <w:rsid w:val="00E9639B"/>
    <w:rsid w:val="00E9674C"/>
    <w:rsid w:val="00E967E5"/>
    <w:rsid w:val="00E9690C"/>
    <w:rsid w:val="00E96A21"/>
    <w:rsid w:val="00E971D5"/>
    <w:rsid w:val="00E977CE"/>
    <w:rsid w:val="00EA0011"/>
    <w:rsid w:val="00EA0216"/>
    <w:rsid w:val="00EA0427"/>
    <w:rsid w:val="00EA0B18"/>
    <w:rsid w:val="00EA1066"/>
    <w:rsid w:val="00EA121A"/>
    <w:rsid w:val="00EA126E"/>
    <w:rsid w:val="00EA16AF"/>
    <w:rsid w:val="00EA18BC"/>
    <w:rsid w:val="00EA1BA5"/>
    <w:rsid w:val="00EA1C78"/>
    <w:rsid w:val="00EA2039"/>
    <w:rsid w:val="00EA2473"/>
    <w:rsid w:val="00EA24A4"/>
    <w:rsid w:val="00EA2805"/>
    <w:rsid w:val="00EA2AB6"/>
    <w:rsid w:val="00EA2BFA"/>
    <w:rsid w:val="00EA3668"/>
    <w:rsid w:val="00EA3703"/>
    <w:rsid w:val="00EA3D8B"/>
    <w:rsid w:val="00EA43D1"/>
    <w:rsid w:val="00EA43F5"/>
    <w:rsid w:val="00EA44F4"/>
    <w:rsid w:val="00EA4716"/>
    <w:rsid w:val="00EA483C"/>
    <w:rsid w:val="00EA4C3D"/>
    <w:rsid w:val="00EA4DF6"/>
    <w:rsid w:val="00EA52F5"/>
    <w:rsid w:val="00EA54A5"/>
    <w:rsid w:val="00EA5B67"/>
    <w:rsid w:val="00EA5F4B"/>
    <w:rsid w:val="00EA60DF"/>
    <w:rsid w:val="00EA6132"/>
    <w:rsid w:val="00EA61A2"/>
    <w:rsid w:val="00EA6291"/>
    <w:rsid w:val="00EA63E6"/>
    <w:rsid w:val="00EA6513"/>
    <w:rsid w:val="00EA665E"/>
    <w:rsid w:val="00EA66ED"/>
    <w:rsid w:val="00EA6BC6"/>
    <w:rsid w:val="00EA6C6D"/>
    <w:rsid w:val="00EA70A6"/>
    <w:rsid w:val="00EA71A3"/>
    <w:rsid w:val="00EA73C2"/>
    <w:rsid w:val="00EB05D5"/>
    <w:rsid w:val="00EB0D46"/>
    <w:rsid w:val="00EB0F16"/>
    <w:rsid w:val="00EB184A"/>
    <w:rsid w:val="00EB193F"/>
    <w:rsid w:val="00EB1A08"/>
    <w:rsid w:val="00EB1CD3"/>
    <w:rsid w:val="00EB2058"/>
    <w:rsid w:val="00EB23C2"/>
    <w:rsid w:val="00EB2BD0"/>
    <w:rsid w:val="00EB2EF1"/>
    <w:rsid w:val="00EB3361"/>
    <w:rsid w:val="00EB33E0"/>
    <w:rsid w:val="00EB44C3"/>
    <w:rsid w:val="00EB44EE"/>
    <w:rsid w:val="00EB4E35"/>
    <w:rsid w:val="00EB5013"/>
    <w:rsid w:val="00EB52BA"/>
    <w:rsid w:val="00EB53F5"/>
    <w:rsid w:val="00EB6063"/>
    <w:rsid w:val="00EB6104"/>
    <w:rsid w:val="00EB6422"/>
    <w:rsid w:val="00EB64BD"/>
    <w:rsid w:val="00EB6704"/>
    <w:rsid w:val="00EB6AF3"/>
    <w:rsid w:val="00EB745B"/>
    <w:rsid w:val="00EC08E0"/>
    <w:rsid w:val="00EC0EA3"/>
    <w:rsid w:val="00EC1171"/>
    <w:rsid w:val="00EC1909"/>
    <w:rsid w:val="00EC2270"/>
    <w:rsid w:val="00EC291C"/>
    <w:rsid w:val="00EC3368"/>
    <w:rsid w:val="00EC3594"/>
    <w:rsid w:val="00EC3BB0"/>
    <w:rsid w:val="00EC3D34"/>
    <w:rsid w:val="00EC40E7"/>
    <w:rsid w:val="00EC4108"/>
    <w:rsid w:val="00EC415B"/>
    <w:rsid w:val="00EC49F9"/>
    <w:rsid w:val="00EC5023"/>
    <w:rsid w:val="00EC5130"/>
    <w:rsid w:val="00EC5540"/>
    <w:rsid w:val="00EC584A"/>
    <w:rsid w:val="00EC59B5"/>
    <w:rsid w:val="00EC6347"/>
    <w:rsid w:val="00EC63C3"/>
    <w:rsid w:val="00EC64C0"/>
    <w:rsid w:val="00EC69E7"/>
    <w:rsid w:val="00EC6B01"/>
    <w:rsid w:val="00EC6D55"/>
    <w:rsid w:val="00EC7632"/>
    <w:rsid w:val="00ED076E"/>
    <w:rsid w:val="00ED0F11"/>
    <w:rsid w:val="00ED1199"/>
    <w:rsid w:val="00ED19A7"/>
    <w:rsid w:val="00ED1BF8"/>
    <w:rsid w:val="00ED2AAA"/>
    <w:rsid w:val="00ED2D23"/>
    <w:rsid w:val="00ED2DC4"/>
    <w:rsid w:val="00ED2DDD"/>
    <w:rsid w:val="00ED2FA8"/>
    <w:rsid w:val="00ED3005"/>
    <w:rsid w:val="00ED3ED4"/>
    <w:rsid w:val="00ED42FC"/>
    <w:rsid w:val="00ED4763"/>
    <w:rsid w:val="00ED4AC2"/>
    <w:rsid w:val="00ED4B17"/>
    <w:rsid w:val="00ED524F"/>
    <w:rsid w:val="00ED553A"/>
    <w:rsid w:val="00ED5748"/>
    <w:rsid w:val="00ED5AD0"/>
    <w:rsid w:val="00ED5F0A"/>
    <w:rsid w:val="00ED66DF"/>
    <w:rsid w:val="00ED66E6"/>
    <w:rsid w:val="00ED6798"/>
    <w:rsid w:val="00ED688C"/>
    <w:rsid w:val="00ED6910"/>
    <w:rsid w:val="00ED6A62"/>
    <w:rsid w:val="00ED721B"/>
    <w:rsid w:val="00ED7315"/>
    <w:rsid w:val="00EE0AC6"/>
    <w:rsid w:val="00EE0C36"/>
    <w:rsid w:val="00EE1240"/>
    <w:rsid w:val="00EE1369"/>
    <w:rsid w:val="00EE13AC"/>
    <w:rsid w:val="00EE1672"/>
    <w:rsid w:val="00EE16F1"/>
    <w:rsid w:val="00EE1C20"/>
    <w:rsid w:val="00EE2251"/>
    <w:rsid w:val="00EE2AD9"/>
    <w:rsid w:val="00EE2C1B"/>
    <w:rsid w:val="00EE2C6B"/>
    <w:rsid w:val="00EE3169"/>
    <w:rsid w:val="00EE3218"/>
    <w:rsid w:val="00EE350A"/>
    <w:rsid w:val="00EE3640"/>
    <w:rsid w:val="00EE3911"/>
    <w:rsid w:val="00EE3C77"/>
    <w:rsid w:val="00EE4C46"/>
    <w:rsid w:val="00EE4D91"/>
    <w:rsid w:val="00EE590D"/>
    <w:rsid w:val="00EE5EC9"/>
    <w:rsid w:val="00EE6193"/>
    <w:rsid w:val="00EE6450"/>
    <w:rsid w:val="00EE6BB5"/>
    <w:rsid w:val="00EE71E0"/>
    <w:rsid w:val="00EE78B8"/>
    <w:rsid w:val="00EE7D52"/>
    <w:rsid w:val="00EE7DB5"/>
    <w:rsid w:val="00EE7DF1"/>
    <w:rsid w:val="00EF0B46"/>
    <w:rsid w:val="00EF0DDD"/>
    <w:rsid w:val="00EF161B"/>
    <w:rsid w:val="00EF1ADA"/>
    <w:rsid w:val="00EF23E0"/>
    <w:rsid w:val="00EF2B71"/>
    <w:rsid w:val="00EF2C20"/>
    <w:rsid w:val="00EF31CF"/>
    <w:rsid w:val="00EF32DD"/>
    <w:rsid w:val="00EF3472"/>
    <w:rsid w:val="00EF3B7F"/>
    <w:rsid w:val="00EF3D8C"/>
    <w:rsid w:val="00EF4472"/>
    <w:rsid w:val="00EF4587"/>
    <w:rsid w:val="00EF4B15"/>
    <w:rsid w:val="00EF4B64"/>
    <w:rsid w:val="00EF4C95"/>
    <w:rsid w:val="00EF549B"/>
    <w:rsid w:val="00EF581C"/>
    <w:rsid w:val="00EF5A6A"/>
    <w:rsid w:val="00EF5D4A"/>
    <w:rsid w:val="00EF5D76"/>
    <w:rsid w:val="00EF5DFE"/>
    <w:rsid w:val="00EF6008"/>
    <w:rsid w:val="00EF6206"/>
    <w:rsid w:val="00EF66DE"/>
    <w:rsid w:val="00EF6A79"/>
    <w:rsid w:val="00EF6E90"/>
    <w:rsid w:val="00EF722A"/>
    <w:rsid w:val="00EF7998"/>
    <w:rsid w:val="00EF7C03"/>
    <w:rsid w:val="00F00288"/>
    <w:rsid w:val="00F003E8"/>
    <w:rsid w:val="00F005D5"/>
    <w:rsid w:val="00F00841"/>
    <w:rsid w:val="00F008C7"/>
    <w:rsid w:val="00F00EEF"/>
    <w:rsid w:val="00F01064"/>
    <w:rsid w:val="00F011B3"/>
    <w:rsid w:val="00F01EAD"/>
    <w:rsid w:val="00F020B8"/>
    <w:rsid w:val="00F021AC"/>
    <w:rsid w:val="00F0224C"/>
    <w:rsid w:val="00F02D38"/>
    <w:rsid w:val="00F02E64"/>
    <w:rsid w:val="00F03559"/>
    <w:rsid w:val="00F04634"/>
    <w:rsid w:val="00F04886"/>
    <w:rsid w:val="00F0495D"/>
    <w:rsid w:val="00F06392"/>
    <w:rsid w:val="00F06F22"/>
    <w:rsid w:val="00F07275"/>
    <w:rsid w:val="00F07818"/>
    <w:rsid w:val="00F078BF"/>
    <w:rsid w:val="00F079D8"/>
    <w:rsid w:val="00F07D29"/>
    <w:rsid w:val="00F07D2E"/>
    <w:rsid w:val="00F10156"/>
    <w:rsid w:val="00F1051D"/>
    <w:rsid w:val="00F1055A"/>
    <w:rsid w:val="00F10663"/>
    <w:rsid w:val="00F11122"/>
    <w:rsid w:val="00F1137A"/>
    <w:rsid w:val="00F1145F"/>
    <w:rsid w:val="00F118FF"/>
    <w:rsid w:val="00F11C60"/>
    <w:rsid w:val="00F12323"/>
    <w:rsid w:val="00F12D84"/>
    <w:rsid w:val="00F137D4"/>
    <w:rsid w:val="00F13A7F"/>
    <w:rsid w:val="00F13BF8"/>
    <w:rsid w:val="00F1405C"/>
    <w:rsid w:val="00F1474E"/>
    <w:rsid w:val="00F14AD0"/>
    <w:rsid w:val="00F14BA4"/>
    <w:rsid w:val="00F15046"/>
    <w:rsid w:val="00F15998"/>
    <w:rsid w:val="00F16390"/>
    <w:rsid w:val="00F1662E"/>
    <w:rsid w:val="00F168EC"/>
    <w:rsid w:val="00F1709E"/>
    <w:rsid w:val="00F175CC"/>
    <w:rsid w:val="00F17CDB"/>
    <w:rsid w:val="00F20CD3"/>
    <w:rsid w:val="00F21143"/>
    <w:rsid w:val="00F21B3C"/>
    <w:rsid w:val="00F21B4C"/>
    <w:rsid w:val="00F21EB7"/>
    <w:rsid w:val="00F21F4F"/>
    <w:rsid w:val="00F2205C"/>
    <w:rsid w:val="00F22211"/>
    <w:rsid w:val="00F222FC"/>
    <w:rsid w:val="00F224C5"/>
    <w:rsid w:val="00F2252C"/>
    <w:rsid w:val="00F227AF"/>
    <w:rsid w:val="00F227C7"/>
    <w:rsid w:val="00F227E9"/>
    <w:rsid w:val="00F229CB"/>
    <w:rsid w:val="00F22E0C"/>
    <w:rsid w:val="00F232D4"/>
    <w:rsid w:val="00F23320"/>
    <w:rsid w:val="00F238DC"/>
    <w:rsid w:val="00F2449E"/>
    <w:rsid w:val="00F244A6"/>
    <w:rsid w:val="00F24548"/>
    <w:rsid w:val="00F2454D"/>
    <w:rsid w:val="00F245F7"/>
    <w:rsid w:val="00F246B5"/>
    <w:rsid w:val="00F24BBD"/>
    <w:rsid w:val="00F254C3"/>
    <w:rsid w:val="00F25827"/>
    <w:rsid w:val="00F25CBF"/>
    <w:rsid w:val="00F25D14"/>
    <w:rsid w:val="00F2694A"/>
    <w:rsid w:val="00F2694C"/>
    <w:rsid w:val="00F27099"/>
    <w:rsid w:val="00F27526"/>
    <w:rsid w:val="00F2778D"/>
    <w:rsid w:val="00F277C6"/>
    <w:rsid w:val="00F27B84"/>
    <w:rsid w:val="00F27C8B"/>
    <w:rsid w:val="00F27D7E"/>
    <w:rsid w:val="00F30115"/>
    <w:rsid w:val="00F304B2"/>
    <w:rsid w:val="00F304D0"/>
    <w:rsid w:val="00F30519"/>
    <w:rsid w:val="00F30746"/>
    <w:rsid w:val="00F30945"/>
    <w:rsid w:val="00F30BF7"/>
    <w:rsid w:val="00F30C48"/>
    <w:rsid w:val="00F30CAA"/>
    <w:rsid w:val="00F31311"/>
    <w:rsid w:val="00F31761"/>
    <w:rsid w:val="00F3182B"/>
    <w:rsid w:val="00F31B2B"/>
    <w:rsid w:val="00F31B54"/>
    <w:rsid w:val="00F32310"/>
    <w:rsid w:val="00F327E7"/>
    <w:rsid w:val="00F344D5"/>
    <w:rsid w:val="00F3452A"/>
    <w:rsid w:val="00F3453C"/>
    <w:rsid w:val="00F34751"/>
    <w:rsid w:val="00F3486A"/>
    <w:rsid w:val="00F349F8"/>
    <w:rsid w:val="00F34B3F"/>
    <w:rsid w:val="00F34BB4"/>
    <w:rsid w:val="00F34E6D"/>
    <w:rsid w:val="00F3501C"/>
    <w:rsid w:val="00F350F2"/>
    <w:rsid w:val="00F35440"/>
    <w:rsid w:val="00F354B8"/>
    <w:rsid w:val="00F35FD6"/>
    <w:rsid w:val="00F3608A"/>
    <w:rsid w:val="00F36348"/>
    <w:rsid w:val="00F36493"/>
    <w:rsid w:val="00F367B6"/>
    <w:rsid w:val="00F36FAE"/>
    <w:rsid w:val="00F37053"/>
    <w:rsid w:val="00F373A3"/>
    <w:rsid w:val="00F37B0D"/>
    <w:rsid w:val="00F37CE9"/>
    <w:rsid w:val="00F40036"/>
    <w:rsid w:val="00F402E5"/>
    <w:rsid w:val="00F404B1"/>
    <w:rsid w:val="00F404C8"/>
    <w:rsid w:val="00F4051A"/>
    <w:rsid w:val="00F412E8"/>
    <w:rsid w:val="00F41463"/>
    <w:rsid w:val="00F41877"/>
    <w:rsid w:val="00F41CBD"/>
    <w:rsid w:val="00F4254F"/>
    <w:rsid w:val="00F426D9"/>
    <w:rsid w:val="00F43258"/>
    <w:rsid w:val="00F44049"/>
    <w:rsid w:val="00F44068"/>
    <w:rsid w:val="00F44552"/>
    <w:rsid w:val="00F4469B"/>
    <w:rsid w:val="00F44BC1"/>
    <w:rsid w:val="00F44C7E"/>
    <w:rsid w:val="00F44C8B"/>
    <w:rsid w:val="00F44CFF"/>
    <w:rsid w:val="00F44F58"/>
    <w:rsid w:val="00F451AB"/>
    <w:rsid w:val="00F4541D"/>
    <w:rsid w:val="00F4563D"/>
    <w:rsid w:val="00F4578F"/>
    <w:rsid w:val="00F45794"/>
    <w:rsid w:val="00F45B73"/>
    <w:rsid w:val="00F45BF5"/>
    <w:rsid w:val="00F45C6A"/>
    <w:rsid w:val="00F45FD2"/>
    <w:rsid w:val="00F4613A"/>
    <w:rsid w:val="00F478D6"/>
    <w:rsid w:val="00F47B55"/>
    <w:rsid w:val="00F5023F"/>
    <w:rsid w:val="00F51308"/>
    <w:rsid w:val="00F515A4"/>
    <w:rsid w:val="00F51AB6"/>
    <w:rsid w:val="00F51ABF"/>
    <w:rsid w:val="00F51DED"/>
    <w:rsid w:val="00F51EED"/>
    <w:rsid w:val="00F52331"/>
    <w:rsid w:val="00F526E5"/>
    <w:rsid w:val="00F52994"/>
    <w:rsid w:val="00F52C5A"/>
    <w:rsid w:val="00F52E13"/>
    <w:rsid w:val="00F54752"/>
    <w:rsid w:val="00F5534A"/>
    <w:rsid w:val="00F5539C"/>
    <w:rsid w:val="00F558EC"/>
    <w:rsid w:val="00F55B1A"/>
    <w:rsid w:val="00F55F3E"/>
    <w:rsid w:val="00F57087"/>
    <w:rsid w:val="00F57351"/>
    <w:rsid w:val="00F575C5"/>
    <w:rsid w:val="00F600CA"/>
    <w:rsid w:val="00F601BA"/>
    <w:rsid w:val="00F60879"/>
    <w:rsid w:val="00F6093D"/>
    <w:rsid w:val="00F613E8"/>
    <w:rsid w:val="00F61C90"/>
    <w:rsid w:val="00F62164"/>
    <w:rsid w:val="00F62918"/>
    <w:rsid w:val="00F63959"/>
    <w:rsid w:val="00F63EFF"/>
    <w:rsid w:val="00F6406D"/>
    <w:rsid w:val="00F64463"/>
    <w:rsid w:val="00F6456B"/>
    <w:rsid w:val="00F64708"/>
    <w:rsid w:val="00F6487D"/>
    <w:rsid w:val="00F64AB6"/>
    <w:rsid w:val="00F64CE9"/>
    <w:rsid w:val="00F65517"/>
    <w:rsid w:val="00F65CBD"/>
    <w:rsid w:val="00F65E33"/>
    <w:rsid w:val="00F66103"/>
    <w:rsid w:val="00F66433"/>
    <w:rsid w:val="00F66998"/>
    <w:rsid w:val="00F66AA5"/>
    <w:rsid w:val="00F670B3"/>
    <w:rsid w:val="00F670D2"/>
    <w:rsid w:val="00F670EF"/>
    <w:rsid w:val="00F6732A"/>
    <w:rsid w:val="00F676A1"/>
    <w:rsid w:val="00F67C35"/>
    <w:rsid w:val="00F67D0E"/>
    <w:rsid w:val="00F67D94"/>
    <w:rsid w:val="00F67DC3"/>
    <w:rsid w:val="00F7003D"/>
    <w:rsid w:val="00F70B62"/>
    <w:rsid w:val="00F71186"/>
    <w:rsid w:val="00F711DA"/>
    <w:rsid w:val="00F7190A"/>
    <w:rsid w:val="00F71E47"/>
    <w:rsid w:val="00F72259"/>
    <w:rsid w:val="00F7244F"/>
    <w:rsid w:val="00F72B12"/>
    <w:rsid w:val="00F732DC"/>
    <w:rsid w:val="00F73643"/>
    <w:rsid w:val="00F73833"/>
    <w:rsid w:val="00F73F26"/>
    <w:rsid w:val="00F740E7"/>
    <w:rsid w:val="00F743EA"/>
    <w:rsid w:val="00F74441"/>
    <w:rsid w:val="00F748C6"/>
    <w:rsid w:val="00F751A0"/>
    <w:rsid w:val="00F75BE9"/>
    <w:rsid w:val="00F75F28"/>
    <w:rsid w:val="00F7663A"/>
    <w:rsid w:val="00F76E59"/>
    <w:rsid w:val="00F779B1"/>
    <w:rsid w:val="00F779B7"/>
    <w:rsid w:val="00F779F2"/>
    <w:rsid w:val="00F801E0"/>
    <w:rsid w:val="00F8021D"/>
    <w:rsid w:val="00F80388"/>
    <w:rsid w:val="00F810EE"/>
    <w:rsid w:val="00F81D58"/>
    <w:rsid w:val="00F82263"/>
    <w:rsid w:val="00F829FC"/>
    <w:rsid w:val="00F82B83"/>
    <w:rsid w:val="00F82BA4"/>
    <w:rsid w:val="00F82CA9"/>
    <w:rsid w:val="00F8394A"/>
    <w:rsid w:val="00F83DF9"/>
    <w:rsid w:val="00F84152"/>
    <w:rsid w:val="00F84237"/>
    <w:rsid w:val="00F84906"/>
    <w:rsid w:val="00F84B3F"/>
    <w:rsid w:val="00F85188"/>
    <w:rsid w:val="00F85209"/>
    <w:rsid w:val="00F853F3"/>
    <w:rsid w:val="00F85A4F"/>
    <w:rsid w:val="00F86401"/>
    <w:rsid w:val="00F86466"/>
    <w:rsid w:val="00F864E1"/>
    <w:rsid w:val="00F86573"/>
    <w:rsid w:val="00F86C88"/>
    <w:rsid w:val="00F86D93"/>
    <w:rsid w:val="00F8748A"/>
    <w:rsid w:val="00F878D8"/>
    <w:rsid w:val="00F9000B"/>
    <w:rsid w:val="00F9049A"/>
    <w:rsid w:val="00F90AE9"/>
    <w:rsid w:val="00F90B87"/>
    <w:rsid w:val="00F91008"/>
    <w:rsid w:val="00F91329"/>
    <w:rsid w:val="00F91656"/>
    <w:rsid w:val="00F91BAD"/>
    <w:rsid w:val="00F91E52"/>
    <w:rsid w:val="00F91EC9"/>
    <w:rsid w:val="00F921B6"/>
    <w:rsid w:val="00F92A14"/>
    <w:rsid w:val="00F92B0C"/>
    <w:rsid w:val="00F92E75"/>
    <w:rsid w:val="00F931EA"/>
    <w:rsid w:val="00F93252"/>
    <w:rsid w:val="00F932BE"/>
    <w:rsid w:val="00F93818"/>
    <w:rsid w:val="00F93CCB"/>
    <w:rsid w:val="00F93E36"/>
    <w:rsid w:val="00F93EDD"/>
    <w:rsid w:val="00F941F5"/>
    <w:rsid w:val="00F94DBB"/>
    <w:rsid w:val="00F94E91"/>
    <w:rsid w:val="00F95375"/>
    <w:rsid w:val="00F955E3"/>
    <w:rsid w:val="00F955E8"/>
    <w:rsid w:val="00F95A41"/>
    <w:rsid w:val="00F95C85"/>
    <w:rsid w:val="00F95E83"/>
    <w:rsid w:val="00F95F79"/>
    <w:rsid w:val="00F96020"/>
    <w:rsid w:val="00F962E1"/>
    <w:rsid w:val="00F9717A"/>
    <w:rsid w:val="00F971E9"/>
    <w:rsid w:val="00F97265"/>
    <w:rsid w:val="00F9739C"/>
    <w:rsid w:val="00F973DE"/>
    <w:rsid w:val="00F97705"/>
    <w:rsid w:val="00F97921"/>
    <w:rsid w:val="00F97A9A"/>
    <w:rsid w:val="00FA01AF"/>
    <w:rsid w:val="00FA043B"/>
    <w:rsid w:val="00FA0639"/>
    <w:rsid w:val="00FA0770"/>
    <w:rsid w:val="00FA07F8"/>
    <w:rsid w:val="00FA0813"/>
    <w:rsid w:val="00FA1CAD"/>
    <w:rsid w:val="00FA22C8"/>
    <w:rsid w:val="00FA2838"/>
    <w:rsid w:val="00FA29A3"/>
    <w:rsid w:val="00FA32C1"/>
    <w:rsid w:val="00FA369F"/>
    <w:rsid w:val="00FA36B7"/>
    <w:rsid w:val="00FA3B24"/>
    <w:rsid w:val="00FA3B5E"/>
    <w:rsid w:val="00FA3F3D"/>
    <w:rsid w:val="00FA401C"/>
    <w:rsid w:val="00FA4756"/>
    <w:rsid w:val="00FA49D1"/>
    <w:rsid w:val="00FA50F9"/>
    <w:rsid w:val="00FA518E"/>
    <w:rsid w:val="00FA53AA"/>
    <w:rsid w:val="00FA556D"/>
    <w:rsid w:val="00FA56FA"/>
    <w:rsid w:val="00FA6137"/>
    <w:rsid w:val="00FA629E"/>
    <w:rsid w:val="00FA6672"/>
    <w:rsid w:val="00FA7002"/>
    <w:rsid w:val="00FA7383"/>
    <w:rsid w:val="00FA7467"/>
    <w:rsid w:val="00FA79C0"/>
    <w:rsid w:val="00FA7AE7"/>
    <w:rsid w:val="00FA7E0E"/>
    <w:rsid w:val="00FA7EE2"/>
    <w:rsid w:val="00FB0302"/>
    <w:rsid w:val="00FB053E"/>
    <w:rsid w:val="00FB0A23"/>
    <w:rsid w:val="00FB0C23"/>
    <w:rsid w:val="00FB1069"/>
    <w:rsid w:val="00FB10C1"/>
    <w:rsid w:val="00FB1149"/>
    <w:rsid w:val="00FB16DE"/>
    <w:rsid w:val="00FB2695"/>
    <w:rsid w:val="00FB2D2E"/>
    <w:rsid w:val="00FB2DBD"/>
    <w:rsid w:val="00FB2E3A"/>
    <w:rsid w:val="00FB3431"/>
    <w:rsid w:val="00FB3465"/>
    <w:rsid w:val="00FB3887"/>
    <w:rsid w:val="00FB3B90"/>
    <w:rsid w:val="00FB3C34"/>
    <w:rsid w:val="00FB4ACC"/>
    <w:rsid w:val="00FB4B8F"/>
    <w:rsid w:val="00FB4D1C"/>
    <w:rsid w:val="00FB4FAB"/>
    <w:rsid w:val="00FB510D"/>
    <w:rsid w:val="00FB5837"/>
    <w:rsid w:val="00FB5B6B"/>
    <w:rsid w:val="00FB5E58"/>
    <w:rsid w:val="00FB67E2"/>
    <w:rsid w:val="00FB6A4B"/>
    <w:rsid w:val="00FB6E41"/>
    <w:rsid w:val="00FB750E"/>
    <w:rsid w:val="00FB757A"/>
    <w:rsid w:val="00FB7BF5"/>
    <w:rsid w:val="00FB7DDC"/>
    <w:rsid w:val="00FC040E"/>
    <w:rsid w:val="00FC075F"/>
    <w:rsid w:val="00FC17DD"/>
    <w:rsid w:val="00FC1A22"/>
    <w:rsid w:val="00FC1F9D"/>
    <w:rsid w:val="00FC240B"/>
    <w:rsid w:val="00FC25E0"/>
    <w:rsid w:val="00FC27B7"/>
    <w:rsid w:val="00FC3178"/>
    <w:rsid w:val="00FC3525"/>
    <w:rsid w:val="00FC36C6"/>
    <w:rsid w:val="00FC3742"/>
    <w:rsid w:val="00FC3DB3"/>
    <w:rsid w:val="00FC4016"/>
    <w:rsid w:val="00FC4466"/>
    <w:rsid w:val="00FC4CDB"/>
    <w:rsid w:val="00FC511E"/>
    <w:rsid w:val="00FC519A"/>
    <w:rsid w:val="00FC57F9"/>
    <w:rsid w:val="00FC5C11"/>
    <w:rsid w:val="00FC61E8"/>
    <w:rsid w:val="00FC62F0"/>
    <w:rsid w:val="00FC68D0"/>
    <w:rsid w:val="00FC7210"/>
    <w:rsid w:val="00FC76D1"/>
    <w:rsid w:val="00FC7EEB"/>
    <w:rsid w:val="00FD0190"/>
    <w:rsid w:val="00FD025A"/>
    <w:rsid w:val="00FD04B8"/>
    <w:rsid w:val="00FD0B2A"/>
    <w:rsid w:val="00FD0B2E"/>
    <w:rsid w:val="00FD0CBE"/>
    <w:rsid w:val="00FD0EE5"/>
    <w:rsid w:val="00FD126D"/>
    <w:rsid w:val="00FD178E"/>
    <w:rsid w:val="00FD1E36"/>
    <w:rsid w:val="00FD249D"/>
    <w:rsid w:val="00FD26A6"/>
    <w:rsid w:val="00FD2C0C"/>
    <w:rsid w:val="00FD2E28"/>
    <w:rsid w:val="00FD31F1"/>
    <w:rsid w:val="00FD4789"/>
    <w:rsid w:val="00FD4A85"/>
    <w:rsid w:val="00FD4B0D"/>
    <w:rsid w:val="00FD4E0A"/>
    <w:rsid w:val="00FD4E48"/>
    <w:rsid w:val="00FD4FC9"/>
    <w:rsid w:val="00FD5504"/>
    <w:rsid w:val="00FD5560"/>
    <w:rsid w:val="00FD5AF7"/>
    <w:rsid w:val="00FD5CC0"/>
    <w:rsid w:val="00FD5D53"/>
    <w:rsid w:val="00FD5EB5"/>
    <w:rsid w:val="00FD5ECA"/>
    <w:rsid w:val="00FD6E48"/>
    <w:rsid w:val="00FD7084"/>
    <w:rsid w:val="00FD70B3"/>
    <w:rsid w:val="00FD72A2"/>
    <w:rsid w:val="00FD7781"/>
    <w:rsid w:val="00FD7B49"/>
    <w:rsid w:val="00FD7BCC"/>
    <w:rsid w:val="00FD7CEE"/>
    <w:rsid w:val="00FE012D"/>
    <w:rsid w:val="00FE026F"/>
    <w:rsid w:val="00FE03A2"/>
    <w:rsid w:val="00FE03E8"/>
    <w:rsid w:val="00FE08E6"/>
    <w:rsid w:val="00FE0983"/>
    <w:rsid w:val="00FE09D4"/>
    <w:rsid w:val="00FE0CAA"/>
    <w:rsid w:val="00FE0D64"/>
    <w:rsid w:val="00FE1235"/>
    <w:rsid w:val="00FE1503"/>
    <w:rsid w:val="00FE16BA"/>
    <w:rsid w:val="00FE1C22"/>
    <w:rsid w:val="00FE204F"/>
    <w:rsid w:val="00FE2E9E"/>
    <w:rsid w:val="00FE2F5C"/>
    <w:rsid w:val="00FE34D8"/>
    <w:rsid w:val="00FE3BB0"/>
    <w:rsid w:val="00FE45A9"/>
    <w:rsid w:val="00FE46B6"/>
    <w:rsid w:val="00FE488F"/>
    <w:rsid w:val="00FE48B8"/>
    <w:rsid w:val="00FE5A6E"/>
    <w:rsid w:val="00FE5AFC"/>
    <w:rsid w:val="00FE671F"/>
    <w:rsid w:val="00FE70DE"/>
    <w:rsid w:val="00FE7201"/>
    <w:rsid w:val="00FE7829"/>
    <w:rsid w:val="00FF0036"/>
    <w:rsid w:val="00FF00FB"/>
    <w:rsid w:val="00FF031B"/>
    <w:rsid w:val="00FF0680"/>
    <w:rsid w:val="00FF075A"/>
    <w:rsid w:val="00FF088B"/>
    <w:rsid w:val="00FF0913"/>
    <w:rsid w:val="00FF1274"/>
    <w:rsid w:val="00FF1310"/>
    <w:rsid w:val="00FF19A1"/>
    <w:rsid w:val="00FF1A8B"/>
    <w:rsid w:val="00FF1CDB"/>
    <w:rsid w:val="00FF2027"/>
    <w:rsid w:val="00FF2185"/>
    <w:rsid w:val="00FF2A70"/>
    <w:rsid w:val="00FF3094"/>
    <w:rsid w:val="00FF37A7"/>
    <w:rsid w:val="00FF397D"/>
    <w:rsid w:val="00FF3EFE"/>
    <w:rsid w:val="00FF3F5B"/>
    <w:rsid w:val="00FF4B4C"/>
    <w:rsid w:val="00FF4FBE"/>
    <w:rsid w:val="00FF5893"/>
    <w:rsid w:val="00FF5B7B"/>
    <w:rsid w:val="00FF5C8C"/>
    <w:rsid w:val="00FF6034"/>
    <w:rsid w:val="00FF6338"/>
    <w:rsid w:val="00FF67CF"/>
    <w:rsid w:val="00FF6D9C"/>
    <w:rsid w:val="00FF6E7B"/>
    <w:rsid w:val="00FF776A"/>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1213D9"/>
    <w:rPr>
      <w:rFonts w:ascii="Perpetua Std" w:hAnsi="Perpetua Std"/>
    </w:rPr>
  </w:style>
  <w:style w:type="paragraph" w:styleId="Heading1">
    <w:name w:val="heading 1"/>
    <w:basedOn w:val="Normal"/>
    <w:next w:val="Normal"/>
    <w:link w:val="Heading1Char"/>
    <w:qFormat/>
    <w:rsid w:val="001213D9"/>
    <w:pPr>
      <w:keepNext/>
      <w:outlineLvl w:val="0"/>
    </w:pPr>
    <w:rPr>
      <w:b/>
    </w:rPr>
  </w:style>
  <w:style w:type="paragraph" w:styleId="Heading2">
    <w:name w:val="heading 2"/>
    <w:basedOn w:val="Normal"/>
    <w:next w:val="Normal"/>
    <w:link w:val="Heading2Char"/>
    <w:qFormat/>
    <w:rsid w:val="001213D9"/>
    <w:pPr>
      <w:keepNext/>
      <w:spacing w:before="240" w:after="60"/>
      <w:outlineLvl w:val="1"/>
    </w:pPr>
    <w:rPr>
      <w:rFonts w:ascii="Arial" w:hAnsi="Arial"/>
      <w:b/>
      <w:i/>
      <w:sz w:val="24"/>
    </w:rPr>
  </w:style>
  <w:style w:type="paragraph" w:styleId="Heading3">
    <w:name w:val="heading 3"/>
    <w:basedOn w:val="Normal"/>
    <w:next w:val="Normal"/>
    <w:link w:val="Heading3Char"/>
    <w:qFormat/>
    <w:rsid w:val="001213D9"/>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13D9"/>
    <w:pPr>
      <w:tabs>
        <w:tab w:val="center" w:pos="4320"/>
        <w:tab w:val="right" w:pos="8640"/>
      </w:tabs>
    </w:pPr>
  </w:style>
  <w:style w:type="paragraph" w:styleId="Header">
    <w:name w:val="header"/>
    <w:basedOn w:val="Normal"/>
    <w:rsid w:val="001213D9"/>
    <w:pPr>
      <w:tabs>
        <w:tab w:val="center" w:pos="4320"/>
        <w:tab w:val="right" w:pos="8640"/>
      </w:tabs>
    </w:pPr>
  </w:style>
  <w:style w:type="paragraph" w:customStyle="1" w:styleId="Standard">
    <w:name w:val="Standard"/>
    <w:rsid w:val="001213D9"/>
    <w:pPr>
      <w:spacing w:before="144"/>
      <w:jc w:val="both"/>
    </w:pPr>
    <w:rPr>
      <w:noProof/>
    </w:rPr>
  </w:style>
  <w:style w:type="paragraph" w:customStyle="1" w:styleId="PA">
    <w:name w:val="PA"/>
    <w:next w:val="Normal"/>
    <w:link w:val="PAChar"/>
    <w:rsid w:val="001213D9"/>
    <w:pPr>
      <w:spacing w:after="240"/>
      <w:ind w:firstLine="288"/>
      <w:jc w:val="both"/>
    </w:pPr>
    <w:rPr>
      <w:rFonts w:ascii="Perpetua Std" w:hAnsi="Perpetua Std"/>
      <w:color w:val="000000"/>
      <w:sz w:val="24"/>
    </w:rPr>
  </w:style>
  <w:style w:type="character" w:customStyle="1" w:styleId="PAChar">
    <w:name w:val="PA Char"/>
    <w:link w:val="PA"/>
    <w:rsid w:val="001213D9"/>
    <w:rPr>
      <w:rFonts w:ascii="Perpetua Std" w:hAnsi="Perpetua Std"/>
      <w:color w:val="000000"/>
      <w:sz w:val="24"/>
    </w:rPr>
  </w:style>
  <w:style w:type="paragraph" w:customStyle="1" w:styleId="PB">
    <w:name w:val="PB"/>
    <w:rsid w:val="001213D9"/>
    <w:pPr>
      <w:spacing w:after="240"/>
      <w:jc w:val="both"/>
    </w:pPr>
    <w:rPr>
      <w:rFonts w:ascii="Perpetua Std" w:hAnsi="Perpetua Std"/>
      <w:color w:val="000000"/>
      <w:sz w:val="24"/>
    </w:rPr>
  </w:style>
  <w:style w:type="paragraph" w:customStyle="1" w:styleId="PC">
    <w:name w:val="PC"/>
    <w:rsid w:val="001213D9"/>
    <w:pPr>
      <w:tabs>
        <w:tab w:val="left" w:pos="720"/>
      </w:tabs>
      <w:spacing w:after="240"/>
      <w:ind w:left="720" w:hanging="360"/>
      <w:jc w:val="both"/>
    </w:pPr>
    <w:rPr>
      <w:rFonts w:ascii="Perpetua Std" w:hAnsi="Perpetua Std"/>
      <w:color w:val="000000"/>
      <w:sz w:val="24"/>
    </w:rPr>
  </w:style>
  <w:style w:type="paragraph" w:customStyle="1" w:styleId="PD">
    <w:name w:val="PD"/>
    <w:rsid w:val="001213D9"/>
    <w:pPr>
      <w:spacing w:after="240"/>
      <w:ind w:left="720" w:firstLine="288"/>
      <w:jc w:val="both"/>
    </w:pPr>
    <w:rPr>
      <w:rFonts w:ascii="Perpetua Std" w:hAnsi="Perpetua Std"/>
      <w:color w:val="000000"/>
      <w:sz w:val="24"/>
    </w:rPr>
  </w:style>
  <w:style w:type="paragraph" w:customStyle="1" w:styleId="PE">
    <w:name w:val="PE"/>
    <w:rsid w:val="001213D9"/>
    <w:pPr>
      <w:spacing w:after="240"/>
      <w:ind w:left="720"/>
      <w:jc w:val="both"/>
    </w:pPr>
    <w:rPr>
      <w:rFonts w:ascii="Perpetua Std" w:hAnsi="Perpetua Std"/>
      <w:color w:val="000000"/>
      <w:sz w:val="24"/>
    </w:rPr>
  </w:style>
  <w:style w:type="paragraph" w:customStyle="1" w:styleId="PF">
    <w:name w:val="PF"/>
    <w:rsid w:val="001213D9"/>
    <w:pPr>
      <w:tabs>
        <w:tab w:val="left" w:pos="1080"/>
      </w:tabs>
      <w:spacing w:after="240"/>
      <w:ind w:left="1080" w:hanging="360"/>
      <w:jc w:val="both"/>
    </w:pPr>
    <w:rPr>
      <w:rFonts w:ascii="Perpetua Std" w:hAnsi="Perpetua Std"/>
      <w:color w:val="000000"/>
      <w:sz w:val="24"/>
    </w:rPr>
  </w:style>
  <w:style w:type="paragraph" w:customStyle="1" w:styleId="PG">
    <w:name w:val="PG"/>
    <w:rsid w:val="001213D9"/>
    <w:pPr>
      <w:spacing w:after="240"/>
      <w:ind w:left="360"/>
      <w:jc w:val="both"/>
    </w:pPr>
    <w:rPr>
      <w:rFonts w:ascii="Perpetua Std" w:hAnsi="Perpetua Std"/>
      <w:color w:val="000000"/>
      <w:sz w:val="24"/>
    </w:rPr>
  </w:style>
  <w:style w:type="paragraph" w:customStyle="1" w:styleId="PH">
    <w:name w:val="PH"/>
    <w:rsid w:val="001213D9"/>
    <w:pPr>
      <w:tabs>
        <w:tab w:val="left" w:pos="360"/>
      </w:tabs>
      <w:spacing w:after="240"/>
      <w:ind w:left="360" w:hanging="360"/>
      <w:jc w:val="both"/>
    </w:pPr>
    <w:rPr>
      <w:rFonts w:ascii="Perpetua Std" w:hAnsi="Perpetua Std"/>
      <w:color w:val="000000"/>
      <w:sz w:val="24"/>
    </w:rPr>
  </w:style>
  <w:style w:type="paragraph" w:customStyle="1" w:styleId="PI">
    <w:name w:val="PI"/>
    <w:rsid w:val="001213D9"/>
    <w:pPr>
      <w:spacing w:after="240"/>
      <w:ind w:left="360" w:hanging="360"/>
      <w:jc w:val="both"/>
    </w:pPr>
    <w:rPr>
      <w:rFonts w:ascii="Perpetua Std" w:hAnsi="Perpetua Std"/>
      <w:color w:val="000000"/>
      <w:sz w:val="24"/>
    </w:rPr>
  </w:style>
  <w:style w:type="paragraph" w:customStyle="1" w:styleId="PK">
    <w:name w:val="PK"/>
    <w:rsid w:val="001213D9"/>
    <w:pPr>
      <w:spacing w:after="240"/>
      <w:ind w:left="360" w:firstLine="288"/>
      <w:jc w:val="both"/>
    </w:pPr>
    <w:rPr>
      <w:rFonts w:ascii="Perpetua Std" w:hAnsi="Perpetua Std"/>
      <w:color w:val="000000"/>
      <w:sz w:val="24"/>
    </w:rPr>
  </w:style>
  <w:style w:type="paragraph" w:customStyle="1" w:styleId="PL">
    <w:name w:val="PL"/>
    <w:rsid w:val="001213D9"/>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1213D9"/>
    <w:pPr>
      <w:spacing w:after="240"/>
      <w:ind w:left="432" w:right="432" w:firstLine="432"/>
      <w:jc w:val="both"/>
    </w:pPr>
    <w:rPr>
      <w:rFonts w:ascii="Minion Pro" w:hAnsi="Minion Pro"/>
    </w:rPr>
  </w:style>
  <w:style w:type="paragraph" w:customStyle="1" w:styleId="TOC">
    <w:name w:val="TOC"/>
    <w:autoRedefine/>
    <w:rsid w:val="001213D9"/>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1213D9"/>
    <w:pPr>
      <w:tabs>
        <w:tab w:val="clear" w:pos="1440"/>
        <w:tab w:val="clear" w:pos="8640"/>
        <w:tab w:val="left" w:pos="240"/>
        <w:tab w:val="left" w:pos="480"/>
        <w:tab w:val="right" w:leader="dot" w:pos="4680"/>
      </w:tabs>
      <w:ind w:left="0" w:firstLine="0"/>
    </w:pPr>
    <w:rPr>
      <w:sz w:val="22"/>
    </w:rPr>
  </w:style>
  <w:style w:type="paragraph" w:customStyle="1" w:styleId="QU">
    <w:name w:val="QU"/>
    <w:rsid w:val="001213D9"/>
    <w:pPr>
      <w:spacing w:after="240"/>
      <w:jc w:val="both"/>
    </w:pPr>
    <w:rPr>
      <w:rFonts w:ascii="Helvetica LT Std" w:hAnsi="Helvetica LT Std"/>
      <w:b/>
      <w:color w:val="000000"/>
      <w:sz w:val="26"/>
    </w:rPr>
  </w:style>
  <w:style w:type="paragraph" w:customStyle="1" w:styleId="PQ">
    <w:name w:val="PQ"/>
    <w:link w:val="PQChar"/>
    <w:rsid w:val="001213D9"/>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1213D9"/>
    <w:rPr>
      <w:rFonts w:ascii="Adobe Caslon Pro" w:hAnsi="Adobe Caslon Pro"/>
      <w:color w:val="000000"/>
      <w:sz w:val="14"/>
    </w:rPr>
  </w:style>
  <w:style w:type="paragraph" w:customStyle="1" w:styleId="HD">
    <w:name w:val="HD"/>
    <w:rsid w:val="001213D9"/>
    <w:pPr>
      <w:suppressAutoHyphens/>
      <w:spacing w:before="120"/>
      <w:jc w:val="center"/>
    </w:pPr>
    <w:rPr>
      <w:rFonts w:ascii="Helvetica LT Std" w:hAnsi="Helvetica LT Std"/>
      <w:sz w:val="26"/>
      <w:szCs w:val="18"/>
    </w:rPr>
  </w:style>
  <w:style w:type="paragraph" w:customStyle="1" w:styleId="PP">
    <w:name w:val="PP"/>
    <w:rsid w:val="001213D9"/>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1213D9"/>
    <w:pPr>
      <w:spacing w:before="120" w:after="120"/>
      <w:jc w:val="center"/>
    </w:pPr>
    <w:rPr>
      <w:rFonts w:ascii="Helvetica LT Std" w:hAnsi="Helvetica LT Std"/>
      <w:sz w:val="24"/>
    </w:rPr>
  </w:style>
  <w:style w:type="paragraph" w:customStyle="1" w:styleId="PN">
    <w:name w:val="PN"/>
    <w:rsid w:val="001213D9"/>
    <w:pPr>
      <w:spacing w:after="240"/>
      <w:ind w:left="720" w:firstLine="288"/>
      <w:jc w:val="both"/>
    </w:pPr>
    <w:rPr>
      <w:rFonts w:ascii="Perpetua Std" w:eastAsia="MS Mincho" w:hAnsi="Perpetua Std"/>
      <w:color w:val="000000"/>
    </w:rPr>
  </w:style>
  <w:style w:type="table" w:styleId="TableGrid">
    <w:name w:val="Table Grid"/>
    <w:basedOn w:val="TableNormal"/>
    <w:rsid w:val="0012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1213D9"/>
    <w:rPr>
      <w:vertAlign w:val="superscript"/>
    </w:rPr>
  </w:style>
  <w:style w:type="paragraph" w:customStyle="1" w:styleId="HA">
    <w:name w:val="HA"/>
    <w:autoRedefine/>
    <w:rsid w:val="001213D9"/>
    <w:pPr>
      <w:spacing w:after="240"/>
      <w:jc w:val="center"/>
    </w:pPr>
    <w:rPr>
      <w:rFonts w:ascii="Helvetica LT Std" w:hAnsi="Helvetica LT Std"/>
      <w:b/>
      <w:caps/>
      <w:color w:val="000000"/>
      <w:sz w:val="36"/>
      <w:szCs w:val="32"/>
    </w:rPr>
  </w:style>
  <w:style w:type="paragraph" w:customStyle="1" w:styleId="HB">
    <w:name w:val="HB"/>
    <w:rsid w:val="001213D9"/>
    <w:pPr>
      <w:spacing w:before="120" w:after="240"/>
      <w:jc w:val="center"/>
    </w:pPr>
    <w:rPr>
      <w:rFonts w:ascii="Helvetica LT Std" w:hAnsi="Helvetica LT Std"/>
      <w:b/>
      <w:color w:val="333333"/>
      <w:w w:val="105"/>
      <w:sz w:val="32"/>
    </w:rPr>
  </w:style>
  <w:style w:type="paragraph" w:customStyle="1" w:styleId="HC">
    <w:name w:val="HC"/>
    <w:autoRedefine/>
    <w:rsid w:val="001213D9"/>
    <w:pPr>
      <w:tabs>
        <w:tab w:val="left" w:pos="284"/>
      </w:tabs>
      <w:spacing w:before="120" w:after="120"/>
      <w:jc w:val="center"/>
    </w:pPr>
    <w:rPr>
      <w:rFonts w:ascii="Helvetica LT Std" w:hAnsi="Helvetica LT Std"/>
      <w:b/>
      <w:color w:val="000000"/>
      <w:w w:val="110"/>
      <w:sz w:val="26"/>
    </w:rPr>
  </w:style>
  <w:style w:type="paragraph" w:customStyle="1" w:styleId="PR">
    <w:name w:val="PR"/>
    <w:rsid w:val="001213D9"/>
    <w:pPr>
      <w:spacing w:after="240"/>
      <w:ind w:left="360" w:firstLine="288"/>
      <w:jc w:val="both"/>
    </w:pPr>
    <w:rPr>
      <w:rFonts w:ascii="Adobe Caslon Pro" w:hAnsi="Adobe Caslon Pro"/>
      <w:color w:val="000000"/>
      <w:sz w:val="14"/>
    </w:rPr>
  </w:style>
  <w:style w:type="paragraph" w:customStyle="1" w:styleId="PO">
    <w:name w:val="PO"/>
    <w:rsid w:val="001213D9"/>
    <w:pPr>
      <w:spacing w:after="240"/>
      <w:jc w:val="both"/>
    </w:pPr>
    <w:rPr>
      <w:rFonts w:ascii="Perpetua Std" w:hAnsi="Perpetua Std"/>
      <w:color w:val="000000"/>
      <w:w w:val="95"/>
      <w:szCs w:val="16"/>
    </w:rPr>
  </w:style>
  <w:style w:type="paragraph" w:customStyle="1" w:styleId="GUIDEX">
    <w:name w:val="GUIDEX"/>
    <w:rsid w:val="001213D9"/>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1213D9"/>
    <w:pPr>
      <w:tabs>
        <w:tab w:val="clear" w:pos="240"/>
        <w:tab w:val="clear" w:pos="480"/>
        <w:tab w:val="clear" w:pos="720"/>
        <w:tab w:val="right" w:pos="4680"/>
      </w:tabs>
    </w:pPr>
  </w:style>
  <w:style w:type="paragraph" w:customStyle="1" w:styleId="PCB">
    <w:name w:val="PCB"/>
    <w:autoRedefine/>
    <w:rsid w:val="001213D9"/>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1213D9"/>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1213D9"/>
    <w:rPr>
      <w:rFonts w:ascii="Perpetua Std" w:hAnsi="Perpetua Std"/>
    </w:rPr>
  </w:style>
  <w:style w:type="paragraph" w:styleId="NoSpacing">
    <w:name w:val="No Spacing"/>
    <w:qFormat/>
    <w:rsid w:val="001213D9"/>
    <w:rPr>
      <w:rFonts w:ascii="Perpetua" w:hAnsi="Perpetua"/>
    </w:rPr>
  </w:style>
  <w:style w:type="paragraph" w:customStyle="1" w:styleId="PCA">
    <w:name w:val="PCA"/>
    <w:rsid w:val="001213D9"/>
    <w:pPr>
      <w:numPr>
        <w:numId w:val="22"/>
      </w:numPr>
      <w:tabs>
        <w:tab w:val="left" w:pos="720"/>
      </w:tabs>
      <w:spacing w:after="240"/>
      <w:jc w:val="both"/>
    </w:pPr>
    <w:rPr>
      <w:rFonts w:ascii="Perpetua Std" w:hAnsi="Perpetua Std"/>
      <w:sz w:val="24"/>
    </w:rPr>
  </w:style>
  <w:style w:type="paragraph" w:customStyle="1" w:styleId="PHB">
    <w:name w:val="PHB"/>
    <w:rsid w:val="001213D9"/>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1213D9"/>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1213D9"/>
    <w:rPr>
      <w:rFonts w:ascii="Perpetua Std" w:hAnsi="Perpetua Std"/>
    </w:rPr>
  </w:style>
  <w:style w:type="paragraph" w:styleId="Heading1">
    <w:name w:val="heading 1"/>
    <w:basedOn w:val="Normal"/>
    <w:next w:val="Normal"/>
    <w:link w:val="Heading1Char"/>
    <w:qFormat/>
    <w:rsid w:val="001213D9"/>
    <w:pPr>
      <w:keepNext/>
      <w:outlineLvl w:val="0"/>
    </w:pPr>
    <w:rPr>
      <w:b/>
    </w:rPr>
  </w:style>
  <w:style w:type="paragraph" w:styleId="Heading2">
    <w:name w:val="heading 2"/>
    <w:basedOn w:val="Normal"/>
    <w:next w:val="Normal"/>
    <w:link w:val="Heading2Char"/>
    <w:qFormat/>
    <w:rsid w:val="001213D9"/>
    <w:pPr>
      <w:keepNext/>
      <w:spacing w:before="240" w:after="60"/>
      <w:outlineLvl w:val="1"/>
    </w:pPr>
    <w:rPr>
      <w:rFonts w:ascii="Arial" w:hAnsi="Arial"/>
      <w:b/>
      <w:i/>
      <w:sz w:val="24"/>
    </w:rPr>
  </w:style>
  <w:style w:type="paragraph" w:styleId="Heading3">
    <w:name w:val="heading 3"/>
    <w:basedOn w:val="Normal"/>
    <w:next w:val="Normal"/>
    <w:link w:val="Heading3Char"/>
    <w:qFormat/>
    <w:rsid w:val="001213D9"/>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13D9"/>
    <w:pPr>
      <w:tabs>
        <w:tab w:val="center" w:pos="4320"/>
        <w:tab w:val="right" w:pos="8640"/>
      </w:tabs>
    </w:pPr>
  </w:style>
  <w:style w:type="paragraph" w:styleId="Header">
    <w:name w:val="header"/>
    <w:basedOn w:val="Normal"/>
    <w:rsid w:val="001213D9"/>
    <w:pPr>
      <w:tabs>
        <w:tab w:val="center" w:pos="4320"/>
        <w:tab w:val="right" w:pos="8640"/>
      </w:tabs>
    </w:pPr>
  </w:style>
  <w:style w:type="paragraph" w:customStyle="1" w:styleId="Standard">
    <w:name w:val="Standard"/>
    <w:rsid w:val="001213D9"/>
    <w:pPr>
      <w:spacing w:before="144"/>
      <w:jc w:val="both"/>
    </w:pPr>
    <w:rPr>
      <w:noProof/>
    </w:rPr>
  </w:style>
  <w:style w:type="paragraph" w:customStyle="1" w:styleId="PA">
    <w:name w:val="PA"/>
    <w:next w:val="Normal"/>
    <w:link w:val="PAChar"/>
    <w:rsid w:val="001213D9"/>
    <w:pPr>
      <w:spacing w:after="240"/>
      <w:ind w:firstLine="288"/>
      <w:jc w:val="both"/>
    </w:pPr>
    <w:rPr>
      <w:rFonts w:ascii="Perpetua Std" w:hAnsi="Perpetua Std"/>
      <w:color w:val="000000"/>
      <w:sz w:val="24"/>
    </w:rPr>
  </w:style>
  <w:style w:type="character" w:customStyle="1" w:styleId="PAChar">
    <w:name w:val="PA Char"/>
    <w:link w:val="PA"/>
    <w:rsid w:val="001213D9"/>
    <w:rPr>
      <w:rFonts w:ascii="Perpetua Std" w:hAnsi="Perpetua Std"/>
      <w:color w:val="000000"/>
      <w:sz w:val="24"/>
    </w:rPr>
  </w:style>
  <w:style w:type="paragraph" w:customStyle="1" w:styleId="PB">
    <w:name w:val="PB"/>
    <w:rsid w:val="001213D9"/>
    <w:pPr>
      <w:spacing w:after="240"/>
      <w:jc w:val="both"/>
    </w:pPr>
    <w:rPr>
      <w:rFonts w:ascii="Perpetua Std" w:hAnsi="Perpetua Std"/>
      <w:color w:val="000000"/>
      <w:sz w:val="24"/>
    </w:rPr>
  </w:style>
  <w:style w:type="paragraph" w:customStyle="1" w:styleId="PC">
    <w:name w:val="PC"/>
    <w:rsid w:val="001213D9"/>
    <w:pPr>
      <w:tabs>
        <w:tab w:val="left" w:pos="720"/>
      </w:tabs>
      <w:spacing w:after="240"/>
      <w:ind w:left="720" w:hanging="360"/>
      <w:jc w:val="both"/>
    </w:pPr>
    <w:rPr>
      <w:rFonts w:ascii="Perpetua Std" w:hAnsi="Perpetua Std"/>
      <w:color w:val="000000"/>
      <w:sz w:val="24"/>
    </w:rPr>
  </w:style>
  <w:style w:type="paragraph" w:customStyle="1" w:styleId="PD">
    <w:name w:val="PD"/>
    <w:rsid w:val="001213D9"/>
    <w:pPr>
      <w:spacing w:after="240"/>
      <w:ind w:left="720" w:firstLine="288"/>
      <w:jc w:val="both"/>
    </w:pPr>
    <w:rPr>
      <w:rFonts w:ascii="Perpetua Std" w:hAnsi="Perpetua Std"/>
      <w:color w:val="000000"/>
      <w:sz w:val="24"/>
    </w:rPr>
  </w:style>
  <w:style w:type="paragraph" w:customStyle="1" w:styleId="PE">
    <w:name w:val="PE"/>
    <w:rsid w:val="001213D9"/>
    <w:pPr>
      <w:spacing w:after="240"/>
      <w:ind w:left="720"/>
      <w:jc w:val="both"/>
    </w:pPr>
    <w:rPr>
      <w:rFonts w:ascii="Perpetua Std" w:hAnsi="Perpetua Std"/>
      <w:color w:val="000000"/>
      <w:sz w:val="24"/>
    </w:rPr>
  </w:style>
  <w:style w:type="paragraph" w:customStyle="1" w:styleId="PF">
    <w:name w:val="PF"/>
    <w:rsid w:val="001213D9"/>
    <w:pPr>
      <w:tabs>
        <w:tab w:val="left" w:pos="1080"/>
      </w:tabs>
      <w:spacing w:after="240"/>
      <w:ind w:left="1080" w:hanging="360"/>
      <w:jc w:val="both"/>
    </w:pPr>
    <w:rPr>
      <w:rFonts w:ascii="Perpetua Std" w:hAnsi="Perpetua Std"/>
      <w:color w:val="000000"/>
      <w:sz w:val="24"/>
    </w:rPr>
  </w:style>
  <w:style w:type="paragraph" w:customStyle="1" w:styleId="PG">
    <w:name w:val="PG"/>
    <w:rsid w:val="001213D9"/>
    <w:pPr>
      <w:spacing w:after="240"/>
      <w:ind w:left="360"/>
      <w:jc w:val="both"/>
    </w:pPr>
    <w:rPr>
      <w:rFonts w:ascii="Perpetua Std" w:hAnsi="Perpetua Std"/>
      <w:color w:val="000000"/>
      <w:sz w:val="24"/>
    </w:rPr>
  </w:style>
  <w:style w:type="paragraph" w:customStyle="1" w:styleId="PH">
    <w:name w:val="PH"/>
    <w:rsid w:val="001213D9"/>
    <w:pPr>
      <w:tabs>
        <w:tab w:val="left" w:pos="360"/>
      </w:tabs>
      <w:spacing w:after="240"/>
      <w:ind w:left="360" w:hanging="360"/>
      <w:jc w:val="both"/>
    </w:pPr>
    <w:rPr>
      <w:rFonts w:ascii="Perpetua Std" w:hAnsi="Perpetua Std"/>
      <w:color w:val="000000"/>
      <w:sz w:val="24"/>
    </w:rPr>
  </w:style>
  <w:style w:type="paragraph" w:customStyle="1" w:styleId="PI">
    <w:name w:val="PI"/>
    <w:rsid w:val="001213D9"/>
    <w:pPr>
      <w:spacing w:after="240"/>
      <w:ind w:left="360" w:hanging="360"/>
      <w:jc w:val="both"/>
    </w:pPr>
    <w:rPr>
      <w:rFonts w:ascii="Perpetua Std" w:hAnsi="Perpetua Std"/>
      <w:color w:val="000000"/>
      <w:sz w:val="24"/>
    </w:rPr>
  </w:style>
  <w:style w:type="paragraph" w:customStyle="1" w:styleId="PK">
    <w:name w:val="PK"/>
    <w:rsid w:val="001213D9"/>
    <w:pPr>
      <w:spacing w:after="240"/>
      <w:ind w:left="360" w:firstLine="288"/>
      <w:jc w:val="both"/>
    </w:pPr>
    <w:rPr>
      <w:rFonts w:ascii="Perpetua Std" w:hAnsi="Perpetua Std"/>
      <w:color w:val="000000"/>
      <w:sz w:val="24"/>
    </w:rPr>
  </w:style>
  <w:style w:type="paragraph" w:customStyle="1" w:styleId="PL">
    <w:name w:val="PL"/>
    <w:rsid w:val="001213D9"/>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1213D9"/>
    <w:pPr>
      <w:spacing w:after="240"/>
      <w:ind w:left="432" w:right="432" w:firstLine="432"/>
      <w:jc w:val="both"/>
    </w:pPr>
    <w:rPr>
      <w:rFonts w:ascii="Minion Pro" w:hAnsi="Minion Pro"/>
    </w:rPr>
  </w:style>
  <w:style w:type="paragraph" w:customStyle="1" w:styleId="TOC">
    <w:name w:val="TOC"/>
    <w:autoRedefine/>
    <w:rsid w:val="001213D9"/>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1213D9"/>
    <w:pPr>
      <w:tabs>
        <w:tab w:val="clear" w:pos="1440"/>
        <w:tab w:val="clear" w:pos="8640"/>
        <w:tab w:val="left" w:pos="240"/>
        <w:tab w:val="left" w:pos="480"/>
        <w:tab w:val="right" w:leader="dot" w:pos="4680"/>
      </w:tabs>
      <w:ind w:left="0" w:firstLine="0"/>
    </w:pPr>
    <w:rPr>
      <w:sz w:val="22"/>
    </w:rPr>
  </w:style>
  <w:style w:type="paragraph" w:customStyle="1" w:styleId="QU">
    <w:name w:val="QU"/>
    <w:rsid w:val="001213D9"/>
    <w:pPr>
      <w:spacing w:after="240"/>
      <w:jc w:val="both"/>
    </w:pPr>
    <w:rPr>
      <w:rFonts w:ascii="Helvetica LT Std" w:hAnsi="Helvetica LT Std"/>
      <w:b/>
      <w:color w:val="000000"/>
      <w:sz w:val="26"/>
    </w:rPr>
  </w:style>
  <w:style w:type="paragraph" w:customStyle="1" w:styleId="PQ">
    <w:name w:val="PQ"/>
    <w:link w:val="PQChar"/>
    <w:rsid w:val="001213D9"/>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1213D9"/>
    <w:rPr>
      <w:rFonts w:ascii="Adobe Caslon Pro" w:hAnsi="Adobe Caslon Pro"/>
      <w:color w:val="000000"/>
      <w:sz w:val="14"/>
    </w:rPr>
  </w:style>
  <w:style w:type="paragraph" w:customStyle="1" w:styleId="HD">
    <w:name w:val="HD"/>
    <w:rsid w:val="001213D9"/>
    <w:pPr>
      <w:suppressAutoHyphens/>
      <w:spacing w:before="120"/>
      <w:jc w:val="center"/>
    </w:pPr>
    <w:rPr>
      <w:rFonts w:ascii="Helvetica LT Std" w:hAnsi="Helvetica LT Std"/>
      <w:sz w:val="26"/>
      <w:szCs w:val="18"/>
    </w:rPr>
  </w:style>
  <w:style w:type="paragraph" w:customStyle="1" w:styleId="PP">
    <w:name w:val="PP"/>
    <w:rsid w:val="001213D9"/>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1213D9"/>
    <w:pPr>
      <w:spacing w:before="120" w:after="120"/>
      <w:jc w:val="center"/>
    </w:pPr>
    <w:rPr>
      <w:rFonts w:ascii="Helvetica LT Std" w:hAnsi="Helvetica LT Std"/>
      <w:sz w:val="24"/>
    </w:rPr>
  </w:style>
  <w:style w:type="paragraph" w:customStyle="1" w:styleId="PN">
    <w:name w:val="PN"/>
    <w:rsid w:val="001213D9"/>
    <w:pPr>
      <w:spacing w:after="240"/>
      <w:ind w:left="720" w:firstLine="288"/>
      <w:jc w:val="both"/>
    </w:pPr>
    <w:rPr>
      <w:rFonts w:ascii="Perpetua Std" w:eastAsia="MS Mincho" w:hAnsi="Perpetua Std"/>
      <w:color w:val="000000"/>
    </w:rPr>
  </w:style>
  <w:style w:type="table" w:styleId="TableGrid">
    <w:name w:val="Table Grid"/>
    <w:basedOn w:val="TableNormal"/>
    <w:rsid w:val="0012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1213D9"/>
    <w:rPr>
      <w:vertAlign w:val="superscript"/>
    </w:rPr>
  </w:style>
  <w:style w:type="paragraph" w:customStyle="1" w:styleId="HA">
    <w:name w:val="HA"/>
    <w:autoRedefine/>
    <w:rsid w:val="001213D9"/>
    <w:pPr>
      <w:spacing w:after="240"/>
      <w:jc w:val="center"/>
    </w:pPr>
    <w:rPr>
      <w:rFonts w:ascii="Helvetica LT Std" w:hAnsi="Helvetica LT Std"/>
      <w:b/>
      <w:caps/>
      <w:color w:val="000000"/>
      <w:sz w:val="36"/>
      <w:szCs w:val="32"/>
    </w:rPr>
  </w:style>
  <w:style w:type="paragraph" w:customStyle="1" w:styleId="HB">
    <w:name w:val="HB"/>
    <w:rsid w:val="001213D9"/>
    <w:pPr>
      <w:spacing w:before="120" w:after="240"/>
      <w:jc w:val="center"/>
    </w:pPr>
    <w:rPr>
      <w:rFonts w:ascii="Helvetica LT Std" w:hAnsi="Helvetica LT Std"/>
      <w:b/>
      <w:color w:val="333333"/>
      <w:w w:val="105"/>
      <w:sz w:val="32"/>
    </w:rPr>
  </w:style>
  <w:style w:type="paragraph" w:customStyle="1" w:styleId="HC">
    <w:name w:val="HC"/>
    <w:autoRedefine/>
    <w:rsid w:val="001213D9"/>
    <w:pPr>
      <w:tabs>
        <w:tab w:val="left" w:pos="284"/>
      </w:tabs>
      <w:spacing w:before="120" w:after="120"/>
      <w:jc w:val="center"/>
    </w:pPr>
    <w:rPr>
      <w:rFonts w:ascii="Helvetica LT Std" w:hAnsi="Helvetica LT Std"/>
      <w:b/>
      <w:color w:val="000000"/>
      <w:w w:val="110"/>
      <w:sz w:val="26"/>
    </w:rPr>
  </w:style>
  <w:style w:type="paragraph" w:customStyle="1" w:styleId="PR">
    <w:name w:val="PR"/>
    <w:rsid w:val="001213D9"/>
    <w:pPr>
      <w:spacing w:after="240"/>
      <w:ind w:left="360" w:firstLine="288"/>
      <w:jc w:val="both"/>
    </w:pPr>
    <w:rPr>
      <w:rFonts w:ascii="Adobe Caslon Pro" w:hAnsi="Adobe Caslon Pro"/>
      <w:color w:val="000000"/>
      <w:sz w:val="14"/>
    </w:rPr>
  </w:style>
  <w:style w:type="paragraph" w:customStyle="1" w:styleId="PO">
    <w:name w:val="PO"/>
    <w:rsid w:val="001213D9"/>
    <w:pPr>
      <w:spacing w:after="240"/>
      <w:jc w:val="both"/>
    </w:pPr>
    <w:rPr>
      <w:rFonts w:ascii="Perpetua Std" w:hAnsi="Perpetua Std"/>
      <w:color w:val="000000"/>
      <w:w w:val="95"/>
      <w:szCs w:val="16"/>
    </w:rPr>
  </w:style>
  <w:style w:type="paragraph" w:customStyle="1" w:styleId="GUIDEX">
    <w:name w:val="GUIDEX"/>
    <w:rsid w:val="001213D9"/>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1213D9"/>
    <w:pPr>
      <w:tabs>
        <w:tab w:val="clear" w:pos="240"/>
        <w:tab w:val="clear" w:pos="480"/>
        <w:tab w:val="clear" w:pos="720"/>
        <w:tab w:val="right" w:pos="4680"/>
      </w:tabs>
    </w:pPr>
  </w:style>
  <w:style w:type="paragraph" w:customStyle="1" w:styleId="PCB">
    <w:name w:val="PCB"/>
    <w:autoRedefine/>
    <w:rsid w:val="001213D9"/>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1213D9"/>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1213D9"/>
    <w:rPr>
      <w:rFonts w:ascii="Perpetua Std" w:hAnsi="Perpetua Std"/>
    </w:rPr>
  </w:style>
  <w:style w:type="paragraph" w:styleId="NoSpacing">
    <w:name w:val="No Spacing"/>
    <w:qFormat/>
    <w:rsid w:val="001213D9"/>
    <w:rPr>
      <w:rFonts w:ascii="Perpetua" w:hAnsi="Perpetua"/>
    </w:rPr>
  </w:style>
  <w:style w:type="paragraph" w:customStyle="1" w:styleId="PCA">
    <w:name w:val="PCA"/>
    <w:rsid w:val="001213D9"/>
    <w:pPr>
      <w:numPr>
        <w:numId w:val="22"/>
      </w:numPr>
      <w:tabs>
        <w:tab w:val="left" w:pos="720"/>
      </w:tabs>
      <w:spacing w:after="240"/>
      <w:jc w:val="both"/>
    </w:pPr>
    <w:rPr>
      <w:rFonts w:ascii="Perpetua Std" w:hAnsi="Perpetua Std"/>
      <w:sz w:val="24"/>
    </w:rPr>
  </w:style>
  <w:style w:type="paragraph" w:customStyle="1" w:styleId="PHB">
    <w:name w:val="PHB"/>
    <w:rsid w:val="001213D9"/>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1213D9"/>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0</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8584. When can a taxpayer exclude gain on the sale of a personal residence from income if the taxpayer fails to meet the ownership requirements otherwise required for exclusion treatment?</vt:lpstr>
    </vt:vector>
  </TitlesOfParts>
  <Company>National Underwriter</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8584. When can a taxpayer exclude gain on the sale of a personal residence from income if the taxpayer fails to meet the ownership requirements otherwise required for exclusion treatment?</dc:title>
  <dc:creator>cjump</dc:creator>
  <cp:lastModifiedBy>rcline</cp:lastModifiedBy>
  <cp:revision>2</cp:revision>
  <dcterms:created xsi:type="dcterms:W3CDTF">2014-08-21T18:59:00Z</dcterms:created>
  <dcterms:modified xsi:type="dcterms:W3CDTF">2014-08-21T18:59:00Z</dcterms:modified>
</cp:coreProperties>
</file>