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ED" w:rsidRDefault="00F402ED" w:rsidP="00351992">
      <w:pPr>
        <w:pStyle w:val="PA"/>
      </w:pPr>
      <w:bookmarkStart w:id="0" w:name="_GoBack"/>
      <w:bookmarkEnd w:id="0"/>
    </w:p>
    <w:p w:rsidR="00F402ED" w:rsidRPr="00F402ED" w:rsidRDefault="00F402ED" w:rsidP="00351992">
      <w:pPr>
        <w:pStyle w:val="PA"/>
        <w:rPr>
          <w:b/>
          <w:color w:val="auto"/>
        </w:rPr>
      </w:pPr>
      <w:r w:rsidRPr="00F402ED">
        <w:rPr>
          <w:b/>
          <w:color w:val="auto"/>
        </w:rPr>
        <w:t xml:space="preserve">8581.  Is a taxpayer who has an involuntary conversion </w:t>
      </w:r>
      <w:r w:rsidR="00D53567">
        <w:rPr>
          <w:b/>
          <w:color w:val="auto"/>
        </w:rPr>
        <w:t xml:space="preserve">into money </w:t>
      </w:r>
      <w:r w:rsidRPr="00F402ED">
        <w:rPr>
          <w:b/>
          <w:color w:val="auto"/>
        </w:rPr>
        <w:t xml:space="preserve">required to replace the </w:t>
      </w:r>
      <w:r w:rsidR="00D53567">
        <w:rPr>
          <w:b/>
          <w:color w:val="auto"/>
        </w:rPr>
        <w:t xml:space="preserve">lost or destroyed </w:t>
      </w:r>
      <w:r w:rsidRPr="00F402ED">
        <w:rPr>
          <w:b/>
          <w:color w:val="auto"/>
        </w:rPr>
        <w:t xml:space="preserve">property within a certain amount of time to qualify for </w:t>
      </w:r>
      <w:proofErr w:type="spellStart"/>
      <w:r w:rsidRPr="00F402ED">
        <w:rPr>
          <w:b/>
          <w:color w:val="auto"/>
        </w:rPr>
        <w:t>nonrecogntion</w:t>
      </w:r>
      <w:proofErr w:type="spellEnd"/>
      <w:r w:rsidRPr="00F402ED">
        <w:rPr>
          <w:b/>
          <w:color w:val="auto"/>
        </w:rPr>
        <w:t xml:space="preserve"> treatment?</w:t>
      </w:r>
    </w:p>
    <w:p w:rsidR="00351992" w:rsidRDefault="00351992" w:rsidP="00351992">
      <w:pPr>
        <w:pStyle w:val="PA"/>
        <w:rPr>
          <w:b/>
        </w:rPr>
      </w:pPr>
      <w:r>
        <w:t>In order to qualify for nonrecognition treatment under IRC Section 1033, the taxpayer must replace the property that has been involuntar</w:t>
      </w:r>
      <w:r w:rsidR="0057398D">
        <w:t>ily</w:t>
      </w:r>
      <w:r>
        <w:t xml:space="preserve"> converted within a </w:t>
      </w:r>
      <w:r w:rsidR="0057398D">
        <w:t>two-year</w:t>
      </w:r>
      <w:r>
        <w:t xml:space="preserve"> period.</w:t>
      </w:r>
      <w:r w:rsidR="00B4630A">
        <w:t xml:space="preserve"> </w:t>
      </w:r>
      <w:r>
        <w:t>The time period begins to run upon the date of the disposition of the converted property or, if the conversion results from condemnation of the property, the date when the condemnation became imminent.</w:t>
      </w:r>
      <w:r>
        <w:rPr>
          <w:rStyle w:val="FootnoteReference"/>
          <w:color w:val="auto"/>
        </w:rPr>
        <w:footnoteReference w:id="1"/>
      </w:r>
    </w:p>
    <w:p w:rsidR="00351992" w:rsidRDefault="00351992" w:rsidP="00351992">
      <w:pPr>
        <w:pStyle w:val="PA"/>
      </w:pPr>
      <w:r>
        <w:t>If a taxpayer’s principal residence is destroyed as a result of an involuntary conversion that takes place in a federally-declared disaster area, the time period for purchasing replacement property is extended to four years.</w:t>
      </w:r>
      <w:r>
        <w:rPr>
          <w:rStyle w:val="FootnoteReference"/>
          <w:color w:val="auto"/>
        </w:rPr>
        <w:footnoteReference w:id="2"/>
      </w:r>
      <w:r w:rsidR="00B4630A">
        <w:t xml:space="preserve"> </w:t>
      </w:r>
    </w:p>
    <w:p w:rsidR="00BB6F16" w:rsidRPr="00BB6F16" w:rsidRDefault="00BB6F16" w:rsidP="00BB6F16"/>
    <w:sectPr w:rsidR="00BB6F16" w:rsidRPr="00BB6F16" w:rsidSect="00982AFC">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71F" w:rsidRDefault="0027171F">
      <w:r>
        <w:separator/>
      </w:r>
    </w:p>
  </w:endnote>
  <w:endnote w:type="continuationSeparator" w:id="0">
    <w:p w:rsidR="0027171F" w:rsidRDefault="0027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71F" w:rsidRDefault="0027171F">
      <w:r>
        <w:separator/>
      </w:r>
    </w:p>
  </w:footnote>
  <w:footnote w:type="continuationSeparator" w:id="0">
    <w:p w:rsidR="0027171F" w:rsidRDefault="0027171F">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1033(a</w:t>
      </w:r>
      <w:proofErr w:type="gramStart"/>
      <w:r w:rsidRPr="00B4630A">
        <w:t>)(</w:t>
      </w:r>
      <w:proofErr w:type="gramEnd"/>
      <w:r w:rsidRPr="00B4630A">
        <w:t>2)(B).</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IRC Sec. 1033(h).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4CD"/>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1F"/>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C60"/>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9B8"/>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3D6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98D"/>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5874"/>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6FFB"/>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44E"/>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AFC"/>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3FC5"/>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DB8"/>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52AB"/>
    <w:rsid w:val="00BB57F5"/>
    <w:rsid w:val="00BB5A2C"/>
    <w:rsid w:val="00BB6246"/>
    <w:rsid w:val="00BB657A"/>
    <w:rsid w:val="00BB6967"/>
    <w:rsid w:val="00BB6CB9"/>
    <w:rsid w:val="00BB6F16"/>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268"/>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3E2"/>
    <w:rsid w:val="00C36528"/>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46A"/>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567"/>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124"/>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1B2"/>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07F"/>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0FE"/>
    <w:rsid w:val="00EE71E0"/>
    <w:rsid w:val="00EE768C"/>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16E"/>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2ED"/>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4C2C60"/>
    <w:rPr>
      <w:rFonts w:ascii="Perpetua Std" w:hAnsi="Perpetua Std"/>
    </w:rPr>
  </w:style>
  <w:style w:type="paragraph" w:styleId="Heading1">
    <w:name w:val="heading 1"/>
    <w:basedOn w:val="Normal"/>
    <w:next w:val="Normal"/>
    <w:link w:val="Heading1Char"/>
    <w:qFormat/>
    <w:rsid w:val="004C2C60"/>
    <w:pPr>
      <w:keepNext/>
      <w:outlineLvl w:val="0"/>
    </w:pPr>
    <w:rPr>
      <w:b/>
    </w:rPr>
  </w:style>
  <w:style w:type="paragraph" w:styleId="Heading2">
    <w:name w:val="heading 2"/>
    <w:basedOn w:val="Normal"/>
    <w:next w:val="Normal"/>
    <w:link w:val="Heading2Char"/>
    <w:qFormat/>
    <w:rsid w:val="004C2C60"/>
    <w:pPr>
      <w:keepNext/>
      <w:spacing w:before="240" w:after="60"/>
      <w:outlineLvl w:val="1"/>
    </w:pPr>
    <w:rPr>
      <w:rFonts w:ascii="Arial" w:hAnsi="Arial"/>
      <w:b/>
      <w:i/>
      <w:sz w:val="24"/>
    </w:rPr>
  </w:style>
  <w:style w:type="paragraph" w:styleId="Heading3">
    <w:name w:val="heading 3"/>
    <w:basedOn w:val="Normal"/>
    <w:next w:val="Normal"/>
    <w:link w:val="Heading3Char"/>
    <w:qFormat/>
    <w:rsid w:val="004C2C6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C60"/>
    <w:pPr>
      <w:tabs>
        <w:tab w:val="center" w:pos="4320"/>
        <w:tab w:val="right" w:pos="8640"/>
      </w:tabs>
    </w:pPr>
  </w:style>
  <w:style w:type="paragraph" w:styleId="Header">
    <w:name w:val="header"/>
    <w:basedOn w:val="Normal"/>
    <w:rsid w:val="004C2C60"/>
    <w:pPr>
      <w:tabs>
        <w:tab w:val="center" w:pos="4320"/>
        <w:tab w:val="right" w:pos="8640"/>
      </w:tabs>
    </w:pPr>
  </w:style>
  <w:style w:type="paragraph" w:customStyle="1" w:styleId="Standard">
    <w:name w:val="Standard"/>
    <w:rsid w:val="004C2C60"/>
    <w:pPr>
      <w:spacing w:before="144"/>
      <w:jc w:val="both"/>
    </w:pPr>
    <w:rPr>
      <w:noProof/>
    </w:rPr>
  </w:style>
  <w:style w:type="paragraph" w:customStyle="1" w:styleId="PA">
    <w:name w:val="PA"/>
    <w:next w:val="Normal"/>
    <w:link w:val="PAChar"/>
    <w:rsid w:val="004C2C60"/>
    <w:pPr>
      <w:spacing w:after="240"/>
      <w:ind w:firstLine="288"/>
      <w:jc w:val="both"/>
    </w:pPr>
    <w:rPr>
      <w:rFonts w:ascii="Perpetua Std" w:hAnsi="Perpetua Std"/>
      <w:color w:val="000000"/>
      <w:sz w:val="24"/>
    </w:rPr>
  </w:style>
  <w:style w:type="character" w:customStyle="1" w:styleId="PAChar">
    <w:name w:val="PA Char"/>
    <w:link w:val="PA"/>
    <w:rsid w:val="004C2C60"/>
    <w:rPr>
      <w:rFonts w:ascii="Perpetua Std" w:hAnsi="Perpetua Std"/>
      <w:color w:val="000000"/>
      <w:sz w:val="24"/>
    </w:rPr>
  </w:style>
  <w:style w:type="paragraph" w:customStyle="1" w:styleId="PB">
    <w:name w:val="PB"/>
    <w:rsid w:val="004C2C60"/>
    <w:pPr>
      <w:spacing w:after="240"/>
      <w:jc w:val="both"/>
    </w:pPr>
    <w:rPr>
      <w:rFonts w:ascii="Perpetua Std" w:hAnsi="Perpetua Std"/>
      <w:color w:val="000000"/>
      <w:sz w:val="24"/>
    </w:rPr>
  </w:style>
  <w:style w:type="paragraph" w:customStyle="1" w:styleId="PC">
    <w:name w:val="PC"/>
    <w:rsid w:val="004C2C60"/>
    <w:pPr>
      <w:tabs>
        <w:tab w:val="left" w:pos="720"/>
      </w:tabs>
      <w:spacing w:after="240"/>
      <w:ind w:left="720" w:hanging="360"/>
      <w:jc w:val="both"/>
    </w:pPr>
    <w:rPr>
      <w:rFonts w:ascii="Perpetua Std" w:hAnsi="Perpetua Std"/>
      <w:color w:val="000000"/>
      <w:sz w:val="24"/>
    </w:rPr>
  </w:style>
  <w:style w:type="paragraph" w:customStyle="1" w:styleId="PD">
    <w:name w:val="PD"/>
    <w:rsid w:val="004C2C60"/>
    <w:pPr>
      <w:spacing w:after="240"/>
      <w:ind w:left="720" w:firstLine="288"/>
      <w:jc w:val="both"/>
    </w:pPr>
    <w:rPr>
      <w:rFonts w:ascii="Perpetua Std" w:hAnsi="Perpetua Std"/>
      <w:color w:val="000000"/>
      <w:sz w:val="24"/>
    </w:rPr>
  </w:style>
  <w:style w:type="paragraph" w:customStyle="1" w:styleId="PE">
    <w:name w:val="PE"/>
    <w:rsid w:val="004C2C60"/>
    <w:pPr>
      <w:spacing w:after="240"/>
      <w:ind w:left="720"/>
      <w:jc w:val="both"/>
    </w:pPr>
    <w:rPr>
      <w:rFonts w:ascii="Perpetua Std" w:hAnsi="Perpetua Std"/>
      <w:color w:val="000000"/>
      <w:sz w:val="24"/>
    </w:rPr>
  </w:style>
  <w:style w:type="paragraph" w:customStyle="1" w:styleId="PF">
    <w:name w:val="PF"/>
    <w:rsid w:val="004C2C60"/>
    <w:pPr>
      <w:tabs>
        <w:tab w:val="left" w:pos="1080"/>
      </w:tabs>
      <w:spacing w:after="240"/>
      <w:ind w:left="1080" w:hanging="360"/>
      <w:jc w:val="both"/>
    </w:pPr>
    <w:rPr>
      <w:rFonts w:ascii="Perpetua Std" w:hAnsi="Perpetua Std"/>
      <w:color w:val="000000"/>
      <w:sz w:val="24"/>
    </w:rPr>
  </w:style>
  <w:style w:type="paragraph" w:customStyle="1" w:styleId="PG">
    <w:name w:val="PG"/>
    <w:rsid w:val="004C2C60"/>
    <w:pPr>
      <w:spacing w:after="240"/>
      <w:ind w:left="360"/>
      <w:jc w:val="both"/>
    </w:pPr>
    <w:rPr>
      <w:rFonts w:ascii="Perpetua Std" w:hAnsi="Perpetua Std"/>
      <w:color w:val="000000"/>
      <w:sz w:val="24"/>
    </w:rPr>
  </w:style>
  <w:style w:type="paragraph" w:customStyle="1" w:styleId="PH">
    <w:name w:val="PH"/>
    <w:rsid w:val="004C2C60"/>
    <w:pPr>
      <w:tabs>
        <w:tab w:val="left" w:pos="360"/>
      </w:tabs>
      <w:spacing w:after="240"/>
      <w:ind w:left="360" w:hanging="360"/>
      <w:jc w:val="both"/>
    </w:pPr>
    <w:rPr>
      <w:rFonts w:ascii="Perpetua Std" w:hAnsi="Perpetua Std"/>
      <w:color w:val="000000"/>
      <w:sz w:val="24"/>
    </w:rPr>
  </w:style>
  <w:style w:type="paragraph" w:customStyle="1" w:styleId="PI">
    <w:name w:val="PI"/>
    <w:rsid w:val="004C2C60"/>
    <w:pPr>
      <w:spacing w:after="240"/>
      <w:ind w:left="360" w:hanging="360"/>
      <w:jc w:val="both"/>
    </w:pPr>
    <w:rPr>
      <w:rFonts w:ascii="Perpetua Std" w:hAnsi="Perpetua Std"/>
      <w:color w:val="000000"/>
      <w:sz w:val="24"/>
    </w:rPr>
  </w:style>
  <w:style w:type="paragraph" w:customStyle="1" w:styleId="PK">
    <w:name w:val="PK"/>
    <w:rsid w:val="004C2C60"/>
    <w:pPr>
      <w:spacing w:after="240"/>
      <w:ind w:left="360" w:firstLine="288"/>
      <w:jc w:val="both"/>
    </w:pPr>
    <w:rPr>
      <w:rFonts w:ascii="Perpetua Std" w:hAnsi="Perpetua Std"/>
      <w:color w:val="000000"/>
      <w:sz w:val="24"/>
    </w:rPr>
  </w:style>
  <w:style w:type="paragraph" w:customStyle="1" w:styleId="PL">
    <w:name w:val="PL"/>
    <w:rsid w:val="004C2C60"/>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C2C60"/>
    <w:pPr>
      <w:spacing w:after="240"/>
      <w:ind w:left="432" w:right="432" w:firstLine="432"/>
      <w:jc w:val="both"/>
    </w:pPr>
    <w:rPr>
      <w:rFonts w:ascii="Minion Pro" w:hAnsi="Minion Pro"/>
    </w:rPr>
  </w:style>
  <w:style w:type="paragraph" w:customStyle="1" w:styleId="TOC">
    <w:name w:val="TOC"/>
    <w:autoRedefine/>
    <w:rsid w:val="004C2C60"/>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C2C60"/>
    <w:pPr>
      <w:tabs>
        <w:tab w:val="clear" w:pos="1440"/>
        <w:tab w:val="clear" w:pos="8640"/>
        <w:tab w:val="left" w:pos="240"/>
        <w:tab w:val="left" w:pos="480"/>
        <w:tab w:val="right" w:leader="dot" w:pos="4680"/>
      </w:tabs>
      <w:ind w:left="0" w:firstLine="0"/>
    </w:pPr>
    <w:rPr>
      <w:sz w:val="22"/>
    </w:rPr>
  </w:style>
  <w:style w:type="paragraph" w:customStyle="1" w:styleId="QU">
    <w:name w:val="QU"/>
    <w:rsid w:val="004C2C60"/>
    <w:pPr>
      <w:spacing w:after="240"/>
      <w:jc w:val="both"/>
    </w:pPr>
    <w:rPr>
      <w:rFonts w:ascii="Helvetica LT Std" w:hAnsi="Helvetica LT Std"/>
      <w:b/>
      <w:color w:val="000000"/>
      <w:sz w:val="26"/>
    </w:rPr>
  </w:style>
  <w:style w:type="paragraph" w:customStyle="1" w:styleId="PQ">
    <w:name w:val="PQ"/>
    <w:link w:val="PQChar"/>
    <w:rsid w:val="004C2C60"/>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C2C60"/>
    <w:rPr>
      <w:rFonts w:ascii="Adobe Caslon Pro" w:hAnsi="Adobe Caslon Pro"/>
      <w:color w:val="000000"/>
      <w:sz w:val="14"/>
    </w:rPr>
  </w:style>
  <w:style w:type="paragraph" w:customStyle="1" w:styleId="HD">
    <w:name w:val="HD"/>
    <w:rsid w:val="004C2C60"/>
    <w:pPr>
      <w:suppressAutoHyphens/>
      <w:spacing w:before="120"/>
      <w:jc w:val="center"/>
    </w:pPr>
    <w:rPr>
      <w:rFonts w:ascii="Helvetica LT Std" w:hAnsi="Helvetica LT Std"/>
      <w:sz w:val="26"/>
      <w:szCs w:val="18"/>
    </w:rPr>
  </w:style>
  <w:style w:type="paragraph" w:customStyle="1" w:styleId="PP">
    <w:name w:val="PP"/>
    <w:rsid w:val="004C2C60"/>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C2C60"/>
    <w:pPr>
      <w:spacing w:before="120" w:after="120"/>
      <w:jc w:val="center"/>
    </w:pPr>
    <w:rPr>
      <w:rFonts w:ascii="Helvetica LT Std" w:hAnsi="Helvetica LT Std"/>
      <w:sz w:val="24"/>
    </w:rPr>
  </w:style>
  <w:style w:type="paragraph" w:customStyle="1" w:styleId="PN">
    <w:name w:val="PN"/>
    <w:rsid w:val="004C2C60"/>
    <w:pPr>
      <w:spacing w:after="240"/>
      <w:ind w:left="720" w:firstLine="288"/>
      <w:jc w:val="both"/>
    </w:pPr>
    <w:rPr>
      <w:rFonts w:ascii="Perpetua Std" w:eastAsia="MS Mincho" w:hAnsi="Perpetua Std"/>
      <w:color w:val="000000"/>
    </w:rPr>
  </w:style>
  <w:style w:type="table" w:styleId="TableGrid">
    <w:name w:val="Table Grid"/>
    <w:basedOn w:val="TableNormal"/>
    <w:rsid w:val="004C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C2C60"/>
    <w:rPr>
      <w:vertAlign w:val="superscript"/>
    </w:rPr>
  </w:style>
  <w:style w:type="paragraph" w:customStyle="1" w:styleId="HA">
    <w:name w:val="HA"/>
    <w:autoRedefine/>
    <w:rsid w:val="004C2C60"/>
    <w:pPr>
      <w:spacing w:after="240"/>
      <w:jc w:val="center"/>
    </w:pPr>
    <w:rPr>
      <w:rFonts w:ascii="Helvetica LT Std" w:hAnsi="Helvetica LT Std"/>
      <w:b/>
      <w:caps/>
      <w:color w:val="000000"/>
      <w:sz w:val="36"/>
      <w:szCs w:val="32"/>
    </w:rPr>
  </w:style>
  <w:style w:type="paragraph" w:customStyle="1" w:styleId="HB">
    <w:name w:val="HB"/>
    <w:rsid w:val="004C2C60"/>
    <w:pPr>
      <w:spacing w:before="120" w:after="240"/>
      <w:jc w:val="center"/>
    </w:pPr>
    <w:rPr>
      <w:rFonts w:ascii="Helvetica LT Std" w:hAnsi="Helvetica LT Std"/>
      <w:b/>
      <w:color w:val="333333"/>
      <w:w w:val="105"/>
      <w:sz w:val="32"/>
    </w:rPr>
  </w:style>
  <w:style w:type="paragraph" w:customStyle="1" w:styleId="HC">
    <w:name w:val="HC"/>
    <w:autoRedefine/>
    <w:rsid w:val="004C2C60"/>
    <w:pPr>
      <w:tabs>
        <w:tab w:val="left" w:pos="284"/>
      </w:tabs>
      <w:spacing w:before="120" w:after="120"/>
      <w:jc w:val="center"/>
    </w:pPr>
    <w:rPr>
      <w:rFonts w:ascii="Helvetica LT Std" w:hAnsi="Helvetica LT Std"/>
      <w:b/>
      <w:color w:val="000000"/>
      <w:w w:val="110"/>
      <w:sz w:val="26"/>
    </w:rPr>
  </w:style>
  <w:style w:type="paragraph" w:customStyle="1" w:styleId="PR">
    <w:name w:val="PR"/>
    <w:rsid w:val="004C2C60"/>
    <w:pPr>
      <w:spacing w:after="240"/>
      <w:ind w:left="360" w:firstLine="288"/>
      <w:jc w:val="both"/>
    </w:pPr>
    <w:rPr>
      <w:rFonts w:ascii="Adobe Caslon Pro" w:hAnsi="Adobe Caslon Pro"/>
      <w:color w:val="000000"/>
      <w:sz w:val="14"/>
    </w:rPr>
  </w:style>
  <w:style w:type="paragraph" w:customStyle="1" w:styleId="PO">
    <w:name w:val="PO"/>
    <w:rsid w:val="004C2C60"/>
    <w:pPr>
      <w:spacing w:after="240"/>
      <w:jc w:val="both"/>
    </w:pPr>
    <w:rPr>
      <w:rFonts w:ascii="Perpetua Std" w:hAnsi="Perpetua Std"/>
      <w:color w:val="000000"/>
      <w:w w:val="95"/>
      <w:szCs w:val="16"/>
    </w:rPr>
  </w:style>
  <w:style w:type="paragraph" w:customStyle="1" w:styleId="GUIDEX">
    <w:name w:val="GUIDEX"/>
    <w:rsid w:val="004C2C60"/>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C2C60"/>
    <w:pPr>
      <w:tabs>
        <w:tab w:val="clear" w:pos="240"/>
        <w:tab w:val="clear" w:pos="480"/>
        <w:tab w:val="clear" w:pos="720"/>
        <w:tab w:val="right" w:pos="4680"/>
      </w:tabs>
    </w:pPr>
  </w:style>
  <w:style w:type="paragraph" w:customStyle="1" w:styleId="PCB">
    <w:name w:val="PCB"/>
    <w:autoRedefine/>
    <w:rsid w:val="004C2C60"/>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4C2C60"/>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C2C60"/>
    <w:rPr>
      <w:rFonts w:ascii="Perpetua Std" w:hAnsi="Perpetua Std"/>
    </w:rPr>
  </w:style>
  <w:style w:type="paragraph" w:styleId="NoSpacing">
    <w:name w:val="No Spacing"/>
    <w:qFormat/>
    <w:rsid w:val="004C2C60"/>
    <w:rPr>
      <w:rFonts w:ascii="Perpetua" w:hAnsi="Perpetua"/>
    </w:rPr>
  </w:style>
  <w:style w:type="paragraph" w:customStyle="1" w:styleId="PCA">
    <w:name w:val="PCA"/>
    <w:rsid w:val="004C2C60"/>
    <w:pPr>
      <w:numPr>
        <w:numId w:val="22"/>
      </w:numPr>
      <w:tabs>
        <w:tab w:val="left" w:pos="720"/>
      </w:tabs>
      <w:spacing w:after="240"/>
      <w:jc w:val="both"/>
    </w:pPr>
    <w:rPr>
      <w:rFonts w:ascii="Perpetua Std" w:hAnsi="Perpetua Std"/>
      <w:sz w:val="24"/>
    </w:rPr>
  </w:style>
  <w:style w:type="paragraph" w:customStyle="1" w:styleId="PHB">
    <w:name w:val="PHB"/>
    <w:rsid w:val="004C2C60"/>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4C2C60"/>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4C2C60"/>
    <w:rPr>
      <w:rFonts w:ascii="Perpetua Std" w:hAnsi="Perpetua Std"/>
    </w:rPr>
  </w:style>
  <w:style w:type="paragraph" w:styleId="Heading1">
    <w:name w:val="heading 1"/>
    <w:basedOn w:val="Normal"/>
    <w:next w:val="Normal"/>
    <w:link w:val="Heading1Char"/>
    <w:qFormat/>
    <w:rsid w:val="004C2C60"/>
    <w:pPr>
      <w:keepNext/>
      <w:outlineLvl w:val="0"/>
    </w:pPr>
    <w:rPr>
      <w:b/>
    </w:rPr>
  </w:style>
  <w:style w:type="paragraph" w:styleId="Heading2">
    <w:name w:val="heading 2"/>
    <w:basedOn w:val="Normal"/>
    <w:next w:val="Normal"/>
    <w:link w:val="Heading2Char"/>
    <w:qFormat/>
    <w:rsid w:val="004C2C60"/>
    <w:pPr>
      <w:keepNext/>
      <w:spacing w:before="240" w:after="60"/>
      <w:outlineLvl w:val="1"/>
    </w:pPr>
    <w:rPr>
      <w:rFonts w:ascii="Arial" w:hAnsi="Arial"/>
      <w:b/>
      <w:i/>
      <w:sz w:val="24"/>
    </w:rPr>
  </w:style>
  <w:style w:type="paragraph" w:styleId="Heading3">
    <w:name w:val="heading 3"/>
    <w:basedOn w:val="Normal"/>
    <w:next w:val="Normal"/>
    <w:link w:val="Heading3Char"/>
    <w:qFormat/>
    <w:rsid w:val="004C2C6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C60"/>
    <w:pPr>
      <w:tabs>
        <w:tab w:val="center" w:pos="4320"/>
        <w:tab w:val="right" w:pos="8640"/>
      </w:tabs>
    </w:pPr>
  </w:style>
  <w:style w:type="paragraph" w:styleId="Header">
    <w:name w:val="header"/>
    <w:basedOn w:val="Normal"/>
    <w:rsid w:val="004C2C60"/>
    <w:pPr>
      <w:tabs>
        <w:tab w:val="center" w:pos="4320"/>
        <w:tab w:val="right" w:pos="8640"/>
      </w:tabs>
    </w:pPr>
  </w:style>
  <w:style w:type="paragraph" w:customStyle="1" w:styleId="Standard">
    <w:name w:val="Standard"/>
    <w:rsid w:val="004C2C60"/>
    <w:pPr>
      <w:spacing w:before="144"/>
      <w:jc w:val="both"/>
    </w:pPr>
    <w:rPr>
      <w:noProof/>
    </w:rPr>
  </w:style>
  <w:style w:type="paragraph" w:customStyle="1" w:styleId="PA">
    <w:name w:val="PA"/>
    <w:next w:val="Normal"/>
    <w:link w:val="PAChar"/>
    <w:rsid w:val="004C2C60"/>
    <w:pPr>
      <w:spacing w:after="240"/>
      <w:ind w:firstLine="288"/>
      <w:jc w:val="both"/>
    </w:pPr>
    <w:rPr>
      <w:rFonts w:ascii="Perpetua Std" w:hAnsi="Perpetua Std"/>
      <w:color w:val="000000"/>
      <w:sz w:val="24"/>
    </w:rPr>
  </w:style>
  <w:style w:type="character" w:customStyle="1" w:styleId="PAChar">
    <w:name w:val="PA Char"/>
    <w:link w:val="PA"/>
    <w:rsid w:val="004C2C60"/>
    <w:rPr>
      <w:rFonts w:ascii="Perpetua Std" w:hAnsi="Perpetua Std"/>
      <w:color w:val="000000"/>
      <w:sz w:val="24"/>
    </w:rPr>
  </w:style>
  <w:style w:type="paragraph" w:customStyle="1" w:styleId="PB">
    <w:name w:val="PB"/>
    <w:rsid w:val="004C2C60"/>
    <w:pPr>
      <w:spacing w:after="240"/>
      <w:jc w:val="both"/>
    </w:pPr>
    <w:rPr>
      <w:rFonts w:ascii="Perpetua Std" w:hAnsi="Perpetua Std"/>
      <w:color w:val="000000"/>
      <w:sz w:val="24"/>
    </w:rPr>
  </w:style>
  <w:style w:type="paragraph" w:customStyle="1" w:styleId="PC">
    <w:name w:val="PC"/>
    <w:rsid w:val="004C2C60"/>
    <w:pPr>
      <w:tabs>
        <w:tab w:val="left" w:pos="720"/>
      </w:tabs>
      <w:spacing w:after="240"/>
      <w:ind w:left="720" w:hanging="360"/>
      <w:jc w:val="both"/>
    </w:pPr>
    <w:rPr>
      <w:rFonts w:ascii="Perpetua Std" w:hAnsi="Perpetua Std"/>
      <w:color w:val="000000"/>
      <w:sz w:val="24"/>
    </w:rPr>
  </w:style>
  <w:style w:type="paragraph" w:customStyle="1" w:styleId="PD">
    <w:name w:val="PD"/>
    <w:rsid w:val="004C2C60"/>
    <w:pPr>
      <w:spacing w:after="240"/>
      <w:ind w:left="720" w:firstLine="288"/>
      <w:jc w:val="both"/>
    </w:pPr>
    <w:rPr>
      <w:rFonts w:ascii="Perpetua Std" w:hAnsi="Perpetua Std"/>
      <w:color w:val="000000"/>
      <w:sz w:val="24"/>
    </w:rPr>
  </w:style>
  <w:style w:type="paragraph" w:customStyle="1" w:styleId="PE">
    <w:name w:val="PE"/>
    <w:rsid w:val="004C2C60"/>
    <w:pPr>
      <w:spacing w:after="240"/>
      <w:ind w:left="720"/>
      <w:jc w:val="both"/>
    </w:pPr>
    <w:rPr>
      <w:rFonts w:ascii="Perpetua Std" w:hAnsi="Perpetua Std"/>
      <w:color w:val="000000"/>
      <w:sz w:val="24"/>
    </w:rPr>
  </w:style>
  <w:style w:type="paragraph" w:customStyle="1" w:styleId="PF">
    <w:name w:val="PF"/>
    <w:rsid w:val="004C2C60"/>
    <w:pPr>
      <w:tabs>
        <w:tab w:val="left" w:pos="1080"/>
      </w:tabs>
      <w:spacing w:after="240"/>
      <w:ind w:left="1080" w:hanging="360"/>
      <w:jc w:val="both"/>
    </w:pPr>
    <w:rPr>
      <w:rFonts w:ascii="Perpetua Std" w:hAnsi="Perpetua Std"/>
      <w:color w:val="000000"/>
      <w:sz w:val="24"/>
    </w:rPr>
  </w:style>
  <w:style w:type="paragraph" w:customStyle="1" w:styleId="PG">
    <w:name w:val="PG"/>
    <w:rsid w:val="004C2C60"/>
    <w:pPr>
      <w:spacing w:after="240"/>
      <w:ind w:left="360"/>
      <w:jc w:val="both"/>
    </w:pPr>
    <w:rPr>
      <w:rFonts w:ascii="Perpetua Std" w:hAnsi="Perpetua Std"/>
      <w:color w:val="000000"/>
      <w:sz w:val="24"/>
    </w:rPr>
  </w:style>
  <w:style w:type="paragraph" w:customStyle="1" w:styleId="PH">
    <w:name w:val="PH"/>
    <w:rsid w:val="004C2C60"/>
    <w:pPr>
      <w:tabs>
        <w:tab w:val="left" w:pos="360"/>
      </w:tabs>
      <w:spacing w:after="240"/>
      <w:ind w:left="360" w:hanging="360"/>
      <w:jc w:val="both"/>
    </w:pPr>
    <w:rPr>
      <w:rFonts w:ascii="Perpetua Std" w:hAnsi="Perpetua Std"/>
      <w:color w:val="000000"/>
      <w:sz w:val="24"/>
    </w:rPr>
  </w:style>
  <w:style w:type="paragraph" w:customStyle="1" w:styleId="PI">
    <w:name w:val="PI"/>
    <w:rsid w:val="004C2C60"/>
    <w:pPr>
      <w:spacing w:after="240"/>
      <w:ind w:left="360" w:hanging="360"/>
      <w:jc w:val="both"/>
    </w:pPr>
    <w:rPr>
      <w:rFonts w:ascii="Perpetua Std" w:hAnsi="Perpetua Std"/>
      <w:color w:val="000000"/>
      <w:sz w:val="24"/>
    </w:rPr>
  </w:style>
  <w:style w:type="paragraph" w:customStyle="1" w:styleId="PK">
    <w:name w:val="PK"/>
    <w:rsid w:val="004C2C60"/>
    <w:pPr>
      <w:spacing w:after="240"/>
      <w:ind w:left="360" w:firstLine="288"/>
      <w:jc w:val="both"/>
    </w:pPr>
    <w:rPr>
      <w:rFonts w:ascii="Perpetua Std" w:hAnsi="Perpetua Std"/>
      <w:color w:val="000000"/>
      <w:sz w:val="24"/>
    </w:rPr>
  </w:style>
  <w:style w:type="paragraph" w:customStyle="1" w:styleId="PL">
    <w:name w:val="PL"/>
    <w:rsid w:val="004C2C60"/>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4C2C60"/>
    <w:pPr>
      <w:spacing w:after="240"/>
      <w:ind w:left="432" w:right="432" w:firstLine="432"/>
      <w:jc w:val="both"/>
    </w:pPr>
    <w:rPr>
      <w:rFonts w:ascii="Minion Pro" w:hAnsi="Minion Pro"/>
    </w:rPr>
  </w:style>
  <w:style w:type="paragraph" w:customStyle="1" w:styleId="TOC">
    <w:name w:val="TOC"/>
    <w:autoRedefine/>
    <w:rsid w:val="004C2C60"/>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4C2C60"/>
    <w:pPr>
      <w:tabs>
        <w:tab w:val="clear" w:pos="1440"/>
        <w:tab w:val="clear" w:pos="8640"/>
        <w:tab w:val="left" w:pos="240"/>
        <w:tab w:val="left" w:pos="480"/>
        <w:tab w:val="right" w:leader="dot" w:pos="4680"/>
      </w:tabs>
      <w:ind w:left="0" w:firstLine="0"/>
    </w:pPr>
    <w:rPr>
      <w:sz w:val="22"/>
    </w:rPr>
  </w:style>
  <w:style w:type="paragraph" w:customStyle="1" w:styleId="QU">
    <w:name w:val="QU"/>
    <w:rsid w:val="004C2C60"/>
    <w:pPr>
      <w:spacing w:after="240"/>
      <w:jc w:val="both"/>
    </w:pPr>
    <w:rPr>
      <w:rFonts w:ascii="Helvetica LT Std" w:hAnsi="Helvetica LT Std"/>
      <w:b/>
      <w:color w:val="000000"/>
      <w:sz w:val="26"/>
    </w:rPr>
  </w:style>
  <w:style w:type="paragraph" w:customStyle="1" w:styleId="PQ">
    <w:name w:val="PQ"/>
    <w:link w:val="PQChar"/>
    <w:rsid w:val="004C2C60"/>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4C2C60"/>
    <w:rPr>
      <w:rFonts w:ascii="Adobe Caslon Pro" w:hAnsi="Adobe Caslon Pro"/>
      <w:color w:val="000000"/>
      <w:sz w:val="14"/>
    </w:rPr>
  </w:style>
  <w:style w:type="paragraph" w:customStyle="1" w:styleId="HD">
    <w:name w:val="HD"/>
    <w:rsid w:val="004C2C60"/>
    <w:pPr>
      <w:suppressAutoHyphens/>
      <w:spacing w:before="120"/>
      <w:jc w:val="center"/>
    </w:pPr>
    <w:rPr>
      <w:rFonts w:ascii="Helvetica LT Std" w:hAnsi="Helvetica LT Std"/>
      <w:sz w:val="26"/>
      <w:szCs w:val="18"/>
    </w:rPr>
  </w:style>
  <w:style w:type="paragraph" w:customStyle="1" w:styleId="PP">
    <w:name w:val="PP"/>
    <w:rsid w:val="004C2C60"/>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4C2C60"/>
    <w:pPr>
      <w:spacing w:before="120" w:after="120"/>
      <w:jc w:val="center"/>
    </w:pPr>
    <w:rPr>
      <w:rFonts w:ascii="Helvetica LT Std" w:hAnsi="Helvetica LT Std"/>
      <w:sz w:val="24"/>
    </w:rPr>
  </w:style>
  <w:style w:type="paragraph" w:customStyle="1" w:styleId="PN">
    <w:name w:val="PN"/>
    <w:rsid w:val="004C2C60"/>
    <w:pPr>
      <w:spacing w:after="240"/>
      <w:ind w:left="720" w:firstLine="288"/>
      <w:jc w:val="both"/>
    </w:pPr>
    <w:rPr>
      <w:rFonts w:ascii="Perpetua Std" w:eastAsia="MS Mincho" w:hAnsi="Perpetua Std"/>
      <w:color w:val="000000"/>
    </w:rPr>
  </w:style>
  <w:style w:type="table" w:styleId="TableGrid">
    <w:name w:val="Table Grid"/>
    <w:basedOn w:val="TableNormal"/>
    <w:rsid w:val="004C2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4C2C60"/>
    <w:rPr>
      <w:vertAlign w:val="superscript"/>
    </w:rPr>
  </w:style>
  <w:style w:type="paragraph" w:customStyle="1" w:styleId="HA">
    <w:name w:val="HA"/>
    <w:autoRedefine/>
    <w:rsid w:val="004C2C60"/>
    <w:pPr>
      <w:spacing w:after="240"/>
      <w:jc w:val="center"/>
    </w:pPr>
    <w:rPr>
      <w:rFonts w:ascii="Helvetica LT Std" w:hAnsi="Helvetica LT Std"/>
      <w:b/>
      <w:caps/>
      <w:color w:val="000000"/>
      <w:sz w:val="36"/>
      <w:szCs w:val="32"/>
    </w:rPr>
  </w:style>
  <w:style w:type="paragraph" w:customStyle="1" w:styleId="HB">
    <w:name w:val="HB"/>
    <w:rsid w:val="004C2C60"/>
    <w:pPr>
      <w:spacing w:before="120" w:after="240"/>
      <w:jc w:val="center"/>
    </w:pPr>
    <w:rPr>
      <w:rFonts w:ascii="Helvetica LT Std" w:hAnsi="Helvetica LT Std"/>
      <w:b/>
      <w:color w:val="333333"/>
      <w:w w:val="105"/>
      <w:sz w:val="32"/>
    </w:rPr>
  </w:style>
  <w:style w:type="paragraph" w:customStyle="1" w:styleId="HC">
    <w:name w:val="HC"/>
    <w:autoRedefine/>
    <w:rsid w:val="004C2C60"/>
    <w:pPr>
      <w:tabs>
        <w:tab w:val="left" w:pos="284"/>
      </w:tabs>
      <w:spacing w:before="120" w:after="120"/>
      <w:jc w:val="center"/>
    </w:pPr>
    <w:rPr>
      <w:rFonts w:ascii="Helvetica LT Std" w:hAnsi="Helvetica LT Std"/>
      <w:b/>
      <w:color w:val="000000"/>
      <w:w w:val="110"/>
      <w:sz w:val="26"/>
    </w:rPr>
  </w:style>
  <w:style w:type="paragraph" w:customStyle="1" w:styleId="PR">
    <w:name w:val="PR"/>
    <w:rsid w:val="004C2C60"/>
    <w:pPr>
      <w:spacing w:after="240"/>
      <w:ind w:left="360" w:firstLine="288"/>
      <w:jc w:val="both"/>
    </w:pPr>
    <w:rPr>
      <w:rFonts w:ascii="Adobe Caslon Pro" w:hAnsi="Adobe Caslon Pro"/>
      <w:color w:val="000000"/>
      <w:sz w:val="14"/>
    </w:rPr>
  </w:style>
  <w:style w:type="paragraph" w:customStyle="1" w:styleId="PO">
    <w:name w:val="PO"/>
    <w:rsid w:val="004C2C60"/>
    <w:pPr>
      <w:spacing w:after="240"/>
      <w:jc w:val="both"/>
    </w:pPr>
    <w:rPr>
      <w:rFonts w:ascii="Perpetua Std" w:hAnsi="Perpetua Std"/>
      <w:color w:val="000000"/>
      <w:w w:val="95"/>
      <w:szCs w:val="16"/>
    </w:rPr>
  </w:style>
  <w:style w:type="paragraph" w:customStyle="1" w:styleId="GUIDEX">
    <w:name w:val="GUIDEX"/>
    <w:rsid w:val="004C2C60"/>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4C2C60"/>
    <w:pPr>
      <w:tabs>
        <w:tab w:val="clear" w:pos="240"/>
        <w:tab w:val="clear" w:pos="480"/>
        <w:tab w:val="clear" w:pos="720"/>
        <w:tab w:val="right" w:pos="4680"/>
      </w:tabs>
    </w:pPr>
  </w:style>
  <w:style w:type="paragraph" w:customStyle="1" w:styleId="PCB">
    <w:name w:val="PCB"/>
    <w:autoRedefine/>
    <w:rsid w:val="004C2C60"/>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4C2C60"/>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4C2C60"/>
    <w:rPr>
      <w:rFonts w:ascii="Perpetua Std" w:hAnsi="Perpetua Std"/>
    </w:rPr>
  </w:style>
  <w:style w:type="paragraph" w:styleId="NoSpacing">
    <w:name w:val="No Spacing"/>
    <w:qFormat/>
    <w:rsid w:val="004C2C60"/>
    <w:rPr>
      <w:rFonts w:ascii="Perpetua" w:hAnsi="Perpetua"/>
    </w:rPr>
  </w:style>
  <w:style w:type="paragraph" w:customStyle="1" w:styleId="PCA">
    <w:name w:val="PCA"/>
    <w:rsid w:val="004C2C60"/>
    <w:pPr>
      <w:numPr>
        <w:numId w:val="22"/>
      </w:numPr>
      <w:tabs>
        <w:tab w:val="left" w:pos="720"/>
      </w:tabs>
      <w:spacing w:after="240"/>
      <w:jc w:val="both"/>
    </w:pPr>
    <w:rPr>
      <w:rFonts w:ascii="Perpetua Std" w:hAnsi="Perpetua Std"/>
      <w:sz w:val="24"/>
    </w:rPr>
  </w:style>
  <w:style w:type="paragraph" w:customStyle="1" w:styleId="PHB">
    <w:name w:val="PHB"/>
    <w:rsid w:val="004C2C60"/>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4C2C60"/>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8581. Is a taxpayer who suffers an involuntary conversion required to replace the converted property within a certain period of time in order to qualify for nonrecognition treatment?</vt:lpstr>
    </vt:vector>
  </TitlesOfParts>
  <Company>National Underwriter</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8581. Is a taxpayer who suffers an involuntary conversion required to replace the converted property within a certain period of time in order to qualify for nonrecognition treatment?</dc:title>
  <dc:creator>cjump</dc:creator>
  <cp:lastModifiedBy>rcline</cp:lastModifiedBy>
  <cp:revision>2</cp:revision>
  <dcterms:created xsi:type="dcterms:W3CDTF">2014-08-21T15:22:00Z</dcterms:created>
  <dcterms:modified xsi:type="dcterms:W3CDTF">2014-08-21T15:22:00Z</dcterms:modified>
</cp:coreProperties>
</file>