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23" w:rsidRDefault="00942623" w:rsidP="00351992">
      <w:pPr>
        <w:pStyle w:val="PA"/>
      </w:pPr>
    </w:p>
    <w:p w:rsidR="00942623" w:rsidRPr="00942623" w:rsidRDefault="00316F1A" w:rsidP="00351992">
      <w:pPr>
        <w:pStyle w:val="PA"/>
        <w:rPr>
          <w:b/>
          <w:color w:val="auto"/>
        </w:rPr>
      </w:pPr>
      <w:r>
        <w:rPr>
          <w:b/>
          <w:color w:val="auto"/>
        </w:rPr>
        <w:t xml:space="preserve">8579.  What are the tax consequences of </w:t>
      </w:r>
      <w:r w:rsidR="00942623" w:rsidRPr="00942623">
        <w:rPr>
          <w:b/>
          <w:color w:val="auto"/>
        </w:rPr>
        <w:t>an involuntary conversion?</w:t>
      </w:r>
    </w:p>
    <w:p w:rsidR="00351992" w:rsidRDefault="00351992" w:rsidP="00351992">
      <w:pPr>
        <w:pStyle w:val="PA"/>
        <w:rPr>
          <w:b/>
        </w:rPr>
      </w:pPr>
      <w:r w:rsidRPr="00573086">
        <w:t xml:space="preserve">IRC Section 1033 applies to cases where property is compulsorily or involuntarily converted. </w:t>
      </w:r>
      <w:r>
        <w:t>This provision recognizes that a taxpayer who has suffered an involuntary conversion has experienced an economic hardship and may not have the ability to pay taxes on any gain resulting from the conversion.</w:t>
      </w:r>
      <w:r w:rsidR="00B4630A">
        <w:t xml:space="preserve"> </w:t>
      </w:r>
      <w:r w:rsidR="002C1506">
        <w:t xml:space="preserve">This is because any proceeds in excess of the taxpayer’s basis in the converted property would generate taxable gain.  Thus, IRC Section 1033 </w:t>
      </w:r>
      <w:r>
        <w:t>postpone</w:t>
      </w:r>
      <w:r w:rsidR="002C1506">
        <w:t>s</w:t>
      </w:r>
      <w:r>
        <w:t xml:space="preserve"> recognition of the gain to the extent </w:t>
      </w:r>
      <w:r w:rsidR="002C1506">
        <w:t xml:space="preserve">the proceeds </w:t>
      </w:r>
      <w:r>
        <w:t xml:space="preserve">obtained in the conversion, whether through insurance or otherwise, </w:t>
      </w:r>
      <w:r w:rsidR="002C1506">
        <w:t xml:space="preserve">is reinvested </w:t>
      </w:r>
      <w:r>
        <w:t xml:space="preserve">in replacement property (see Q </w:t>
      </w:r>
      <w:r w:rsidR="00A45F04">
        <w:t>85</w:t>
      </w:r>
      <w:r>
        <w:t>80).</w:t>
      </w:r>
      <w:r>
        <w:rPr>
          <w:rStyle w:val="FootnoteReference"/>
          <w:color w:val="auto"/>
        </w:rPr>
        <w:footnoteReference w:id="1"/>
      </w:r>
      <w:r w:rsidR="00B4630A">
        <w:t xml:space="preserve"> </w:t>
      </w:r>
    </w:p>
    <w:p w:rsidR="00351992" w:rsidRDefault="00351992" w:rsidP="00351992">
      <w:pPr>
        <w:pStyle w:val="PA"/>
      </w:pPr>
      <w:r w:rsidRPr="00573086">
        <w:t xml:space="preserve">An "involuntary conversion" may be the result of the destruction of property </w:t>
      </w:r>
      <w:r>
        <w:t xml:space="preserve">(whether </w:t>
      </w:r>
      <w:r w:rsidRPr="00573086">
        <w:t>in whole or in part</w:t>
      </w:r>
      <w:r w:rsidR="00DF6CDE">
        <w:t xml:space="preserve">, </w:t>
      </w:r>
      <w:r>
        <w:t xml:space="preserve">see Q </w:t>
      </w:r>
      <w:r w:rsidR="00A45F04">
        <w:t>85</w:t>
      </w:r>
      <w:r>
        <w:t>82 for a discussion of partial conversions)</w:t>
      </w:r>
      <w:r w:rsidRPr="00573086">
        <w:t xml:space="preserve">, the theft of property, the seizure of property, the requisition or condemnation of property, or the threat or imminence of requisition or condemnation. </w:t>
      </w:r>
    </w:p>
    <w:p w:rsidR="002C1506" w:rsidRPr="002C1506" w:rsidRDefault="002C1506" w:rsidP="002C1506">
      <w:pPr>
        <w:rPr>
          <w:sz w:val="24"/>
          <w:szCs w:val="24"/>
        </w:rPr>
      </w:pPr>
      <w:r>
        <w:t xml:space="preserve">   </w:t>
      </w:r>
      <w:r w:rsidRPr="002C1506">
        <w:rPr>
          <w:sz w:val="24"/>
          <w:szCs w:val="24"/>
        </w:rPr>
        <w:t>On the other hand, he taxpayer is required to recognize any gain that exceeds the amounts reinvested in replacement property following the involuntary conversion.</w:t>
      </w:r>
      <w:r w:rsidRPr="002C1506">
        <w:rPr>
          <w:rStyle w:val="FootnoteReference"/>
          <w:sz w:val="24"/>
          <w:szCs w:val="24"/>
        </w:rPr>
        <w:footnoteReference w:id="2"/>
      </w:r>
    </w:p>
    <w:p w:rsidR="002C1506" w:rsidRPr="002C1506" w:rsidRDefault="002C1506" w:rsidP="002C1506"/>
    <w:p w:rsidR="00351992" w:rsidRPr="009A3CAE" w:rsidRDefault="00351992" w:rsidP="009A3CAE">
      <w:pPr>
        <w:pStyle w:val="PN"/>
        <w:ind w:left="0"/>
        <w:rPr>
          <w:b/>
          <w:sz w:val="24"/>
          <w:szCs w:val="24"/>
        </w:rPr>
      </w:pPr>
      <w:r w:rsidRPr="009A3CAE">
        <w:rPr>
          <w:i/>
          <w:sz w:val="24"/>
          <w:szCs w:val="24"/>
        </w:rPr>
        <w:t>Example</w:t>
      </w:r>
      <w:r w:rsidRPr="009A3CAE">
        <w:rPr>
          <w:sz w:val="24"/>
          <w:szCs w:val="24"/>
        </w:rPr>
        <w:t xml:space="preserve">: Patrick received $500,000 in insurance proceeds when his </w:t>
      </w:r>
      <w:r w:rsidR="009A3CAE">
        <w:rPr>
          <w:sz w:val="24"/>
          <w:szCs w:val="24"/>
        </w:rPr>
        <w:t xml:space="preserve">warehouse with an adjusted basis of $100,000 </w:t>
      </w:r>
      <w:r w:rsidRPr="009A3CAE">
        <w:rPr>
          <w:sz w:val="24"/>
          <w:szCs w:val="24"/>
        </w:rPr>
        <w:t>was destroyed in a hurricane.</w:t>
      </w:r>
      <w:r w:rsidR="00B4630A" w:rsidRPr="009A3CAE">
        <w:rPr>
          <w:sz w:val="24"/>
          <w:szCs w:val="24"/>
        </w:rPr>
        <w:t xml:space="preserve"> </w:t>
      </w:r>
      <w:r w:rsidR="009A3CAE">
        <w:rPr>
          <w:sz w:val="24"/>
          <w:szCs w:val="24"/>
        </w:rPr>
        <w:t>If Patrick decided to retire and keep the insurance proceeds, he would have a gain of $400,000 (it is as if he sold the warehouse to the insurance company for $500,000</w:t>
      </w:r>
      <w:proofErr w:type="gramStart"/>
      <w:r w:rsidR="009A3CAE">
        <w:rPr>
          <w:sz w:val="24"/>
          <w:szCs w:val="24"/>
        </w:rPr>
        <w:t>)  However</w:t>
      </w:r>
      <w:proofErr w:type="gramEnd"/>
      <w:r w:rsidR="009A3CAE">
        <w:rPr>
          <w:sz w:val="24"/>
          <w:szCs w:val="24"/>
        </w:rPr>
        <w:t>,</w:t>
      </w:r>
      <w:r w:rsidR="007F393A">
        <w:rPr>
          <w:sz w:val="24"/>
          <w:szCs w:val="24"/>
        </w:rPr>
        <w:t xml:space="preserve"> in</w:t>
      </w:r>
      <w:r w:rsidR="009A3CAE">
        <w:rPr>
          <w:sz w:val="24"/>
          <w:szCs w:val="24"/>
        </w:rPr>
        <w:t xml:space="preserve"> </w:t>
      </w:r>
      <w:r w:rsidRPr="009A3CAE">
        <w:rPr>
          <w:sz w:val="24"/>
          <w:szCs w:val="24"/>
        </w:rPr>
        <w:t xml:space="preserve">evaluating his financial situation, Patrick decides </w:t>
      </w:r>
      <w:r w:rsidR="009A3CAE">
        <w:rPr>
          <w:sz w:val="24"/>
          <w:szCs w:val="24"/>
        </w:rPr>
        <w:t>to dow</w:t>
      </w:r>
      <w:r w:rsidR="007F393A">
        <w:rPr>
          <w:sz w:val="24"/>
          <w:szCs w:val="24"/>
        </w:rPr>
        <w:t>nsize his business and purchase</w:t>
      </w:r>
      <w:bookmarkStart w:id="0" w:name="_GoBack"/>
      <w:bookmarkEnd w:id="0"/>
      <w:r w:rsidR="009A3CAE">
        <w:rPr>
          <w:sz w:val="24"/>
          <w:szCs w:val="24"/>
        </w:rPr>
        <w:t xml:space="preserve"> a new warehouse for </w:t>
      </w:r>
      <w:r w:rsidRPr="009A3CAE">
        <w:rPr>
          <w:sz w:val="24"/>
          <w:szCs w:val="24"/>
        </w:rPr>
        <w:t>$350,000</w:t>
      </w:r>
      <w:r w:rsidR="009A3CAE">
        <w:rPr>
          <w:sz w:val="24"/>
          <w:szCs w:val="24"/>
        </w:rPr>
        <w:t>.  Beca</w:t>
      </w:r>
      <w:r w:rsidRPr="009A3CAE">
        <w:rPr>
          <w:sz w:val="24"/>
          <w:szCs w:val="24"/>
        </w:rPr>
        <w:t xml:space="preserve">use Patrick reinvested $150,000 </w:t>
      </w:r>
      <w:r w:rsidRPr="009A3CAE">
        <w:rPr>
          <w:i/>
          <w:sz w:val="24"/>
          <w:szCs w:val="24"/>
        </w:rPr>
        <w:t>less</w:t>
      </w:r>
      <w:r w:rsidRPr="009A3CAE">
        <w:rPr>
          <w:sz w:val="24"/>
          <w:szCs w:val="24"/>
        </w:rPr>
        <w:t xml:space="preserve"> than he actually received, he must recognize </w:t>
      </w:r>
      <w:r w:rsidR="009A3CAE">
        <w:rPr>
          <w:sz w:val="24"/>
          <w:szCs w:val="24"/>
        </w:rPr>
        <w:t>$150,000 of the $400,000 gain.</w:t>
      </w:r>
    </w:p>
    <w:p w:rsidR="00351992" w:rsidRPr="00842E39" w:rsidRDefault="00351992" w:rsidP="00351992">
      <w:pPr>
        <w:pStyle w:val="PP"/>
      </w:pPr>
      <w:r w:rsidRPr="00842E39">
        <w:rPr>
          <w:b/>
        </w:rPr>
        <w:t>Planning Point:</w:t>
      </w:r>
      <w:r w:rsidRPr="00842E39">
        <w:t xml:space="preserve"> All the details of an involuntary conversion of property at a gain (including information about the replacement of the converted property, a decision not to replace it, or the expiration of the period for replacement) must be reported in the return for the year or years in which any of the gain is realized.</w:t>
      </w:r>
      <w:r w:rsidRPr="00842E39">
        <w:rPr>
          <w:rStyle w:val="FootnoteReference"/>
        </w:rPr>
        <w:footnoteReference w:id="3"/>
      </w:r>
    </w:p>
    <w:p w:rsidR="00351992" w:rsidRDefault="00351992" w:rsidP="00351992">
      <w:pPr>
        <w:pStyle w:val="PA"/>
      </w:pPr>
      <w:r w:rsidRPr="00573086">
        <w:t>Section 1033 appl</w:t>
      </w:r>
      <w:r>
        <w:t>ies only with respect to gains.</w:t>
      </w:r>
      <w:r w:rsidR="00B4630A">
        <w:t xml:space="preserve"> </w:t>
      </w:r>
      <w:r>
        <w:t>If a taxpayer experiences a loss as a result of an involuntary conversion, Section 1033 is inapplicable and the loss</w:t>
      </w:r>
      <w:r w:rsidRPr="00573086">
        <w:t xml:space="preserve"> </w:t>
      </w:r>
      <w:r>
        <w:t>is</w:t>
      </w:r>
      <w:r w:rsidRPr="00573086">
        <w:t xml:space="preserve"> recognized or not recognized</w:t>
      </w:r>
      <w:r>
        <w:t xml:space="preserve"> in accordance with the general rules applicable to loss recognition</w:t>
      </w:r>
      <w:r w:rsidRPr="00573086">
        <w:t>.</w:t>
      </w:r>
      <w:r w:rsidR="00B4630A">
        <w:t xml:space="preserve"> </w:t>
      </w:r>
      <w:r>
        <w:t xml:space="preserve">See, for example, </w:t>
      </w:r>
      <w:r w:rsidR="00B20BFA">
        <w:t>Q</w:t>
      </w:r>
      <w:r w:rsidR="00A45F04">
        <w:t xml:space="preserve"> </w:t>
      </w:r>
      <w:r w:rsidR="00B20BFA">
        <w:t>861</w:t>
      </w:r>
      <w:r w:rsidR="00315CF7">
        <w:t>7</w:t>
      </w:r>
      <w:r>
        <w:t xml:space="preserve"> </w:t>
      </w:r>
      <w:r w:rsidR="002F78CA">
        <w:t>to</w:t>
      </w:r>
      <w:r>
        <w:t xml:space="preserve"> Q </w:t>
      </w:r>
      <w:r w:rsidR="00A45F04">
        <w:t>862</w:t>
      </w:r>
      <w:r w:rsidR="00315CF7">
        <w:t>8</w:t>
      </w:r>
      <w:r w:rsidR="002F78CA">
        <w:t>,</w:t>
      </w:r>
      <w:r>
        <w:t xml:space="preserve"> which explain the rules applicable when a taxpayer has experienced a casualty loss.</w:t>
      </w:r>
    </w:p>
    <w:p w:rsidR="0070317D" w:rsidRPr="0070317D" w:rsidRDefault="0070317D" w:rsidP="0070317D"/>
    <w:sectPr w:rsidR="0070317D" w:rsidRPr="0070317D" w:rsidSect="005354E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66" w:rsidRDefault="00EF2B66">
      <w:r>
        <w:separator/>
      </w:r>
    </w:p>
  </w:endnote>
  <w:endnote w:type="continuationSeparator" w:id="0">
    <w:p w:rsidR="00EF2B66" w:rsidRDefault="00EF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66" w:rsidRDefault="00EF2B66">
      <w:r>
        <w:separator/>
      </w:r>
    </w:p>
  </w:footnote>
  <w:footnote w:type="continuationSeparator" w:id="0">
    <w:p w:rsidR="00EF2B66" w:rsidRDefault="00EF2B66">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1033(a</w:t>
      </w:r>
      <w:proofErr w:type="gramEnd"/>
      <w:r w:rsidRPr="00B4630A">
        <w:t>).</w:t>
      </w:r>
    </w:p>
  </w:footnote>
  <w:footnote w:id="2">
    <w:p w:rsidR="002C1506" w:rsidRPr="00B4630A" w:rsidRDefault="002C1506" w:rsidP="002C1506">
      <w:pPr>
        <w:pStyle w:val="PQ"/>
      </w:pPr>
      <w:r w:rsidRPr="00B4630A">
        <w:rPr>
          <w:rStyle w:val="FootnoteReference"/>
          <w:vertAlign w:val="baseline"/>
        </w:rPr>
        <w:footnoteRef/>
      </w:r>
      <w:r w:rsidRPr="00B4630A">
        <w:t>.</w:t>
      </w:r>
      <w:r w:rsidRPr="00B4630A">
        <w:tab/>
        <w:t>IRC Sec. 1033(a</w:t>
      </w:r>
      <w:proofErr w:type="gramStart"/>
      <w:r w:rsidRPr="00B4630A">
        <w:t>)(</w:t>
      </w:r>
      <w:proofErr w:type="gramEnd"/>
      <w:r w:rsidRPr="00B4630A">
        <w:t>2).</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Treas. Reg. §1.1033(a)-2(c</w:t>
      </w:r>
      <w:proofErr w:type="gramStart"/>
      <w:r w:rsidRPr="00B4630A">
        <w:t>)(</w:t>
      </w:r>
      <w:proofErr w:type="gramEnd"/>
      <w:r w:rsidRPr="00B4630A">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59DF"/>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53B"/>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5B5"/>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506"/>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CF7"/>
    <w:rsid w:val="00315E34"/>
    <w:rsid w:val="00316064"/>
    <w:rsid w:val="0031607B"/>
    <w:rsid w:val="003160E0"/>
    <w:rsid w:val="0031658C"/>
    <w:rsid w:val="003166FD"/>
    <w:rsid w:val="00316CF3"/>
    <w:rsid w:val="00316D5F"/>
    <w:rsid w:val="00316D94"/>
    <w:rsid w:val="00316F1A"/>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312"/>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B5F"/>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3B78"/>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0C"/>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4EF"/>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17D"/>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65D"/>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17E"/>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93A"/>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3BFA"/>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44A"/>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623"/>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1D"/>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CAE"/>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5F04"/>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596B"/>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BFA"/>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CDE"/>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66"/>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307"/>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89"/>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15CF7"/>
    <w:rPr>
      <w:rFonts w:ascii="Perpetua Std" w:hAnsi="Perpetua Std"/>
    </w:rPr>
  </w:style>
  <w:style w:type="paragraph" w:styleId="Heading1">
    <w:name w:val="heading 1"/>
    <w:basedOn w:val="Normal"/>
    <w:next w:val="Normal"/>
    <w:link w:val="Heading1Char"/>
    <w:qFormat/>
    <w:rsid w:val="00315CF7"/>
    <w:pPr>
      <w:keepNext/>
      <w:outlineLvl w:val="0"/>
    </w:pPr>
    <w:rPr>
      <w:b/>
    </w:rPr>
  </w:style>
  <w:style w:type="paragraph" w:styleId="Heading2">
    <w:name w:val="heading 2"/>
    <w:basedOn w:val="Normal"/>
    <w:next w:val="Normal"/>
    <w:link w:val="Heading2Char"/>
    <w:qFormat/>
    <w:rsid w:val="00315CF7"/>
    <w:pPr>
      <w:keepNext/>
      <w:spacing w:before="240" w:after="60"/>
      <w:outlineLvl w:val="1"/>
    </w:pPr>
    <w:rPr>
      <w:rFonts w:ascii="Arial" w:hAnsi="Arial"/>
      <w:b/>
      <w:i/>
      <w:sz w:val="24"/>
    </w:rPr>
  </w:style>
  <w:style w:type="paragraph" w:styleId="Heading3">
    <w:name w:val="heading 3"/>
    <w:basedOn w:val="Normal"/>
    <w:next w:val="Normal"/>
    <w:link w:val="Heading3Char"/>
    <w:qFormat/>
    <w:rsid w:val="00315CF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CF7"/>
    <w:pPr>
      <w:tabs>
        <w:tab w:val="center" w:pos="4320"/>
        <w:tab w:val="right" w:pos="8640"/>
      </w:tabs>
    </w:pPr>
  </w:style>
  <w:style w:type="paragraph" w:styleId="Header">
    <w:name w:val="header"/>
    <w:basedOn w:val="Normal"/>
    <w:rsid w:val="00315CF7"/>
    <w:pPr>
      <w:tabs>
        <w:tab w:val="center" w:pos="4320"/>
        <w:tab w:val="right" w:pos="8640"/>
      </w:tabs>
    </w:pPr>
  </w:style>
  <w:style w:type="paragraph" w:customStyle="1" w:styleId="Standard">
    <w:name w:val="Standard"/>
    <w:rsid w:val="00315CF7"/>
    <w:pPr>
      <w:spacing w:before="144"/>
      <w:jc w:val="both"/>
    </w:pPr>
    <w:rPr>
      <w:noProof/>
    </w:rPr>
  </w:style>
  <w:style w:type="paragraph" w:customStyle="1" w:styleId="PA">
    <w:name w:val="PA"/>
    <w:next w:val="Normal"/>
    <w:link w:val="PAChar"/>
    <w:rsid w:val="00315CF7"/>
    <w:pPr>
      <w:spacing w:after="240"/>
      <w:ind w:firstLine="288"/>
      <w:jc w:val="both"/>
    </w:pPr>
    <w:rPr>
      <w:rFonts w:ascii="Perpetua Std" w:hAnsi="Perpetua Std"/>
      <w:color w:val="000000"/>
      <w:sz w:val="24"/>
    </w:rPr>
  </w:style>
  <w:style w:type="character" w:customStyle="1" w:styleId="PAChar">
    <w:name w:val="PA Char"/>
    <w:link w:val="PA"/>
    <w:rsid w:val="00315CF7"/>
    <w:rPr>
      <w:rFonts w:ascii="Perpetua Std" w:hAnsi="Perpetua Std"/>
      <w:color w:val="000000"/>
      <w:sz w:val="24"/>
    </w:rPr>
  </w:style>
  <w:style w:type="paragraph" w:customStyle="1" w:styleId="PB">
    <w:name w:val="PB"/>
    <w:rsid w:val="00315CF7"/>
    <w:pPr>
      <w:spacing w:after="240"/>
      <w:jc w:val="both"/>
    </w:pPr>
    <w:rPr>
      <w:rFonts w:ascii="Perpetua Std" w:hAnsi="Perpetua Std"/>
      <w:color w:val="000000"/>
      <w:sz w:val="24"/>
    </w:rPr>
  </w:style>
  <w:style w:type="paragraph" w:customStyle="1" w:styleId="PC">
    <w:name w:val="PC"/>
    <w:rsid w:val="00315CF7"/>
    <w:pPr>
      <w:tabs>
        <w:tab w:val="left" w:pos="720"/>
      </w:tabs>
      <w:spacing w:after="240"/>
      <w:ind w:left="720" w:hanging="360"/>
      <w:jc w:val="both"/>
    </w:pPr>
    <w:rPr>
      <w:rFonts w:ascii="Perpetua Std" w:hAnsi="Perpetua Std"/>
      <w:color w:val="000000"/>
      <w:sz w:val="24"/>
    </w:rPr>
  </w:style>
  <w:style w:type="paragraph" w:customStyle="1" w:styleId="PD">
    <w:name w:val="PD"/>
    <w:rsid w:val="00315CF7"/>
    <w:pPr>
      <w:spacing w:after="240"/>
      <w:ind w:left="720" w:firstLine="288"/>
      <w:jc w:val="both"/>
    </w:pPr>
    <w:rPr>
      <w:rFonts w:ascii="Perpetua Std" w:hAnsi="Perpetua Std"/>
      <w:color w:val="000000"/>
      <w:sz w:val="24"/>
    </w:rPr>
  </w:style>
  <w:style w:type="paragraph" w:customStyle="1" w:styleId="PE">
    <w:name w:val="PE"/>
    <w:rsid w:val="00315CF7"/>
    <w:pPr>
      <w:spacing w:after="240"/>
      <w:ind w:left="720"/>
      <w:jc w:val="both"/>
    </w:pPr>
    <w:rPr>
      <w:rFonts w:ascii="Perpetua Std" w:hAnsi="Perpetua Std"/>
      <w:color w:val="000000"/>
      <w:sz w:val="24"/>
    </w:rPr>
  </w:style>
  <w:style w:type="paragraph" w:customStyle="1" w:styleId="PF">
    <w:name w:val="PF"/>
    <w:rsid w:val="00315CF7"/>
    <w:pPr>
      <w:tabs>
        <w:tab w:val="left" w:pos="1080"/>
      </w:tabs>
      <w:spacing w:after="240"/>
      <w:ind w:left="1080" w:hanging="360"/>
      <w:jc w:val="both"/>
    </w:pPr>
    <w:rPr>
      <w:rFonts w:ascii="Perpetua Std" w:hAnsi="Perpetua Std"/>
      <w:color w:val="000000"/>
      <w:sz w:val="24"/>
    </w:rPr>
  </w:style>
  <w:style w:type="paragraph" w:customStyle="1" w:styleId="PG">
    <w:name w:val="PG"/>
    <w:rsid w:val="00315CF7"/>
    <w:pPr>
      <w:spacing w:after="240"/>
      <w:ind w:left="360"/>
      <w:jc w:val="both"/>
    </w:pPr>
    <w:rPr>
      <w:rFonts w:ascii="Perpetua Std" w:hAnsi="Perpetua Std"/>
      <w:color w:val="000000"/>
      <w:sz w:val="24"/>
    </w:rPr>
  </w:style>
  <w:style w:type="paragraph" w:customStyle="1" w:styleId="PH">
    <w:name w:val="PH"/>
    <w:rsid w:val="00315CF7"/>
    <w:pPr>
      <w:tabs>
        <w:tab w:val="left" w:pos="360"/>
      </w:tabs>
      <w:spacing w:after="240"/>
      <w:ind w:left="360" w:hanging="360"/>
      <w:jc w:val="both"/>
    </w:pPr>
    <w:rPr>
      <w:rFonts w:ascii="Perpetua Std" w:hAnsi="Perpetua Std"/>
      <w:color w:val="000000"/>
      <w:sz w:val="24"/>
    </w:rPr>
  </w:style>
  <w:style w:type="paragraph" w:customStyle="1" w:styleId="PI">
    <w:name w:val="PI"/>
    <w:rsid w:val="00315CF7"/>
    <w:pPr>
      <w:spacing w:after="240"/>
      <w:ind w:left="360" w:hanging="360"/>
      <w:jc w:val="both"/>
    </w:pPr>
    <w:rPr>
      <w:rFonts w:ascii="Perpetua Std" w:hAnsi="Perpetua Std"/>
      <w:color w:val="000000"/>
      <w:sz w:val="24"/>
    </w:rPr>
  </w:style>
  <w:style w:type="paragraph" w:customStyle="1" w:styleId="PK">
    <w:name w:val="PK"/>
    <w:rsid w:val="00315CF7"/>
    <w:pPr>
      <w:spacing w:after="240"/>
      <w:ind w:left="360" w:firstLine="288"/>
      <w:jc w:val="both"/>
    </w:pPr>
    <w:rPr>
      <w:rFonts w:ascii="Perpetua Std" w:hAnsi="Perpetua Std"/>
      <w:color w:val="000000"/>
      <w:sz w:val="24"/>
    </w:rPr>
  </w:style>
  <w:style w:type="paragraph" w:customStyle="1" w:styleId="PL">
    <w:name w:val="PL"/>
    <w:rsid w:val="00315CF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15CF7"/>
    <w:pPr>
      <w:spacing w:after="240"/>
      <w:ind w:left="432" w:right="432" w:firstLine="432"/>
      <w:jc w:val="both"/>
    </w:pPr>
    <w:rPr>
      <w:rFonts w:ascii="Minion Pro" w:hAnsi="Minion Pro"/>
    </w:rPr>
  </w:style>
  <w:style w:type="paragraph" w:customStyle="1" w:styleId="TOC">
    <w:name w:val="TOC"/>
    <w:autoRedefine/>
    <w:rsid w:val="00315CF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15CF7"/>
    <w:pPr>
      <w:tabs>
        <w:tab w:val="clear" w:pos="1440"/>
        <w:tab w:val="clear" w:pos="8640"/>
        <w:tab w:val="left" w:pos="240"/>
        <w:tab w:val="left" w:pos="480"/>
        <w:tab w:val="right" w:leader="dot" w:pos="4680"/>
      </w:tabs>
      <w:ind w:left="0" w:firstLine="0"/>
    </w:pPr>
    <w:rPr>
      <w:sz w:val="22"/>
    </w:rPr>
  </w:style>
  <w:style w:type="paragraph" w:customStyle="1" w:styleId="QU">
    <w:name w:val="QU"/>
    <w:rsid w:val="00315CF7"/>
    <w:pPr>
      <w:spacing w:after="240"/>
      <w:jc w:val="both"/>
    </w:pPr>
    <w:rPr>
      <w:rFonts w:ascii="Helvetica LT Std" w:hAnsi="Helvetica LT Std"/>
      <w:b/>
      <w:color w:val="000000"/>
      <w:sz w:val="26"/>
    </w:rPr>
  </w:style>
  <w:style w:type="paragraph" w:customStyle="1" w:styleId="PQ">
    <w:name w:val="PQ"/>
    <w:link w:val="PQChar"/>
    <w:rsid w:val="00315CF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15CF7"/>
    <w:rPr>
      <w:rFonts w:ascii="Adobe Caslon Pro" w:hAnsi="Adobe Caslon Pro"/>
      <w:color w:val="000000"/>
      <w:sz w:val="14"/>
    </w:rPr>
  </w:style>
  <w:style w:type="paragraph" w:customStyle="1" w:styleId="HD">
    <w:name w:val="HD"/>
    <w:rsid w:val="00315CF7"/>
    <w:pPr>
      <w:suppressAutoHyphens/>
      <w:spacing w:before="120"/>
      <w:jc w:val="center"/>
    </w:pPr>
    <w:rPr>
      <w:rFonts w:ascii="Helvetica LT Std" w:hAnsi="Helvetica LT Std"/>
      <w:sz w:val="26"/>
      <w:szCs w:val="18"/>
    </w:rPr>
  </w:style>
  <w:style w:type="paragraph" w:customStyle="1" w:styleId="PP">
    <w:name w:val="PP"/>
    <w:rsid w:val="00315CF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15CF7"/>
    <w:pPr>
      <w:spacing w:before="120" w:after="120"/>
      <w:jc w:val="center"/>
    </w:pPr>
    <w:rPr>
      <w:rFonts w:ascii="Helvetica LT Std" w:hAnsi="Helvetica LT Std"/>
      <w:sz w:val="24"/>
    </w:rPr>
  </w:style>
  <w:style w:type="paragraph" w:customStyle="1" w:styleId="PN">
    <w:name w:val="PN"/>
    <w:rsid w:val="00315CF7"/>
    <w:pPr>
      <w:spacing w:after="240"/>
      <w:ind w:left="720" w:firstLine="288"/>
      <w:jc w:val="both"/>
    </w:pPr>
    <w:rPr>
      <w:rFonts w:ascii="Perpetua Std" w:eastAsia="MS Mincho" w:hAnsi="Perpetua Std"/>
      <w:color w:val="000000"/>
    </w:rPr>
  </w:style>
  <w:style w:type="table" w:styleId="TableGrid">
    <w:name w:val="Table Grid"/>
    <w:basedOn w:val="TableNormal"/>
    <w:rsid w:val="0031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15CF7"/>
    <w:rPr>
      <w:vertAlign w:val="superscript"/>
    </w:rPr>
  </w:style>
  <w:style w:type="paragraph" w:customStyle="1" w:styleId="HA">
    <w:name w:val="HA"/>
    <w:autoRedefine/>
    <w:rsid w:val="00315CF7"/>
    <w:pPr>
      <w:spacing w:after="240"/>
      <w:jc w:val="center"/>
    </w:pPr>
    <w:rPr>
      <w:rFonts w:ascii="Helvetica LT Std" w:hAnsi="Helvetica LT Std"/>
      <w:b/>
      <w:caps/>
      <w:color w:val="000000"/>
      <w:sz w:val="36"/>
      <w:szCs w:val="32"/>
    </w:rPr>
  </w:style>
  <w:style w:type="paragraph" w:customStyle="1" w:styleId="HB">
    <w:name w:val="HB"/>
    <w:rsid w:val="00315CF7"/>
    <w:pPr>
      <w:spacing w:before="120" w:after="240"/>
      <w:jc w:val="center"/>
    </w:pPr>
    <w:rPr>
      <w:rFonts w:ascii="Helvetica LT Std" w:hAnsi="Helvetica LT Std"/>
      <w:b/>
      <w:color w:val="333333"/>
      <w:w w:val="105"/>
      <w:sz w:val="32"/>
    </w:rPr>
  </w:style>
  <w:style w:type="paragraph" w:customStyle="1" w:styleId="HC">
    <w:name w:val="HC"/>
    <w:autoRedefine/>
    <w:rsid w:val="00315CF7"/>
    <w:pPr>
      <w:tabs>
        <w:tab w:val="left" w:pos="284"/>
      </w:tabs>
      <w:spacing w:before="120" w:after="120"/>
      <w:jc w:val="center"/>
    </w:pPr>
    <w:rPr>
      <w:rFonts w:ascii="Helvetica LT Std" w:hAnsi="Helvetica LT Std"/>
      <w:b/>
      <w:color w:val="000000"/>
      <w:w w:val="110"/>
      <w:sz w:val="26"/>
    </w:rPr>
  </w:style>
  <w:style w:type="paragraph" w:customStyle="1" w:styleId="PR">
    <w:name w:val="PR"/>
    <w:rsid w:val="00315CF7"/>
    <w:pPr>
      <w:spacing w:after="240"/>
      <w:ind w:left="360" w:firstLine="288"/>
      <w:jc w:val="both"/>
    </w:pPr>
    <w:rPr>
      <w:rFonts w:ascii="Adobe Caslon Pro" w:hAnsi="Adobe Caslon Pro"/>
      <w:color w:val="000000"/>
      <w:sz w:val="14"/>
    </w:rPr>
  </w:style>
  <w:style w:type="paragraph" w:customStyle="1" w:styleId="PO">
    <w:name w:val="PO"/>
    <w:rsid w:val="00315CF7"/>
    <w:pPr>
      <w:spacing w:after="240"/>
      <w:jc w:val="both"/>
    </w:pPr>
    <w:rPr>
      <w:rFonts w:ascii="Perpetua Std" w:hAnsi="Perpetua Std"/>
      <w:color w:val="000000"/>
      <w:w w:val="95"/>
      <w:szCs w:val="16"/>
    </w:rPr>
  </w:style>
  <w:style w:type="paragraph" w:customStyle="1" w:styleId="GUIDEX">
    <w:name w:val="GUIDEX"/>
    <w:rsid w:val="00315CF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15CF7"/>
    <w:pPr>
      <w:tabs>
        <w:tab w:val="clear" w:pos="240"/>
        <w:tab w:val="clear" w:pos="480"/>
        <w:tab w:val="clear" w:pos="720"/>
        <w:tab w:val="right" w:pos="4680"/>
      </w:tabs>
    </w:pPr>
  </w:style>
  <w:style w:type="paragraph" w:customStyle="1" w:styleId="PCB">
    <w:name w:val="PCB"/>
    <w:autoRedefine/>
    <w:rsid w:val="00315CF7"/>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315CF7"/>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15CF7"/>
    <w:rPr>
      <w:rFonts w:ascii="Perpetua Std" w:hAnsi="Perpetua Std"/>
    </w:rPr>
  </w:style>
  <w:style w:type="paragraph" w:styleId="NoSpacing">
    <w:name w:val="No Spacing"/>
    <w:qFormat/>
    <w:rsid w:val="00315CF7"/>
    <w:rPr>
      <w:rFonts w:ascii="Perpetua" w:hAnsi="Perpetua"/>
    </w:rPr>
  </w:style>
  <w:style w:type="paragraph" w:customStyle="1" w:styleId="PCA">
    <w:name w:val="PCA"/>
    <w:rsid w:val="00315CF7"/>
    <w:pPr>
      <w:numPr>
        <w:numId w:val="22"/>
      </w:numPr>
      <w:tabs>
        <w:tab w:val="left" w:pos="720"/>
      </w:tabs>
      <w:spacing w:after="240"/>
      <w:jc w:val="both"/>
    </w:pPr>
    <w:rPr>
      <w:rFonts w:ascii="Perpetua Std" w:hAnsi="Perpetua Std"/>
      <w:sz w:val="24"/>
    </w:rPr>
  </w:style>
  <w:style w:type="paragraph" w:customStyle="1" w:styleId="PHB">
    <w:name w:val="PHB"/>
    <w:rsid w:val="00315CF7"/>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315CF7"/>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315CF7"/>
    <w:rPr>
      <w:rFonts w:ascii="Perpetua Std" w:hAnsi="Perpetua Std"/>
    </w:rPr>
  </w:style>
  <w:style w:type="paragraph" w:styleId="Heading1">
    <w:name w:val="heading 1"/>
    <w:basedOn w:val="Normal"/>
    <w:next w:val="Normal"/>
    <w:link w:val="Heading1Char"/>
    <w:qFormat/>
    <w:rsid w:val="00315CF7"/>
    <w:pPr>
      <w:keepNext/>
      <w:outlineLvl w:val="0"/>
    </w:pPr>
    <w:rPr>
      <w:b/>
    </w:rPr>
  </w:style>
  <w:style w:type="paragraph" w:styleId="Heading2">
    <w:name w:val="heading 2"/>
    <w:basedOn w:val="Normal"/>
    <w:next w:val="Normal"/>
    <w:link w:val="Heading2Char"/>
    <w:qFormat/>
    <w:rsid w:val="00315CF7"/>
    <w:pPr>
      <w:keepNext/>
      <w:spacing w:before="240" w:after="60"/>
      <w:outlineLvl w:val="1"/>
    </w:pPr>
    <w:rPr>
      <w:rFonts w:ascii="Arial" w:hAnsi="Arial"/>
      <w:b/>
      <w:i/>
      <w:sz w:val="24"/>
    </w:rPr>
  </w:style>
  <w:style w:type="paragraph" w:styleId="Heading3">
    <w:name w:val="heading 3"/>
    <w:basedOn w:val="Normal"/>
    <w:next w:val="Normal"/>
    <w:link w:val="Heading3Char"/>
    <w:qFormat/>
    <w:rsid w:val="00315CF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CF7"/>
    <w:pPr>
      <w:tabs>
        <w:tab w:val="center" w:pos="4320"/>
        <w:tab w:val="right" w:pos="8640"/>
      </w:tabs>
    </w:pPr>
  </w:style>
  <w:style w:type="paragraph" w:styleId="Header">
    <w:name w:val="header"/>
    <w:basedOn w:val="Normal"/>
    <w:rsid w:val="00315CF7"/>
    <w:pPr>
      <w:tabs>
        <w:tab w:val="center" w:pos="4320"/>
        <w:tab w:val="right" w:pos="8640"/>
      </w:tabs>
    </w:pPr>
  </w:style>
  <w:style w:type="paragraph" w:customStyle="1" w:styleId="Standard">
    <w:name w:val="Standard"/>
    <w:rsid w:val="00315CF7"/>
    <w:pPr>
      <w:spacing w:before="144"/>
      <w:jc w:val="both"/>
    </w:pPr>
    <w:rPr>
      <w:noProof/>
    </w:rPr>
  </w:style>
  <w:style w:type="paragraph" w:customStyle="1" w:styleId="PA">
    <w:name w:val="PA"/>
    <w:next w:val="Normal"/>
    <w:link w:val="PAChar"/>
    <w:rsid w:val="00315CF7"/>
    <w:pPr>
      <w:spacing w:after="240"/>
      <w:ind w:firstLine="288"/>
      <w:jc w:val="both"/>
    </w:pPr>
    <w:rPr>
      <w:rFonts w:ascii="Perpetua Std" w:hAnsi="Perpetua Std"/>
      <w:color w:val="000000"/>
      <w:sz w:val="24"/>
    </w:rPr>
  </w:style>
  <w:style w:type="character" w:customStyle="1" w:styleId="PAChar">
    <w:name w:val="PA Char"/>
    <w:link w:val="PA"/>
    <w:rsid w:val="00315CF7"/>
    <w:rPr>
      <w:rFonts w:ascii="Perpetua Std" w:hAnsi="Perpetua Std"/>
      <w:color w:val="000000"/>
      <w:sz w:val="24"/>
    </w:rPr>
  </w:style>
  <w:style w:type="paragraph" w:customStyle="1" w:styleId="PB">
    <w:name w:val="PB"/>
    <w:rsid w:val="00315CF7"/>
    <w:pPr>
      <w:spacing w:after="240"/>
      <w:jc w:val="both"/>
    </w:pPr>
    <w:rPr>
      <w:rFonts w:ascii="Perpetua Std" w:hAnsi="Perpetua Std"/>
      <w:color w:val="000000"/>
      <w:sz w:val="24"/>
    </w:rPr>
  </w:style>
  <w:style w:type="paragraph" w:customStyle="1" w:styleId="PC">
    <w:name w:val="PC"/>
    <w:rsid w:val="00315CF7"/>
    <w:pPr>
      <w:tabs>
        <w:tab w:val="left" w:pos="720"/>
      </w:tabs>
      <w:spacing w:after="240"/>
      <w:ind w:left="720" w:hanging="360"/>
      <w:jc w:val="both"/>
    </w:pPr>
    <w:rPr>
      <w:rFonts w:ascii="Perpetua Std" w:hAnsi="Perpetua Std"/>
      <w:color w:val="000000"/>
      <w:sz w:val="24"/>
    </w:rPr>
  </w:style>
  <w:style w:type="paragraph" w:customStyle="1" w:styleId="PD">
    <w:name w:val="PD"/>
    <w:rsid w:val="00315CF7"/>
    <w:pPr>
      <w:spacing w:after="240"/>
      <w:ind w:left="720" w:firstLine="288"/>
      <w:jc w:val="both"/>
    </w:pPr>
    <w:rPr>
      <w:rFonts w:ascii="Perpetua Std" w:hAnsi="Perpetua Std"/>
      <w:color w:val="000000"/>
      <w:sz w:val="24"/>
    </w:rPr>
  </w:style>
  <w:style w:type="paragraph" w:customStyle="1" w:styleId="PE">
    <w:name w:val="PE"/>
    <w:rsid w:val="00315CF7"/>
    <w:pPr>
      <w:spacing w:after="240"/>
      <w:ind w:left="720"/>
      <w:jc w:val="both"/>
    </w:pPr>
    <w:rPr>
      <w:rFonts w:ascii="Perpetua Std" w:hAnsi="Perpetua Std"/>
      <w:color w:val="000000"/>
      <w:sz w:val="24"/>
    </w:rPr>
  </w:style>
  <w:style w:type="paragraph" w:customStyle="1" w:styleId="PF">
    <w:name w:val="PF"/>
    <w:rsid w:val="00315CF7"/>
    <w:pPr>
      <w:tabs>
        <w:tab w:val="left" w:pos="1080"/>
      </w:tabs>
      <w:spacing w:after="240"/>
      <w:ind w:left="1080" w:hanging="360"/>
      <w:jc w:val="both"/>
    </w:pPr>
    <w:rPr>
      <w:rFonts w:ascii="Perpetua Std" w:hAnsi="Perpetua Std"/>
      <w:color w:val="000000"/>
      <w:sz w:val="24"/>
    </w:rPr>
  </w:style>
  <w:style w:type="paragraph" w:customStyle="1" w:styleId="PG">
    <w:name w:val="PG"/>
    <w:rsid w:val="00315CF7"/>
    <w:pPr>
      <w:spacing w:after="240"/>
      <w:ind w:left="360"/>
      <w:jc w:val="both"/>
    </w:pPr>
    <w:rPr>
      <w:rFonts w:ascii="Perpetua Std" w:hAnsi="Perpetua Std"/>
      <w:color w:val="000000"/>
      <w:sz w:val="24"/>
    </w:rPr>
  </w:style>
  <w:style w:type="paragraph" w:customStyle="1" w:styleId="PH">
    <w:name w:val="PH"/>
    <w:rsid w:val="00315CF7"/>
    <w:pPr>
      <w:tabs>
        <w:tab w:val="left" w:pos="360"/>
      </w:tabs>
      <w:spacing w:after="240"/>
      <w:ind w:left="360" w:hanging="360"/>
      <w:jc w:val="both"/>
    </w:pPr>
    <w:rPr>
      <w:rFonts w:ascii="Perpetua Std" w:hAnsi="Perpetua Std"/>
      <w:color w:val="000000"/>
      <w:sz w:val="24"/>
    </w:rPr>
  </w:style>
  <w:style w:type="paragraph" w:customStyle="1" w:styleId="PI">
    <w:name w:val="PI"/>
    <w:rsid w:val="00315CF7"/>
    <w:pPr>
      <w:spacing w:after="240"/>
      <w:ind w:left="360" w:hanging="360"/>
      <w:jc w:val="both"/>
    </w:pPr>
    <w:rPr>
      <w:rFonts w:ascii="Perpetua Std" w:hAnsi="Perpetua Std"/>
      <w:color w:val="000000"/>
      <w:sz w:val="24"/>
    </w:rPr>
  </w:style>
  <w:style w:type="paragraph" w:customStyle="1" w:styleId="PK">
    <w:name w:val="PK"/>
    <w:rsid w:val="00315CF7"/>
    <w:pPr>
      <w:spacing w:after="240"/>
      <w:ind w:left="360" w:firstLine="288"/>
      <w:jc w:val="both"/>
    </w:pPr>
    <w:rPr>
      <w:rFonts w:ascii="Perpetua Std" w:hAnsi="Perpetua Std"/>
      <w:color w:val="000000"/>
      <w:sz w:val="24"/>
    </w:rPr>
  </w:style>
  <w:style w:type="paragraph" w:customStyle="1" w:styleId="PL">
    <w:name w:val="PL"/>
    <w:rsid w:val="00315CF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315CF7"/>
    <w:pPr>
      <w:spacing w:after="240"/>
      <w:ind w:left="432" w:right="432" w:firstLine="432"/>
      <w:jc w:val="both"/>
    </w:pPr>
    <w:rPr>
      <w:rFonts w:ascii="Minion Pro" w:hAnsi="Minion Pro"/>
    </w:rPr>
  </w:style>
  <w:style w:type="paragraph" w:customStyle="1" w:styleId="TOC">
    <w:name w:val="TOC"/>
    <w:autoRedefine/>
    <w:rsid w:val="00315CF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315CF7"/>
    <w:pPr>
      <w:tabs>
        <w:tab w:val="clear" w:pos="1440"/>
        <w:tab w:val="clear" w:pos="8640"/>
        <w:tab w:val="left" w:pos="240"/>
        <w:tab w:val="left" w:pos="480"/>
        <w:tab w:val="right" w:leader="dot" w:pos="4680"/>
      </w:tabs>
      <w:ind w:left="0" w:firstLine="0"/>
    </w:pPr>
    <w:rPr>
      <w:sz w:val="22"/>
    </w:rPr>
  </w:style>
  <w:style w:type="paragraph" w:customStyle="1" w:styleId="QU">
    <w:name w:val="QU"/>
    <w:rsid w:val="00315CF7"/>
    <w:pPr>
      <w:spacing w:after="240"/>
      <w:jc w:val="both"/>
    </w:pPr>
    <w:rPr>
      <w:rFonts w:ascii="Helvetica LT Std" w:hAnsi="Helvetica LT Std"/>
      <w:b/>
      <w:color w:val="000000"/>
      <w:sz w:val="26"/>
    </w:rPr>
  </w:style>
  <w:style w:type="paragraph" w:customStyle="1" w:styleId="PQ">
    <w:name w:val="PQ"/>
    <w:link w:val="PQChar"/>
    <w:rsid w:val="00315CF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315CF7"/>
    <w:rPr>
      <w:rFonts w:ascii="Adobe Caslon Pro" w:hAnsi="Adobe Caslon Pro"/>
      <w:color w:val="000000"/>
      <w:sz w:val="14"/>
    </w:rPr>
  </w:style>
  <w:style w:type="paragraph" w:customStyle="1" w:styleId="HD">
    <w:name w:val="HD"/>
    <w:rsid w:val="00315CF7"/>
    <w:pPr>
      <w:suppressAutoHyphens/>
      <w:spacing w:before="120"/>
      <w:jc w:val="center"/>
    </w:pPr>
    <w:rPr>
      <w:rFonts w:ascii="Helvetica LT Std" w:hAnsi="Helvetica LT Std"/>
      <w:sz w:val="26"/>
      <w:szCs w:val="18"/>
    </w:rPr>
  </w:style>
  <w:style w:type="paragraph" w:customStyle="1" w:styleId="PP">
    <w:name w:val="PP"/>
    <w:rsid w:val="00315CF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315CF7"/>
    <w:pPr>
      <w:spacing w:before="120" w:after="120"/>
      <w:jc w:val="center"/>
    </w:pPr>
    <w:rPr>
      <w:rFonts w:ascii="Helvetica LT Std" w:hAnsi="Helvetica LT Std"/>
      <w:sz w:val="24"/>
    </w:rPr>
  </w:style>
  <w:style w:type="paragraph" w:customStyle="1" w:styleId="PN">
    <w:name w:val="PN"/>
    <w:rsid w:val="00315CF7"/>
    <w:pPr>
      <w:spacing w:after="240"/>
      <w:ind w:left="720" w:firstLine="288"/>
      <w:jc w:val="both"/>
    </w:pPr>
    <w:rPr>
      <w:rFonts w:ascii="Perpetua Std" w:eastAsia="MS Mincho" w:hAnsi="Perpetua Std"/>
      <w:color w:val="000000"/>
    </w:rPr>
  </w:style>
  <w:style w:type="table" w:styleId="TableGrid">
    <w:name w:val="Table Grid"/>
    <w:basedOn w:val="TableNormal"/>
    <w:rsid w:val="0031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15CF7"/>
    <w:rPr>
      <w:vertAlign w:val="superscript"/>
    </w:rPr>
  </w:style>
  <w:style w:type="paragraph" w:customStyle="1" w:styleId="HA">
    <w:name w:val="HA"/>
    <w:autoRedefine/>
    <w:rsid w:val="00315CF7"/>
    <w:pPr>
      <w:spacing w:after="240"/>
      <w:jc w:val="center"/>
    </w:pPr>
    <w:rPr>
      <w:rFonts w:ascii="Helvetica LT Std" w:hAnsi="Helvetica LT Std"/>
      <w:b/>
      <w:caps/>
      <w:color w:val="000000"/>
      <w:sz w:val="36"/>
      <w:szCs w:val="32"/>
    </w:rPr>
  </w:style>
  <w:style w:type="paragraph" w:customStyle="1" w:styleId="HB">
    <w:name w:val="HB"/>
    <w:rsid w:val="00315CF7"/>
    <w:pPr>
      <w:spacing w:before="120" w:after="240"/>
      <w:jc w:val="center"/>
    </w:pPr>
    <w:rPr>
      <w:rFonts w:ascii="Helvetica LT Std" w:hAnsi="Helvetica LT Std"/>
      <w:b/>
      <w:color w:val="333333"/>
      <w:w w:val="105"/>
      <w:sz w:val="32"/>
    </w:rPr>
  </w:style>
  <w:style w:type="paragraph" w:customStyle="1" w:styleId="HC">
    <w:name w:val="HC"/>
    <w:autoRedefine/>
    <w:rsid w:val="00315CF7"/>
    <w:pPr>
      <w:tabs>
        <w:tab w:val="left" w:pos="284"/>
      </w:tabs>
      <w:spacing w:before="120" w:after="120"/>
      <w:jc w:val="center"/>
    </w:pPr>
    <w:rPr>
      <w:rFonts w:ascii="Helvetica LT Std" w:hAnsi="Helvetica LT Std"/>
      <w:b/>
      <w:color w:val="000000"/>
      <w:w w:val="110"/>
      <w:sz w:val="26"/>
    </w:rPr>
  </w:style>
  <w:style w:type="paragraph" w:customStyle="1" w:styleId="PR">
    <w:name w:val="PR"/>
    <w:rsid w:val="00315CF7"/>
    <w:pPr>
      <w:spacing w:after="240"/>
      <w:ind w:left="360" w:firstLine="288"/>
      <w:jc w:val="both"/>
    </w:pPr>
    <w:rPr>
      <w:rFonts w:ascii="Adobe Caslon Pro" w:hAnsi="Adobe Caslon Pro"/>
      <w:color w:val="000000"/>
      <w:sz w:val="14"/>
    </w:rPr>
  </w:style>
  <w:style w:type="paragraph" w:customStyle="1" w:styleId="PO">
    <w:name w:val="PO"/>
    <w:rsid w:val="00315CF7"/>
    <w:pPr>
      <w:spacing w:after="240"/>
      <w:jc w:val="both"/>
    </w:pPr>
    <w:rPr>
      <w:rFonts w:ascii="Perpetua Std" w:hAnsi="Perpetua Std"/>
      <w:color w:val="000000"/>
      <w:w w:val="95"/>
      <w:szCs w:val="16"/>
    </w:rPr>
  </w:style>
  <w:style w:type="paragraph" w:customStyle="1" w:styleId="GUIDEX">
    <w:name w:val="GUIDEX"/>
    <w:rsid w:val="00315CF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315CF7"/>
    <w:pPr>
      <w:tabs>
        <w:tab w:val="clear" w:pos="240"/>
        <w:tab w:val="clear" w:pos="480"/>
        <w:tab w:val="clear" w:pos="720"/>
        <w:tab w:val="right" w:pos="4680"/>
      </w:tabs>
    </w:pPr>
  </w:style>
  <w:style w:type="paragraph" w:customStyle="1" w:styleId="PCB">
    <w:name w:val="PCB"/>
    <w:autoRedefine/>
    <w:rsid w:val="00315CF7"/>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315CF7"/>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315CF7"/>
    <w:rPr>
      <w:rFonts w:ascii="Perpetua Std" w:hAnsi="Perpetua Std"/>
    </w:rPr>
  </w:style>
  <w:style w:type="paragraph" w:styleId="NoSpacing">
    <w:name w:val="No Spacing"/>
    <w:qFormat/>
    <w:rsid w:val="00315CF7"/>
    <w:rPr>
      <w:rFonts w:ascii="Perpetua" w:hAnsi="Perpetua"/>
    </w:rPr>
  </w:style>
  <w:style w:type="paragraph" w:customStyle="1" w:styleId="PCA">
    <w:name w:val="PCA"/>
    <w:rsid w:val="00315CF7"/>
    <w:pPr>
      <w:numPr>
        <w:numId w:val="22"/>
      </w:numPr>
      <w:tabs>
        <w:tab w:val="left" w:pos="720"/>
      </w:tabs>
      <w:spacing w:after="240"/>
      <w:jc w:val="both"/>
    </w:pPr>
    <w:rPr>
      <w:rFonts w:ascii="Perpetua Std" w:hAnsi="Perpetua Std"/>
      <w:sz w:val="24"/>
    </w:rPr>
  </w:style>
  <w:style w:type="paragraph" w:customStyle="1" w:styleId="PHB">
    <w:name w:val="PHB"/>
    <w:rsid w:val="00315CF7"/>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315CF7"/>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8579. What is an involuntary conversion?</vt:lpstr>
    </vt:vector>
  </TitlesOfParts>
  <Company>National Underwriter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8579. What is an involuntary conversion?</dc:title>
  <dc:creator>cjump</dc:creator>
  <cp:lastModifiedBy>rcline</cp:lastModifiedBy>
  <cp:revision>2</cp:revision>
  <dcterms:created xsi:type="dcterms:W3CDTF">2014-08-21T15:16:00Z</dcterms:created>
  <dcterms:modified xsi:type="dcterms:W3CDTF">2014-08-21T15:16:00Z</dcterms:modified>
</cp:coreProperties>
</file>