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8B" w:rsidRDefault="005E3C8B" w:rsidP="00351992">
      <w:pPr>
        <w:pStyle w:val="PA"/>
      </w:pPr>
    </w:p>
    <w:p w:rsidR="005E3C8B" w:rsidRPr="005E3C8B" w:rsidRDefault="005E3C8B" w:rsidP="00351992">
      <w:pPr>
        <w:pStyle w:val="PA"/>
        <w:rPr>
          <w:b/>
          <w:color w:val="auto"/>
        </w:rPr>
      </w:pPr>
      <w:r w:rsidRPr="005E3C8B">
        <w:rPr>
          <w:b/>
          <w:color w:val="auto"/>
        </w:rPr>
        <w:t>8576.  What is a taxpayer’s basis in property received in a</w:t>
      </w:r>
      <w:r w:rsidR="00B06936">
        <w:rPr>
          <w:b/>
          <w:color w:val="auto"/>
        </w:rPr>
        <w:t xml:space="preserve"> like-kind</w:t>
      </w:r>
      <w:r w:rsidR="00A74B45">
        <w:rPr>
          <w:b/>
          <w:color w:val="auto"/>
        </w:rPr>
        <w:t xml:space="preserve"> exchange</w:t>
      </w:r>
      <w:r w:rsidR="00B06936">
        <w:rPr>
          <w:b/>
          <w:color w:val="auto"/>
        </w:rPr>
        <w:t>?</w:t>
      </w:r>
    </w:p>
    <w:p w:rsidR="00351992" w:rsidRDefault="00351992" w:rsidP="00351992">
      <w:pPr>
        <w:pStyle w:val="PA"/>
      </w:pPr>
      <w:r w:rsidRPr="00702152">
        <w:t>In a</w:t>
      </w:r>
      <w:r>
        <w:t xml:space="preserve"> transaction qualifying for non</w:t>
      </w:r>
      <w:r w:rsidRPr="00702152">
        <w:t xml:space="preserve">recognition treatment, the property received takes a carryover </w:t>
      </w:r>
      <w:r w:rsidR="00B06936">
        <w:t xml:space="preserve">or transferred </w:t>
      </w:r>
      <w:r w:rsidRPr="00702152">
        <w:t>basis from the property given up. In this manner</w:t>
      </w:r>
      <w:r>
        <w:t>,</w:t>
      </w:r>
      <w:r w:rsidRPr="00702152">
        <w:t xml:space="preserve"> the unrecognized gain or loss on the property disposed of is deferred by be</w:t>
      </w:r>
      <w:r w:rsidR="00B06936">
        <w:t xml:space="preserve">coming </w:t>
      </w:r>
      <w:r w:rsidRPr="00702152">
        <w:t>the basis of the acquired property</w:t>
      </w:r>
      <w:r w:rsidR="00B06936">
        <w:t xml:space="preserve"> to be </w:t>
      </w:r>
      <w:r w:rsidRPr="00702152">
        <w:t>recognized later when the acquired property is disp</w:t>
      </w:r>
      <w:r>
        <w:t>osed of</w:t>
      </w:r>
      <w:r w:rsidR="00A61FC3">
        <w:t xml:space="preserve"> in a taxable transaction.</w:t>
      </w:r>
      <w:r w:rsidR="00A61FC3">
        <w:rPr>
          <w:rStyle w:val="EndnoteReference"/>
        </w:rPr>
        <w:endnoteReference w:id="1"/>
      </w:r>
    </w:p>
    <w:p w:rsidR="00A61FC3" w:rsidRPr="00E3505E" w:rsidRDefault="00A61FC3" w:rsidP="00E3505E">
      <w:pPr>
        <w:pStyle w:val="PA"/>
      </w:pPr>
      <w:proofErr w:type="gramStart"/>
      <w:r w:rsidRPr="005E3C8B">
        <w:rPr>
          <w:b/>
          <w:color w:val="auto"/>
        </w:rPr>
        <w:t>8576.</w:t>
      </w:r>
      <w:r>
        <w:rPr>
          <w:b/>
          <w:color w:val="auto"/>
        </w:rPr>
        <w:t>02</w:t>
      </w:r>
      <w:r w:rsidRPr="005E3C8B">
        <w:rPr>
          <w:b/>
          <w:color w:val="auto"/>
        </w:rPr>
        <w:t xml:space="preserve">  What</w:t>
      </w:r>
      <w:proofErr w:type="gramEnd"/>
      <w:r w:rsidRPr="005E3C8B">
        <w:rPr>
          <w:b/>
          <w:color w:val="auto"/>
        </w:rPr>
        <w:t xml:space="preserve"> </w:t>
      </w:r>
      <w:r>
        <w:rPr>
          <w:b/>
          <w:color w:val="auto"/>
        </w:rPr>
        <w:t>are the tax consequences if a taxpayer receives consideration other than like-kind property in the exchange?</w:t>
      </w:r>
    </w:p>
    <w:p w:rsidR="00A61FC3" w:rsidRDefault="00A61FC3" w:rsidP="00A61FC3">
      <w:pPr>
        <w:pStyle w:val="PA"/>
        <w:rPr>
          <w:b/>
        </w:rPr>
      </w:pPr>
      <w:r w:rsidRPr="00702152">
        <w:t>If a transacti</w:t>
      </w:r>
      <w:r>
        <w:t xml:space="preserve">on otherwise qualifying for </w:t>
      </w:r>
      <w:proofErr w:type="spellStart"/>
      <w:r>
        <w:t>non</w:t>
      </w:r>
      <w:r w:rsidRPr="00702152">
        <w:t>recognition</w:t>
      </w:r>
      <w:proofErr w:type="spellEnd"/>
      <w:r w:rsidRPr="00702152">
        <w:t xml:space="preserve"> treatment under IRC Section 1031 involves the receipt of money or non-like-kind property ("boot") in addition to the like-kind property received in the </w:t>
      </w:r>
      <w:r w:rsidRPr="00702152">
        <w:rPr>
          <w:bCs/>
          <w:iCs/>
        </w:rPr>
        <w:t>exchange</w:t>
      </w:r>
      <w:r w:rsidRPr="00702152">
        <w:t xml:space="preserve">, any realized gain on the </w:t>
      </w:r>
      <w:r w:rsidRPr="00702152">
        <w:rPr>
          <w:bCs/>
          <w:iCs/>
        </w:rPr>
        <w:t>exchange</w:t>
      </w:r>
      <w:r w:rsidRPr="00702152">
        <w:t xml:space="preserve"> must be recognized to the extent of the value of the boot received, and the c</w:t>
      </w:r>
      <w:r>
        <w:t>arryover</w:t>
      </w:r>
      <w:r w:rsidR="00B06936">
        <w:t xml:space="preserve"> or transferred </w:t>
      </w:r>
      <w:r>
        <w:t>basis must be adjusted.</w:t>
      </w:r>
      <w:r w:rsidRPr="00702152">
        <w:t xml:space="preserve"> </w:t>
      </w:r>
    </w:p>
    <w:p w:rsidR="00931500" w:rsidRDefault="00A61FC3" w:rsidP="00E3505E">
      <w:pPr>
        <w:pStyle w:val="PN"/>
        <w:ind w:left="0"/>
        <w:rPr>
          <w:sz w:val="24"/>
          <w:szCs w:val="24"/>
        </w:rPr>
      </w:pPr>
      <w:r w:rsidRPr="00E3505E">
        <w:rPr>
          <w:i/>
          <w:sz w:val="24"/>
          <w:szCs w:val="24"/>
        </w:rPr>
        <w:t xml:space="preserve">Example: </w:t>
      </w:r>
      <w:r w:rsidRPr="00E3505E">
        <w:rPr>
          <w:sz w:val="24"/>
          <w:szCs w:val="24"/>
        </w:rPr>
        <w:t xml:space="preserve">Joanne </w:t>
      </w:r>
      <w:r>
        <w:rPr>
          <w:sz w:val="24"/>
          <w:szCs w:val="24"/>
        </w:rPr>
        <w:t xml:space="preserve">who </w:t>
      </w:r>
      <w:r w:rsidRPr="00E3505E">
        <w:rPr>
          <w:sz w:val="24"/>
          <w:szCs w:val="24"/>
        </w:rPr>
        <w:t>owns a small business</w:t>
      </w:r>
      <w:r>
        <w:rPr>
          <w:sz w:val="24"/>
          <w:szCs w:val="24"/>
        </w:rPr>
        <w:t xml:space="preserve"> has</w:t>
      </w:r>
      <w:r w:rsidRPr="00E3505E">
        <w:rPr>
          <w:sz w:val="24"/>
          <w:szCs w:val="24"/>
        </w:rPr>
        <w:t xml:space="preserve"> three delivery vans. In 2014, Joanne transfers one of the delivery vans, which had an adjusted basis of $2,500</w:t>
      </w:r>
      <w:r w:rsidR="00931500">
        <w:rPr>
          <w:sz w:val="24"/>
          <w:szCs w:val="24"/>
        </w:rPr>
        <w:t xml:space="preserve"> and a fair market value of $2,8</w:t>
      </w:r>
      <w:r>
        <w:rPr>
          <w:sz w:val="24"/>
          <w:szCs w:val="24"/>
        </w:rPr>
        <w:t xml:space="preserve">00, </w:t>
      </w:r>
      <w:r w:rsidRPr="00E3505E">
        <w:rPr>
          <w:sz w:val="24"/>
          <w:szCs w:val="24"/>
        </w:rPr>
        <w:t xml:space="preserve">to </w:t>
      </w:r>
      <w:proofErr w:type="spellStart"/>
      <w:r w:rsidRPr="00E3505E">
        <w:rPr>
          <w:sz w:val="24"/>
          <w:szCs w:val="24"/>
        </w:rPr>
        <w:t>Calin</w:t>
      </w:r>
      <w:proofErr w:type="spellEnd"/>
      <w:r w:rsidRPr="00E3505E">
        <w:rPr>
          <w:sz w:val="24"/>
          <w:szCs w:val="24"/>
        </w:rPr>
        <w:t xml:space="preserve">, in exchange for a truck </w:t>
      </w:r>
      <w:r>
        <w:rPr>
          <w:sz w:val="24"/>
          <w:szCs w:val="24"/>
        </w:rPr>
        <w:t xml:space="preserve">with a fair market value of </w:t>
      </w:r>
      <w:r w:rsidRPr="00E3505E">
        <w:rPr>
          <w:sz w:val="24"/>
          <w:szCs w:val="24"/>
        </w:rPr>
        <w:t>$2,200, and</w:t>
      </w:r>
      <w:r w:rsidR="00931500" w:rsidRPr="00E3505E">
        <w:rPr>
          <w:sz w:val="24"/>
          <w:szCs w:val="24"/>
        </w:rPr>
        <w:t xml:space="preserve"> $6</w:t>
      </w:r>
      <w:r w:rsidRPr="00E3505E">
        <w:rPr>
          <w:sz w:val="24"/>
          <w:szCs w:val="24"/>
        </w:rPr>
        <w:t>00</w:t>
      </w:r>
      <w:r>
        <w:rPr>
          <w:sz w:val="24"/>
          <w:szCs w:val="24"/>
        </w:rPr>
        <w:t xml:space="preserve"> in cash.  </w:t>
      </w:r>
      <w:r w:rsidRPr="00E3505E">
        <w:rPr>
          <w:sz w:val="24"/>
          <w:szCs w:val="24"/>
        </w:rPr>
        <w:t xml:space="preserve"> </w:t>
      </w:r>
    </w:p>
    <w:p w:rsidR="00931500" w:rsidRDefault="00931500" w:rsidP="00E3505E">
      <w:pPr>
        <w:pStyle w:val="PN"/>
        <w:ind w:left="0"/>
        <w:rPr>
          <w:sz w:val="24"/>
          <w:szCs w:val="24"/>
        </w:rPr>
      </w:pPr>
      <w:r>
        <w:rPr>
          <w:sz w:val="24"/>
          <w:szCs w:val="24"/>
        </w:rPr>
        <w:t>Joanne’s realized gain is $300 ($2,200 truck and $600 cash</w:t>
      </w:r>
      <w:r w:rsidR="00B06936">
        <w:rPr>
          <w:sz w:val="24"/>
          <w:szCs w:val="24"/>
        </w:rPr>
        <w:t xml:space="preserve"> received</w:t>
      </w:r>
      <w:r>
        <w:rPr>
          <w:sz w:val="24"/>
          <w:szCs w:val="24"/>
        </w:rPr>
        <w:t>, or $2,800 minus $2,500 basis).  Because the cash is boot, Joanne must recognize gain to the extent of the boot.  Joanne’s overall gain is $300 and the boot is $600.  As a result, Joanne must recognize the entire $300 gain.</w:t>
      </w:r>
    </w:p>
    <w:p w:rsidR="00A61FC3" w:rsidRPr="00E3505E" w:rsidRDefault="00931500" w:rsidP="00E3505E">
      <w:pPr>
        <w:pStyle w:val="PN"/>
        <w:ind w:left="0"/>
        <w:rPr>
          <w:b/>
          <w:sz w:val="24"/>
          <w:szCs w:val="24"/>
        </w:rPr>
      </w:pPr>
      <w:r>
        <w:rPr>
          <w:sz w:val="24"/>
          <w:szCs w:val="24"/>
        </w:rPr>
        <w:t>As to Joanne</w:t>
      </w:r>
      <w:r w:rsidR="00A74B45">
        <w:rPr>
          <w:sz w:val="24"/>
          <w:szCs w:val="24"/>
        </w:rPr>
        <w:t>’s</w:t>
      </w:r>
      <w:r>
        <w:rPr>
          <w:sz w:val="24"/>
          <w:szCs w:val="24"/>
        </w:rPr>
        <w:t xml:space="preserve"> carryover basis, it is </w:t>
      </w:r>
      <w:r w:rsidRPr="00E3505E">
        <w:rPr>
          <w:sz w:val="24"/>
          <w:szCs w:val="24"/>
        </w:rPr>
        <w:t>increased by the amount of any gain recognized</w:t>
      </w:r>
      <w:r>
        <w:rPr>
          <w:sz w:val="24"/>
          <w:szCs w:val="24"/>
        </w:rPr>
        <w:t xml:space="preserve"> and </w:t>
      </w:r>
      <w:r w:rsidR="00B06936">
        <w:rPr>
          <w:sz w:val="24"/>
          <w:szCs w:val="24"/>
        </w:rPr>
        <w:t xml:space="preserve">decreased </w:t>
      </w:r>
      <w:r w:rsidRPr="00E3505E">
        <w:rPr>
          <w:sz w:val="24"/>
          <w:szCs w:val="24"/>
        </w:rPr>
        <w:t>by the amount of any money received</w:t>
      </w:r>
      <w:r>
        <w:rPr>
          <w:sz w:val="24"/>
          <w:szCs w:val="24"/>
        </w:rPr>
        <w:t>.</w:t>
      </w:r>
      <w:r w:rsidRPr="00E3505E">
        <w:rPr>
          <w:rStyle w:val="FootnoteReference"/>
          <w:color w:val="auto"/>
          <w:sz w:val="24"/>
          <w:szCs w:val="24"/>
        </w:rPr>
        <w:footnoteReference w:id="1"/>
      </w:r>
      <w:r>
        <w:rPr>
          <w:sz w:val="24"/>
          <w:szCs w:val="24"/>
        </w:rPr>
        <w:t xml:space="preserve">  So in this case, Joanne’s basis of $2,500 is increased to $2,800 as a result of the $300 gain.  Then that $2,800 basis is </w:t>
      </w:r>
      <w:r w:rsidR="00A74B45">
        <w:rPr>
          <w:sz w:val="24"/>
          <w:szCs w:val="24"/>
        </w:rPr>
        <w:t>decreased</w:t>
      </w:r>
      <w:bookmarkStart w:id="0" w:name="_GoBack"/>
      <w:bookmarkEnd w:id="0"/>
      <w:r>
        <w:rPr>
          <w:sz w:val="24"/>
          <w:szCs w:val="24"/>
        </w:rPr>
        <w:t xml:space="preserve"> by the amount of money received, $600, to $2,200.  As a result, Joanne’s basis in the truck she received in the exchange is $2,200.  So if Joanne were to sell the truck for $2,200 (its fair market value), she would have no gain or loss.</w:t>
      </w:r>
      <w:r w:rsidR="00A61FC3" w:rsidRPr="00E3505E">
        <w:rPr>
          <w:rStyle w:val="FootnoteReference"/>
          <w:color w:val="auto"/>
          <w:sz w:val="24"/>
          <w:szCs w:val="24"/>
        </w:rPr>
        <w:footnoteReference w:id="2"/>
      </w:r>
      <w:r w:rsidR="00A61FC3" w:rsidRPr="00E3505E">
        <w:rPr>
          <w:sz w:val="24"/>
          <w:szCs w:val="24"/>
        </w:rPr>
        <w:t xml:space="preserve"> </w:t>
      </w:r>
    </w:p>
    <w:p w:rsidR="00351992" w:rsidRPr="00702152" w:rsidRDefault="009657C1" w:rsidP="00E3505E">
      <w:pPr>
        <w:pStyle w:val="PA"/>
        <w:rPr>
          <w:b/>
        </w:rPr>
      </w:pPr>
      <w:r>
        <w:t xml:space="preserve">Similarly, if the person who receives the like-kind property assumes a liability that secures the property, the transferor is treated as having received money to the extent of the assumed liability.  </w:t>
      </w:r>
      <w:r w:rsidR="00351992" w:rsidRPr="00702152">
        <w:t xml:space="preserve">If the property received in the </w:t>
      </w:r>
      <w:r w:rsidR="00351992" w:rsidRPr="00702152">
        <w:rPr>
          <w:bCs/>
          <w:iCs/>
        </w:rPr>
        <w:t>exchange</w:t>
      </w:r>
      <w:r w:rsidR="00351992" w:rsidRPr="00702152">
        <w:t xml:space="preserve"> is also </w:t>
      </w:r>
      <w:r>
        <w:t>secured by a liability</w:t>
      </w:r>
      <w:r w:rsidR="00351992" w:rsidRPr="00702152">
        <w:t xml:space="preserve">, then the boot deemed received is only the excess, if any, of the </w:t>
      </w:r>
      <w:r>
        <w:t xml:space="preserve">liability transferred with the exchange property over the liability assumed </w:t>
      </w:r>
      <w:r w:rsidR="00351992" w:rsidRPr="00702152">
        <w:t>on the property received.</w:t>
      </w:r>
      <w:r w:rsidR="00E3505E">
        <w:rPr>
          <w:rStyle w:val="EndnoteReference"/>
        </w:rPr>
        <w:endnoteReference w:id="2"/>
      </w:r>
    </w:p>
    <w:p w:rsidR="00351992" w:rsidRDefault="00351992" w:rsidP="00E3505E">
      <w:pPr>
        <w:pStyle w:val="PN"/>
        <w:ind w:left="0"/>
        <w:rPr>
          <w:sz w:val="24"/>
          <w:szCs w:val="24"/>
        </w:rPr>
      </w:pPr>
      <w:r w:rsidRPr="00E3505E">
        <w:rPr>
          <w:i/>
          <w:iCs/>
          <w:sz w:val="24"/>
          <w:szCs w:val="24"/>
        </w:rPr>
        <w:lastRenderedPageBreak/>
        <w:t>Example.</w:t>
      </w:r>
      <w:r w:rsidR="00B4630A" w:rsidRPr="00E3505E">
        <w:rPr>
          <w:i/>
          <w:iCs/>
          <w:sz w:val="24"/>
          <w:szCs w:val="24"/>
        </w:rPr>
        <w:t xml:space="preserve"> </w:t>
      </w:r>
      <w:r w:rsidRPr="00E3505E">
        <w:rPr>
          <w:sz w:val="24"/>
          <w:szCs w:val="24"/>
        </w:rPr>
        <w:t xml:space="preserve">Al owns a warehouse with a basis of $160,000, a value of $200,000, and subject to a mortgage of $150,000. He </w:t>
      </w:r>
      <w:r w:rsidR="009657C1">
        <w:rPr>
          <w:sz w:val="24"/>
          <w:szCs w:val="24"/>
        </w:rPr>
        <w:t xml:space="preserve">transfers the warehouse to Asher in exchange </w:t>
      </w:r>
      <w:r w:rsidRPr="00E3505E">
        <w:rPr>
          <w:sz w:val="24"/>
          <w:szCs w:val="24"/>
        </w:rPr>
        <w:t>for an office building with a value of $175,000, which is subject to a $125,000 mortgage.</w:t>
      </w:r>
    </w:p>
    <w:p w:rsidR="009657C1" w:rsidRDefault="009657C1" w:rsidP="00E3505E">
      <w:pPr>
        <w:pStyle w:val="P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From a strictly economic perspective, Al’s amount realized is the fair market value of the office building, $175,000, plus a net assumption by Asher of $25,000 of liability (Al’s property is subject to $150,000 mortgage and Asher’s property is subject to a $125,000 mortgage).  </w:t>
      </w:r>
      <w:r w:rsidR="00E5643F">
        <w:rPr>
          <w:sz w:val="24"/>
          <w:szCs w:val="24"/>
        </w:rPr>
        <w:t>Thus, Al’s realized gain is $40,000 ($200,000 minus $160,000 basis).</w:t>
      </w:r>
    </w:p>
    <w:p w:rsidR="00E5643F" w:rsidRDefault="00E5643F" w:rsidP="00E3505E">
      <w:pPr>
        <w:pStyle w:val="PN"/>
        <w:ind w:left="0"/>
        <w:rPr>
          <w:sz w:val="24"/>
          <w:szCs w:val="24"/>
        </w:rPr>
      </w:pPr>
      <w:r>
        <w:rPr>
          <w:sz w:val="24"/>
          <w:szCs w:val="24"/>
        </w:rPr>
        <w:t>Although the transaction is a like-kind exchange, Al must recognize the realized gain to the extent of the boot received.  In this case, as a result of the transfer of mortgages, Al is deemed to have receive $25,000 of money ($150,000 minus $125,000).</w:t>
      </w:r>
    </w:p>
    <w:p w:rsidR="00E5643F" w:rsidRDefault="00E5643F" w:rsidP="00E3505E">
      <w:pPr>
        <w:pStyle w:val="PN"/>
        <w:ind w:left="0"/>
        <w:rPr>
          <w:sz w:val="24"/>
          <w:szCs w:val="24"/>
        </w:rPr>
      </w:pPr>
      <w:r>
        <w:rPr>
          <w:sz w:val="24"/>
          <w:szCs w:val="24"/>
        </w:rPr>
        <w:t>So of the $40,000 realized gain, Al must recognize $25,000.  The balance of the gain, $15,000 is not recognized.</w:t>
      </w:r>
    </w:p>
    <w:p w:rsidR="00E5643F" w:rsidRDefault="00E5643F" w:rsidP="00E3505E">
      <w:pPr>
        <w:pStyle w:val="PN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Al’s carryover basis is adjusted as follows:  The $160,000 basis is increased to $185,000 by the $25,000 of recognized gain.  It is then decreased by $25,000, the amount of money Al is deemed to receive.  As a result, Al’s basis in the office building is $160,000.  </w:t>
      </w:r>
    </w:p>
    <w:p w:rsidR="00E5643F" w:rsidRPr="00E3505E" w:rsidRDefault="00E5643F" w:rsidP="00E3505E">
      <w:pPr>
        <w:pStyle w:val="PN"/>
        <w:ind w:left="0"/>
        <w:rPr>
          <w:b/>
          <w:sz w:val="24"/>
          <w:szCs w:val="24"/>
        </w:rPr>
      </w:pPr>
      <w:r>
        <w:rPr>
          <w:sz w:val="24"/>
          <w:szCs w:val="24"/>
        </w:rPr>
        <w:t>Therefore, if Al were to sell the office building for $175,000 (its fair market value), he would recognize $15,000 of gain.  So to recap, Al realized $40,000 of gain with respect to the exchange.  Of that amount, $25,000 was immediately recognized and $15,000 was deferred.</w:t>
      </w:r>
    </w:p>
    <w:p w:rsidR="00351992" w:rsidRPr="00842E39" w:rsidRDefault="00351992" w:rsidP="00351992">
      <w:pPr>
        <w:pStyle w:val="PN"/>
        <w:rPr>
          <w:b/>
        </w:rPr>
      </w:pPr>
      <w:r w:rsidRPr="00842E39">
        <w:rPr>
          <w:b/>
        </w:rPr>
        <w:t>Realized Gain Computation: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040"/>
      </w:tblGrid>
      <w:tr w:rsidR="00351992" w:rsidRPr="00842E39" w:rsidTr="00F35096">
        <w:trPr>
          <w:trHeight w:val="177"/>
          <w:tblCellSpacing w:w="0" w:type="dxa"/>
          <w:jc w:val="center"/>
        </w:trPr>
        <w:tc>
          <w:tcPr>
            <w:tcW w:w="6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spacing w:before="120" w:after="120"/>
              <w:rPr>
                <w:b/>
              </w:rPr>
            </w:pPr>
            <w:r w:rsidRPr="00842E39">
              <w:rPr>
                <w:b/>
              </w:rPr>
              <w:t>Nonrecognized Portion of Gain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Amount Realized</w:t>
            </w:r>
            <w:r w:rsidR="009657C1"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$200,000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Basis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$160,000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Total Gain Realized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$40,000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Recognized Gain (Mortgage Boot)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$25,000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Deferred Gain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$15,000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6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spacing w:before="120" w:after="120"/>
              <w:rPr>
                <w:b/>
              </w:rPr>
            </w:pPr>
            <w:r w:rsidRPr="00842E39">
              <w:rPr>
                <w:b/>
              </w:rPr>
              <w:t>Recognized Portion Of Gain (Boot)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Mortgage Given Up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$150,000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Mortgage Taken 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($125,000)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Boot</w:t>
            </w:r>
            <w:r w:rsidR="00B4630A"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$25,000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6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spacing w:before="120" w:after="120"/>
              <w:rPr>
                <w:b/>
              </w:rPr>
            </w:pPr>
            <w:r w:rsidRPr="00842E39">
              <w:rPr>
                <w:b/>
              </w:rPr>
              <w:t>Basis of Building Received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Carryover Basis From Property Given Up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$160,000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Plus: Gain Recognized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$25,000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Less: Cash Boot Deemed Received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($25,000)</w:t>
            </w:r>
          </w:p>
        </w:tc>
      </w:tr>
      <w:tr w:rsidR="00351992" w:rsidRPr="00842E39" w:rsidTr="00F35096">
        <w:trPr>
          <w:tblCellSpacing w:w="0" w:type="dxa"/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rPr>
                <w:b/>
              </w:rPr>
            </w:pPr>
            <w:r w:rsidRPr="00842E39">
              <w:t>Basis of Building Received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992" w:rsidRPr="00842E39" w:rsidRDefault="00351992" w:rsidP="00F35096">
            <w:pPr>
              <w:jc w:val="right"/>
              <w:rPr>
                <w:b/>
              </w:rPr>
            </w:pPr>
            <w:r w:rsidRPr="00842E39">
              <w:t>$160,000</w:t>
            </w:r>
          </w:p>
        </w:tc>
      </w:tr>
    </w:tbl>
    <w:p w:rsidR="009657C1" w:rsidRDefault="009657C1" w:rsidP="00351992">
      <w:pPr>
        <w:pStyle w:val="PA"/>
      </w:pPr>
    </w:p>
    <w:p w:rsidR="00BD04B1" w:rsidRPr="00BD04B1" w:rsidRDefault="00BD04B1" w:rsidP="00E3505E"/>
    <w:sectPr w:rsidR="00BD04B1" w:rsidRPr="00BD04B1" w:rsidSect="00F35096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0D" w:rsidRDefault="009A390D">
      <w:r>
        <w:separator/>
      </w:r>
    </w:p>
  </w:endnote>
  <w:endnote w:type="continuationSeparator" w:id="0">
    <w:p w:rsidR="009A390D" w:rsidRDefault="009A390D">
      <w:r>
        <w:continuationSeparator/>
      </w:r>
    </w:p>
  </w:endnote>
  <w:endnote w:id="1">
    <w:p w:rsidR="00A61FC3" w:rsidRPr="00E3505E" w:rsidRDefault="00A61FC3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1031(d</w:t>
      </w:r>
      <w:proofErr w:type="gramEnd"/>
      <w:r>
        <w:rPr>
          <w:sz w:val="16"/>
          <w:szCs w:val="16"/>
        </w:rPr>
        <w:t>).</w:t>
      </w:r>
    </w:p>
  </w:endnote>
  <w:endnote w:id="2">
    <w:p w:rsidR="00E3505E" w:rsidRPr="00B4630A" w:rsidRDefault="00E3505E" w:rsidP="00E3505E">
      <w:pPr>
        <w:pStyle w:val="PQ"/>
      </w:pPr>
      <w:r>
        <w:rPr>
          <w:rStyle w:val="EndnoteReference"/>
        </w:rPr>
        <w:endnoteRef/>
      </w:r>
      <w:r>
        <w:t xml:space="preserve"> </w:t>
      </w:r>
      <w:r w:rsidRPr="00B4630A">
        <w:t xml:space="preserve">Treas. Reg. </w:t>
      </w:r>
      <w:r w:rsidRPr="00B4630A">
        <w:rPr>
          <w:rFonts w:cs="Calibri"/>
        </w:rPr>
        <w:t>§</w:t>
      </w:r>
      <w:r>
        <w:t>1.1031(b)-1(c).</w:t>
      </w:r>
    </w:p>
    <w:p w:rsidR="00E3505E" w:rsidRDefault="00E3505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0D" w:rsidRDefault="009A390D">
      <w:r>
        <w:separator/>
      </w:r>
    </w:p>
  </w:footnote>
  <w:footnote w:type="continuationSeparator" w:id="0">
    <w:p w:rsidR="009A390D" w:rsidRDefault="009A390D">
      <w:r>
        <w:continuationSeparator/>
      </w:r>
    </w:p>
  </w:footnote>
  <w:footnote w:id="1">
    <w:p w:rsidR="00931500" w:rsidRPr="00B4630A" w:rsidRDefault="00931500" w:rsidP="00931500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IRC Sec. </w:t>
      </w:r>
      <w:proofErr w:type="gramStart"/>
      <w:r w:rsidRPr="00B4630A">
        <w:t>1031(d</w:t>
      </w:r>
      <w:proofErr w:type="gramEnd"/>
      <w:r w:rsidRPr="00B4630A">
        <w:t>).</w:t>
      </w:r>
    </w:p>
  </w:footnote>
  <w:footnote w:id="2">
    <w:p w:rsidR="00A61FC3" w:rsidRPr="00B4630A" w:rsidRDefault="00A61FC3" w:rsidP="00A61FC3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Treas. Reg. </w:t>
      </w:r>
      <w:r w:rsidRPr="00B4630A">
        <w:rPr>
          <w:rFonts w:cs="Calibri"/>
        </w:rPr>
        <w:t>§</w:t>
      </w:r>
      <w:r w:rsidRPr="00B4630A">
        <w:t>1.1031(d)-1(b).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0C4"/>
    <w:rsid w:val="0011726F"/>
    <w:rsid w:val="001178BF"/>
    <w:rsid w:val="00117B89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1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21D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672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2A0D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C8B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524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6DA0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500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7C1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90D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1FC3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B45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8AB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A7F76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936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04B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061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9E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72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2F83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05E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643F"/>
    <w:rsid w:val="00E575F0"/>
    <w:rsid w:val="00E57755"/>
    <w:rsid w:val="00E57D44"/>
    <w:rsid w:val="00E606C1"/>
    <w:rsid w:val="00E60E7D"/>
    <w:rsid w:val="00E61A78"/>
    <w:rsid w:val="00E62509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96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53B72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53B7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53B7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53B7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3B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53B72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C53B72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C53B72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53B72"/>
    <w:rPr>
      <w:rFonts w:ascii="Perpetua Std" w:hAnsi="Perpetua Std"/>
      <w:color w:val="000000"/>
      <w:sz w:val="24"/>
    </w:rPr>
  </w:style>
  <w:style w:type="paragraph" w:customStyle="1" w:styleId="PB">
    <w:name w:val="PB"/>
    <w:rsid w:val="00C53B72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C53B72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C53B72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53B72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C53B72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53B72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53B72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53B72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53B72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53B72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53B72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53B72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53B72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C53B72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C53B72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53B72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C53B72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C53B72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C53B72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C53B72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C5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C53B72"/>
    <w:rPr>
      <w:vertAlign w:val="superscript"/>
    </w:rPr>
  </w:style>
  <w:style w:type="paragraph" w:customStyle="1" w:styleId="HA">
    <w:name w:val="HA"/>
    <w:autoRedefine/>
    <w:rsid w:val="00C53B72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53B72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C53B72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53B72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53B72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53B72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53B72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53B72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53B72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53B72"/>
    <w:rPr>
      <w:rFonts w:ascii="Perpetua Std" w:hAnsi="Perpetua Std"/>
    </w:rPr>
  </w:style>
  <w:style w:type="paragraph" w:styleId="NoSpacing">
    <w:name w:val="No Spacing"/>
    <w:qFormat/>
    <w:rsid w:val="00C53B72"/>
    <w:rPr>
      <w:rFonts w:ascii="Perpetua" w:hAnsi="Perpetua"/>
    </w:rPr>
  </w:style>
  <w:style w:type="paragraph" w:customStyle="1" w:styleId="PCA">
    <w:name w:val="PCA"/>
    <w:rsid w:val="00C53B72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53B72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53B72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61FC3"/>
  </w:style>
  <w:style w:type="character" w:customStyle="1" w:styleId="EndnoteTextChar">
    <w:name w:val="Endnote Text Char"/>
    <w:basedOn w:val="DefaultParagraphFont"/>
    <w:link w:val="EndnoteText"/>
    <w:semiHidden/>
    <w:rsid w:val="00A61FC3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A61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53B72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53B7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53B7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53B7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3B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53B72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C53B72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C53B72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53B72"/>
    <w:rPr>
      <w:rFonts w:ascii="Perpetua Std" w:hAnsi="Perpetua Std"/>
      <w:color w:val="000000"/>
      <w:sz w:val="24"/>
    </w:rPr>
  </w:style>
  <w:style w:type="paragraph" w:customStyle="1" w:styleId="PB">
    <w:name w:val="PB"/>
    <w:rsid w:val="00C53B72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C53B72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C53B72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53B72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C53B72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53B72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53B72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53B72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53B72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53B72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53B72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53B72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53B72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C53B72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C53B72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53B72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C53B72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C53B72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C53B72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C53B72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C5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C53B72"/>
    <w:rPr>
      <w:vertAlign w:val="superscript"/>
    </w:rPr>
  </w:style>
  <w:style w:type="paragraph" w:customStyle="1" w:styleId="HA">
    <w:name w:val="HA"/>
    <w:autoRedefine/>
    <w:rsid w:val="00C53B72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53B72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C53B72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53B72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53B72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53B72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53B72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53B72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53B72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53B72"/>
    <w:rPr>
      <w:rFonts w:ascii="Perpetua Std" w:hAnsi="Perpetua Std"/>
    </w:rPr>
  </w:style>
  <w:style w:type="paragraph" w:styleId="NoSpacing">
    <w:name w:val="No Spacing"/>
    <w:qFormat/>
    <w:rsid w:val="00C53B72"/>
    <w:rPr>
      <w:rFonts w:ascii="Perpetua" w:hAnsi="Perpetua"/>
    </w:rPr>
  </w:style>
  <w:style w:type="paragraph" w:customStyle="1" w:styleId="PCA">
    <w:name w:val="PCA"/>
    <w:rsid w:val="00C53B72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53B72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53B72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61FC3"/>
  </w:style>
  <w:style w:type="character" w:customStyle="1" w:styleId="EndnoteTextChar">
    <w:name w:val="Endnote Text Char"/>
    <w:basedOn w:val="DefaultParagraphFont"/>
    <w:link w:val="EndnoteText"/>
    <w:semiHidden/>
    <w:rsid w:val="00A61FC3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A6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954-E5F6-43A4-8E00-67F8BDC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8576. What is a taxpayer’s basis in property received in an exchange that qualifies for nonrecognition treatment under the like-kind exchange rules?</vt:lpstr>
    </vt:vector>
  </TitlesOfParts>
  <Company>National Underwriter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8576. What is a taxpayer’s basis in property received in an exchange that qualifies for nonrecognition treatment under the like-kind exchange rules?</dc:title>
  <dc:creator>cjump</dc:creator>
  <cp:lastModifiedBy>rcline</cp:lastModifiedBy>
  <cp:revision>2</cp:revision>
  <dcterms:created xsi:type="dcterms:W3CDTF">2014-08-21T15:05:00Z</dcterms:created>
  <dcterms:modified xsi:type="dcterms:W3CDTF">2014-08-21T15:05:00Z</dcterms:modified>
</cp:coreProperties>
</file>