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47" w:rsidRPr="00304E84" w:rsidRDefault="005D4255" w:rsidP="00B611F0">
      <w:pPr>
        <w:pStyle w:val="PA"/>
        <w:rPr>
          <w:b/>
        </w:rPr>
      </w:pPr>
      <w:r>
        <w:rPr>
          <w:b/>
        </w:rPr>
        <w:t>8570</w:t>
      </w:r>
      <w:r w:rsidR="00CF1047" w:rsidRPr="00304E84">
        <w:rPr>
          <w:b/>
        </w:rPr>
        <w:t>.  What considerations are</w:t>
      </w:r>
      <w:r w:rsidR="00690EF0">
        <w:rPr>
          <w:b/>
        </w:rPr>
        <w:t xml:space="preserve"> relevant in determining if</w:t>
      </w:r>
      <w:r w:rsidR="004E6B19">
        <w:rPr>
          <w:b/>
        </w:rPr>
        <w:t xml:space="preserve"> a trade or business is non-passive with respect to a trust for purposes of treating the income derived th</w:t>
      </w:r>
      <w:r w:rsidR="00690EF0">
        <w:rPr>
          <w:b/>
        </w:rPr>
        <w:t>erefrom as excluded from</w:t>
      </w:r>
      <w:r w:rsidR="004E6B19">
        <w:rPr>
          <w:b/>
        </w:rPr>
        <w:t xml:space="preserve"> net investment income?</w:t>
      </w:r>
    </w:p>
    <w:p w:rsidR="00437CBE" w:rsidRPr="00437CBE" w:rsidRDefault="00166A3D" w:rsidP="00B611F0">
      <w:pPr>
        <w:pStyle w:val="PA"/>
        <w:rPr>
          <w:b/>
        </w:rPr>
      </w:pPr>
      <w:r>
        <w:t xml:space="preserve">As discussed in </w:t>
      </w:r>
      <w:r w:rsidR="00C945AB">
        <w:t>Q 85</w:t>
      </w:r>
      <w:r w:rsidR="007948D7">
        <w:t>67</w:t>
      </w:r>
      <w:r>
        <w:t>, whether a</w:t>
      </w:r>
      <w:r w:rsidR="00777957">
        <w:t xml:space="preserve"> trade or business activity from which the taxpayer deriv</w:t>
      </w:r>
      <w:r w:rsidR="00690EF0">
        <w:t xml:space="preserve">es income from is passive </w:t>
      </w:r>
      <w:r w:rsidR="00FD792C">
        <w:t xml:space="preserve">depends on </w:t>
      </w:r>
      <w:r>
        <w:t xml:space="preserve">the </w:t>
      </w:r>
      <w:r w:rsidR="00A922D5">
        <w:t>taxpayer</w:t>
      </w:r>
      <w:r w:rsidR="00777957">
        <w:t xml:space="preserve">’s level of participation </w:t>
      </w:r>
      <w:r>
        <w:t>in the activity</w:t>
      </w:r>
      <w:r w:rsidR="003335D1">
        <w:t xml:space="preserve"> </w:t>
      </w:r>
      <w:r>
        <w:t>in question.</w:t>
      </w:r>
      <w:r w:rsidR="00A02913">
        <w:t xml:space="preserve"> </w:t>
      </w:r>
      <w:r w:rsidR="00437CBE" w:rsidRPr="00437CBE">
        <w:t>In the case of a trust that owns interests in a pass-through entity, such as an S corporation</w:t>
      </w:r>
      <w:r w:rsidR="00A922D5">
        <w:t xml:space="preserve"> or partnership</w:t>
      </w:r>
      <w:r w:rsidR="00437CBE" w:rsidRPr="00437CBE">
        <w:t xml:space="preserve">, </w:t>
      </w:r>
      <w:r>
        <w:t>it is</w:t>
      </w:r>
      <w:r w:rsidR="005D4255">
        <w:t xml:space="preserve"> the trustee’s</w:t>
      </w:r>
      <w:r>
        <w:t xml:space="preserve"> </w:t>
      </w:r>
      <w:r w:rsidR="00777957">
        <w:t xml:space="preserve">participation in the business activities </w:t>
      </w:r>
      <w:r w:rsidR="00A922D5">
        <w:t xml:space="preserve">that </w:t>
      </w:r>
      <w:r w:rsidR="00494D07">
        <w:t>is</w:t>
      </w:r>
      <w:r w:rsidR="00437CBE" w:rsidRPr="00437CBE">
        <w:t xml:space="preserve"> relevant in determining whether the investment is active or passive</w:t>
      </w:r>
      <w:r w:rsidR="00777957">
        <w:t xml:space="preserve"> with respect to the trust</w:t>
      </w:r>
      <w:r w:rsidR="00437CBE" w:rsidRPr="00437CBE">
        <w:t>.</w:t>
      </w:r>
      <w:r w:rsidR="00A02913">
        <w:t xml:space="preserve"> </w:t>
      </w:r>
    </w:p>
    <w:p w:rsidR="00437CBE" w:rsidRPr="00437CBE" w:rsidRDefault="00CC68A8" w:rsidP="00B611F0">
      <w:pPr>
        <w:pStyle w:val="PA"/>
        <w:rPr>
          <w:b/>
        </w:rPr>
      </w:pPr>
      <w:r>
        <w:t xml:space="preserve">In a </w:t>
      </w:r>
      <w:r w:rsidR="00FD792C">
        <w:t>2013</w:t>
      </w:r>
      <w:r>
        <w:t xml:space="preserve"> technical advice memorandum, </w:t>
      </w:r>
      <w:r w:rsidR="00166A3D">
        <w:t>the IRS</w:t>
      </w:r>
      <w:r w:rsidR="008004E8">
        <w:t xml:space="preserve"> </w:t>
      </w:r>
      <w:r w:rsidR="00BE35D3">
        <w:t xml:space="preserve">expressed a restrictive view of what participation in a business activity by a trustee is attributable to the trust.  In that memorandum, the IRS </w:t>
      </w:r>
      <w:r w:rsidR="003527CD">
        <w:t>declared</w:t>
      </w:r>
      <w:bookmarkStart w:id="0" w:name="_GoBack"/>
      <w:bookmarkEnd w:id="0"/>
      <w:r w:rsidR="00437CBE" w:rsidRPr="00437CBE">
        <w:t xml:space="preserve"> that a trustee’s participation in a business in which the trust owned interests was </w:t>
      </w:r>
      <w:r w:rsidR="00437CBE" w:rsidRPr="00437CBE">
        <w:rPr>
          <w:i/>
        </w:rPr>
        <w:t xml:space="preserve">not </w:t>
      </w:r>
      <w:r w:rsidR="00437CBE" w:rsidRPr="00437CBE">
        <w:t xml:space="preserve">material even though the trustee </w:t>
      </w:r>
      <w:r w:rsidR="00BE35D3">
        <w:t xml:space="preserve">was also the </w:t>
      </w:r>
      <w:r w:rsidR="00437CBE" w:rsidRPr="00437CBE">
        <w:t xml:space="preserve">president of the company </w:t>
      </w:r>
      <w:r w:rsidR="00A922D5">
        <w:t>through which the business activity was conducted</w:t>
      </w:r>
      <w:r w:rsidR="00437CBE" w:rsidRPr="00437CBE">
        <w:t>.</w:t>
      </w:r>
      <w:r w:rsidR="00166A3D" w:rsidRPr="00EE7BE5">
        <w:rPr>
          <w:rStyle w:val="FootnoteReference"/>
          <w:color w:val="auto"/>
        </w:rPr>
        <w:footnoteReference w:id="1"/>
      </w:r>
      <w:r w:rsidR="00A02913">
        <w:t xml:space="preserve"> </w:t>
      </w:r>
      <w:r>
        <w:t xml:space="preserve">  The IRS rea</w:t>
      </w:r>
      <w:r w:rsidR="00777957">
        <w:t xml:space="preserve">ched this conclusion </w:t>
      </w:r>
      <w:r w:rsidR="00A650BE">
        <w:t xml:space="preserve">based on its view that the </w:t>
      </w:r>
      <w:r w:rsidR="00437CBE" w:rsidRPr="00437CBE">
        <w:t>trustee</w:t>
      </w:r>
      <w:r>
        <w:t xml:space="preserve">’s participation in the company </w:t>
      </w:r>
      <w:r w:rsidR="00777957">
        <w:t xml:space="preserve">as </w:t>
      </w:r>
      <w:r w:rsidR="00437CBE" w:rsidRPr="00437CBE">
        <w:t xml:space="preserve">an </w:t>
      </w:r>
      <w:r w:rsidR="00437CBE" w:rsidRPr="00437CBE">
        <w:rPr>
          <w:i/>
        </w:rPr>
        <w:t>employee</w:t>
      </w:r>
      <w:r w:rsidR="00437CBE" w:rsidRPr="00437CBE">
        <w:t xml:space="preserve"> </w:t>
      </w:r>
      <w:r w:rsidR="00A650BE">
        <w:t>was separate from his role as trustee; and, thus, it was not attributable to the trust.</w:t>
      </w:r>
      <w:r w:rsidR="00777957">
        <w:t xml:space="preserve">  </w:t>
      </w:r>
      <w:r w:rsidR="00437CBE" w:rsidRPr="00437CBE">
        <w:t xml:space="preserve">Further, </w:t>
      </w:r>
      <w:r w:rsidR="00A922D5">
        <w:t>al</w:t>
      </w:r>
      <w:r w:rsidR="00166A3D">
        <w:t xml:space="preserve">though the </w:t>
      </w:r>
      <w:r w:rsidR="00A650BE">
        <w:t xml:space="preserve">IRS did count the </w:t>
      </w:r>
      <w:r w:rsidR="00166A3D">
        <w:t xml:space="preserve">trustee’s time spent serving as </w:t>
      </w:r>
      <w:r w:rsidR="00166A3D" w:rsidRPr="00A922D5">
        <w:rPr>
          <w:i/>
        </w:rPr>
        <w:t>trustee</w:t>
      </w:r>
      <w:r w:rsidR="00166A3D">
        <w:t xml:space="preserve"> </w:t>
      </w:r>
      <w:r>
        <w:t>in dealing with the company’s business</w:t>
      </w:r>
      <w:r w:rsidR="00A650BE">
        <w:t xml:space="preserve">, it </w:t>
      </w:r>
      <w:r>
        <w:t xml:space="preserve">determined that </w:t>
      </w:r>
      <w:r w:rsidR="008B183A">
        <w:t xml:space="preserve">the trustee’s activities </w:t>
      </w:r>
      <w:r w:rsidR="00A650BE">
        <w:t xml:space="preserve">were nonetheless </w:t>
      </w:r>
      <w:r w:rsidR="00437CBE" w:rsidRPr="00437CBE">
        <w:t>not “regu</w:t>
      </w:r>
      <w:r w:rsidR="008B183A">
        <w:t>lar, continuous and substantial</w:t>
      </w:r>
      <w:r w:rsidR="00437CBE" w:rsidRPr="00437CBE">
        <w:t>”</w:t>
      </w:r>
      <w:r w:rsidR="008B183A">
        <w:t xml:space="preserve"> within the meaning of IRC Section 469</w:t>
      </w:r>
      <w:r w:rsidR="00A922D5">
        <w:t xml:space="preserve"> (governing passive </w:t>
      </w:r>
      <w:r w:rsidR="00217260">
        <w:t>activities generally</w:t>
      </w:r>
      <w:r w:rsidR="00A922D5">
        <w:t>)</w:t>
      </w:r>
      <w:r w:rsidR="008B183A">
        <w:t>.</w:t>
      </w:r>
      <w:r w:rsidR="008B183A" w:rsidRPr="00EE7BE5">
        <w:rPr>
          <w:rStyle w:val="FootnoteReference"/>
          <w:color w:val="auto"/>
        </w:rPr>
        <w:footnoteReference w:id="2"/>
      </w:r>
      <w:r w:rsidR="00A02913">
        <w:t xml:space="preserve"> </w:t>
      </w:r>
    </w:p>
    <w:p w:rsidR="008004E8" w:rsidRPr="003335D1" w:rsidRDefault="00455563" w:rsidP="003335D1">
      <w:pPr>
        <w:ind w:firstLine="288"/>
        <w:jc w:val="both"/>
        <w:rPr>
          <w:sz w:val="24"/>
          <w:szCs w:val="24"/>
        </w:rPr>
      </w:pPr>
      <w:r w:rsidRPr="003335D1">
        <w:rPr>
          <w:sz w:val="24"/>
          <w:szCs w:val="24"/>
        </w:rPr>
        <w:t xml:space="preserve">Although the technical advice memorandum </w:t>
      </w:r>
      <w:r w:rsidR="003335D1">
        <w:rPr>
          <w:sz w:val="24"/>
          <w:szCs w:val="24"/>
        </w:rPr>
        <w:t xml:space="preserve">did not address the issue of </w:t>
      </w:r>
      <w:r w:rsidRPr="003335D1">
        <w:rPr>
          <w:sz w:val="24"/>
          <w:szCs w:val="24"/>
        </w:rPr>
        <w:t xml:space="preserve">whether the trust income was net investment income, it </w:t>
      </w:r>
      <w:r w:rsidR="008004E8" w:rsidRPr="003335D1">
        <w:rPr>
          <w:sz w:val="24"/>
          <w:szCs w:val="24"/>
        </w:rPr>
        <w:t xml:space="preserve">reflects </w:t>
      </w:r>
      <w:r w:rsidR="004C4081" w:rsidRPr="003335D1">
        <w:rPr>
          <w:sz w:val="24"/>
          <w:szCs w:val="24"/>
        </w:rPr>
        <w:t xml:space="preserve">the IRS </w:t>
      </w:r>
      <w:r w:rsidR="005D4255">
        <w:rPr>
          <w:sz w:val="24"/>
          <w:szCs w:val="24"/>
        </w:rPr>
        <w:t xml:space="preserve">view that </w:t>
      </w:r>
      <w:r w:rsidR="00BE35D3">
        <w:rPr>
          <w:sz w:val="24"/>
          <w:szCs w:val="24"/>
        </w:rPr>
        <w:t xml:space="preserve">the participation </w:t>
      </w:r>
      <w:r w:rsidRPr="003335D1">
        <w:rPr>
          <w:sz w:val="24"/>
          <w:szCs w:val="24"/>
        </w:rPr>
        <w:t xml:space="preserve">of a trustee as an employee or officer of an entity </w:t>
      </w:r>
      <w:r w:rsidR="005D4255">
        <w:rPr>
          <w:sz w:val="24"/>
          <w:szCs w:val="24"/>
        </w:rPr>
        <w:t xml:space="preserve">is not attributed </w:t>
      </w:r>
      <w:r w:rsidR="00A650BE">
        <w:rPr>
          <w:sz w:val="24"/>
          <w:szCs w:val="24"/>
        </w:rPr>
        <w:t>t</w:t>
      </w:r>
      <w:r w:rsidRPr="003335D1">
        <w:rPr>
          <w:sz w:val="24"/>
          <w:szCs w:val="24"/>
        </w:rPr>
        <w:t>o his or her role as the trustee.</w:t>
      </w:r>
      <w:r w:rsidR="00217260" w:rsidRPr="003335D1">
        <w:rPr>
          <w:sz w:val="24"/>
          <w:szCs w:val="24"/>
        </w:rPr>
        <w:t xml:space="preserve"> </w:t>
      </w:r>
      <w:r w:rsidR="008004E8" w:rsidRPr="003335D1">
        <w:rPr>
          <w:sz w:val="24"/>
          <w:szCs w:val="24"/>
        </w:rPr>
        <w:t>Based on such a restrictive view of the role of the trustee, it may be virtually</w:t>
      </w:r>
      <w:r w:rsidR="004E6B19">
        <w:rPr>
          <w:sz w:val="24"/>
          <w:szCs w:val="24"/>
        </w:rPr>
        <w:t xml:space="preserve"> impossible</w:t>
      </w:r>
      <w:r w:rsidR="008004E8" w:rsidRPr="003335D1">
        <w:rPr>
          <w:sz w:val="24"/>
          <w:szCs w:val="24"/>
        </w:rPr>
        <w:t xml:space="preserve"> for any trust</w:t>
      </w:r>
      <w:r w:rsidR="00BE35D3">
        <w:rPr>
          <w:sz w:val="24"/>
          <w:szCs w:val="24"/>
        </w:rPr>
        <w:t xml:space="preserve"> </w:t>
      </w:r>
      <w:r w:rsidR="008004E8" w:rsidRPr="003335D1">
        <w:rPr>
          <w:sz w:val="24"/>
          <w:szCs w:val="24"/>
        </w:rPr>
        <w:t>to materially participate in a business activity.</w:t>
      </w:r>
    </w:p>
    <w:p w:rsidR="008004E8" w:rsidRPr="003335D1" w:rsidRDefault="008004E8" w:rsidP="003335D1">
      <w:pPr>
        <w:rPr>
          <w:sz w:val="24"/>
          <w:szCs w:val="24"/>
        </w:rPr>
      </w:pPr>
    </w:p>
    <w:p w:rsidR="005D4B22" w:rsidRDefault="00217260" w:rsidP="008004E8">
      <w:pPr>
        <w:pStyle w:val="PA"/>
      </w:pPr>
      <w:r>
        <w:t xml:space="preserve">However, </w:t>
      </w:r>
      <w:r w:rsidR="004C4081">
        <w:t xml:space="preserve">in a recent decision, the Tax Court rejected </w:t>
      </w:r>
      <w:r w:rsidR="008004E8">
        <w:t xml:space="preserve">the IRS’ restrictive </w:t>
      </w:r>
      <w:r w:rsidR="004C4081">
        <w:t>position</w:t>
      </w:r>
      <w:r w:rsidR="0040520A">
        <w:t>.</w:t>
      </w:r>
      <w:r w:rsidR="0040520A">
        <w:rPr>
          <w:rStyle w:val="FootnoteReference"/>
        </w:rPr>
        <w:footnoteReference w:id="3"/>
      </w:r>
      <w:r w:rsidR="0040520A">
        <w:t xml:space="preserve">  </w:t>
      </w:r>
      <w:r w:rsidR="00C0213B">
        <w:t xml:space="preserve">In that case, a trust owned rental real estate properties and engaged in other real estate activities.  </w:t>
      </w:r>
      <w:r w:rsidR="00BE35D3">
        <w:t xml:space="preserve">Three of the five trustees worked full-time in the trust’s wholly owned rental real estate LLC.  </w:t>
      </w:r>
      <w:r w:rsidR="005D4B22">
        <w:t>The issue was whether the personal services of the trustees as employees of the LLC would be attributable to the trust.</w:t>
      </w:r>
    </w:p>
    <w:p w:rsidR="008004E8" w:rsidRDefault="00CB67CE" w:rsidP="008004E8">
      <w:pPr>
        <w:pStyle w:val="PA"/>
      </w:pPr>
      <w:r>
        <w:t>Pursuant to IRC Section 469(c</w:t>
      </w:r>
      <w:proofErr w:type="gramStart"/>
      <w:r>
        <w:t>)(</w:t>
      </w:r>
      <w:proofErr w:type="gramEnd"/>
      <w:r>
        <w:t xml:space="preserve">2), </w:t>
      </w:r>
      <w:r w:rsidR="00690EF0">
        <w:t>all rental activities are</w:t>
      </w:r>
      <w:r>
        <w:t xml:space="preserve"> passive.  </w:t>
      </w:r>
      <w:r w:rsidR="00A650BE">
        <w:t>In order to rebut that characterization</w:t>
      </w:r>
      <w:r w:rsidR="008004E8">
        <w:t>, IRC Section 469(c)(7)(B) requires the taxpayer to meet the following two tests:  (1) more than one-half of the personal services performed in the trades or businesses by the taxpayer during the taxable year is performed in real property trades or businesses in which the taxpayer materially participates; and, (2) the taxpayer performs more than 750 hours of services during the year in real property trades or businesses in which the taxpayer materially participates.</w:t>
      </w:r>
    </w:p>
    <w:p w:rsidR="00217260" w:rsidRDefault="005D4B22" w:rsidP="003335D1">
      <w:pPr>
        <w:pStyle w:val="PA"/>
      </w:pPr>
      <w:r>
        <w:t xml:space="preserve">Consistent with the technical advice memorandum, the IRS argued that the </w:t>
      </w:r>
      <w:r w:rsidR="005A76D1">
        <w:t xml:space="preserve">personal services performed by the trustees as employees of the LLC </w:t>
      </w:r>
      <w:r w:rsidR="005D4255">
        <w:t xml:space="preserve">were </w:t>
      </w:r>
      <w:r>
        <w:t xml:space="preserve">not </w:t>
      </w:r>
      <w:r w:rsidR="005D4255">
        <w:t>attributable</w:t>
      </w:r>
      <w:r w:rsidR="005A76D1">
        <w:t xml:space="preserve"> to the trust.  </w:t>
      </w:r>
      <w:r w:rsidR="00CB67CE">
        <w:t>The Tax Court</w:t>
      </w:r>
      <w:r>
        <w:t xml:space="preserve">, however, </w:t>
      </w:r>
      <w:r w:rsidR="00CB67CE">
        <w:t xml:space="preserve">rejected the IRS’ </w:t>
      </w:r>
      <w:r w:rsidR="00A823C3">
        <w:t>view as being too narrow</w:t>
      </w:r>
      <w:r w:rsidR="005A76D1">
        <w:t xml:space="preserve"> a</w:t>
      </w:r>
      <w:r w:rsidR="00CB67CE">
        <w:t xml:space="preserve">nd held that the </w:t>
      </w:r>
      <w:r>
        <w:t xml:space="preserve">participation </w:t>
      </w:r>
      <w:r w:rsidR="00CB67CE">
        <w:t xml:space="preserve">of the </w:t>
      </w:r>
      <w:r w:rsidR="00CB67CE">
        <w:lastRenderedPageBreak/>
        <w:t>trustees as employees were attributable to the trust.  So, because the activities of those trustees/employees met the two IRC Section 469(b</w:t>
      </w:r>
      <w:proofErr w:type="gramStart"/>
      <w:r w:rsidR="00CB67CE">
        <w:t>)(</w:t>
      </w:r>
      <w:proofErr w:type="gramEnd"/>
      <w:r w:rsidR="00CB67CE">
        <w:t xml:space="preserve">7)(B) tests, </w:t>
      </w:r>
      <w:r w:rsidR="004C4081">
        <w:t>the trust was deemed to have materially participated in the rental real estate activities, and, for that reason, they were non-passive activities.</w:t>
      </w:r>
      <w:r w:rsidR="00217260">
        <w:t xml:space="preserve">  </w:t>
      </w:r>
    </w:p>
    <w:p w:rsidR="00690EF0" w:rsidRDefault="00690EF0" w:rsidP="00304E84">
      <w:pPr>
        <w:pStyle w:val="PA"/>
      </w:pPr>
    </w:p>
    <w:p w:rsidR="00114C03" w:rsidRPr="006B0260" w:rsidRDefault="00690EF0" w:rsidP="00304E84">
      <w:pPr>
        <w:pStyle w:val="PA"/>
        <w:rPr>
          <w:rFonts w:ascii="Perpetua" w:eastAsia="MS Mincho" w:hAnsi="Perpetua"/>
          <w:b/>
          <w:szCs w:val="24"/>
        </w:rPr>
      </w:pPr>
      <w:proofErr w:type="gramStart"/>
      <w:r w:rsidRPr="00690EF0">
        <w:rPr>
          <w:b/>
        </w:rPr>
        <w:t>Planning Point</w:t>
      </w:r>
      <w:r>
        <w:t xml:space="preserve">: </w:t>
      </w:r>
      <w:r w:rsidR="005D4B22">
        <w:t xml:space="preserve">Although the Tax Court case </w:t>
      </w:r>
      <w:r w:rsidR="00A823C3">
        <w:t xml:space="preserve">also </w:t>
      </w:r>
      <w:r w:rsidR="005D4B22">
        <w:t xml:space="preserve">did not involve net investment income, based on the holding, the </w:t>
      </w:r>
      <w:r w:rsidR="00A823C3">
        <w:t xml:space="preserve">non-passive </w:t>
      </w:r>
      <w:r w:rsidR="005D4B22">
        <w:t xml:space="preserve">rental income would </w:t>
      </w:r>
      <w:r w:rsidR="00A823C3">
        <w:t xml:space="preserve">have </w:t>
      </w:r>
      <w:r w:rsidR="005D4B22">
        <w:t>most likely been excluded from net investment income.</w:t>
      </w:r>
      <w:proofErr w:type="gramEnd"/>
      <w:r w:rsidR="005D4B22">
        <w:t xml:space="preserve">  </w:t>
      </w:r>
      <w:r w:rsidR="00A823C3">
        <w:t>Additionally, t</w:t>
      </w:r>
      <w:r w:rsidR="005D4B22">
        <w:t xml:space="preserve">he Tax Court case is significant because it was a regular opinion reviewed by the entire Tax Court bench rather than a Tax Court Memorandum decision that </w:t>
      </w:r>
      <w:r w:rsidR="00902A3E">
        <w:t xml:space="preserve">carries </w:t>
      </w:r>
      <w:r w:rsidR="005D4B22">
        <w:t xml:space="preserve">less authoritative </w:t>
      </w:r>
      <w:r w:rsidR="00902A3E">
        <w:t>weight</w:t>
      </w:r>
      <w:r w:rsidR="005D4B22">
        <w:t>.</w:t>
      </w:r>
      <w:r w:rsidR="00902A3E">
        <w:t xml:space="preserve">  In any event, IRS has not </w:t>
      </w:r>
      <w:r w:rsidR="005D4B22">
        <w:t xml:space="preserve">yet indicated </w:t>
      </w:r>
      <w:r w:rsidR="00902A3E">
        <w:t xml:space="preserve">whether it </w:t>
      </w:r>
      <w:r w:rsidR="00A650BE">
        <w:t xml:space="preserve">will </w:t>
      </w:r>
      <w:r w:rsidR="005D4B22">
        <w:t xml:space="preserve">follow the decision or </w:t>
      </w:r>
      <w:r w:rsidR="00A650BE">
        <w:t>continue to apply the restrictive view of the technical advice memorandum</w:t>
      </w:r>
      <w:r w:rsidR="00902A3E">
        <w:t xml:space="preserve">.  </w:t>
      </w:r>
      <w:r w:rsidR="00A650BE">
        <w:t>Because a low applicable threshold</w:t>
      </w:r>
      <w:r w:rsidR="00BE35D3">
        <w:t xml:space="preserve"> subjects many trusts to the net investment income tax (see Q</w:t>
      </w:r>
      <w:r w:rsidR="005D4255">
        <w:t xml:space="preserve"> 8569</w:t>
      </w:r>
      <w:r w:rsidR="00BE35D3">
        <w:t xml:space="preserve">), </w:t>
      </w:r>
      <w:r w:rsidR="00F038C1">
        <w:t>trustees</w:t>
      </w:r>
      <w:r w:rsidR="00217260">
        <w:t xml:space="preserve"> should pay attention </w:t>
      </w:r>
      <w:r w:rsidR="00902A3E">
        <w:t xml:space="preserve">to </w:t>
      </w:r>
      <w:r w:rsidR="00217260">
        <w:t xml:space="preserve">how the </w:t>
      </w:r>
      <w:r w:rsidR="00902A3E">
        <w:t xml:space="preserve">IRS will deal with this issue as it </w:t>
      </w:r>
      <w:r w:rsidR="005A76D1">
        <w:t>relates</w:t>
      </w:r>
      <w:r w:rsidR="00902A3E">
        <w:t xml:space="preserve"> to treating rental real estate activities </w:t>
      </w:r>
      <w:r w:rsidR="00F62592">
        <w:t xml:space="preserve">of a trust </w:t>
      </w:r>
      <w:r w:rsidR="00902A3E">
        <w:t>as passive or non-passive</w:t>
      </w:r>
      <w:r w:rsidR="00BE35D3">
        <w:t>.</w:t>
      </w:r>
    </w:p>
    <w:sectPr w:rsidR="00114C03" w:rsidRPr="006B0260"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D3" w:rsidRDefault="00FC0BD3" w:rsidP="00536B05">
      <w:r>
        <w:separator/>
      </w:r>
    </w:p>
  </w:endnote>
  <w:endnote w:type="continuationSeparator" w:id="0">
    <w:p w:rsidR="00FC0BD3" w:rsidRDefault="00FC0BD3" w:rsidP="0053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LT Std">
    <w:altName w:val="Cambria"/>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D3" w:rsidRDefault="00FC0BD3" w:rsidP="00536B05">
      <w:r>
        <w:separator/>
      </w:r>
    </w:p>
  </w:footnote>
  <w:footnote w:type="continuationSeparator" w:id="0">
    <w:p w:rsidR="00FC0BD3" w:rsidRDefault="00FC0BD3" w:rsidP="00536B05">
      <w:r>
        <w:continuationSeparator/>
      </w:r>
    </w:p>
  </w:footnote>
  <w:footnote w:id="1">
    <w:p w:rsidR="009B2364" w:rsidRPr="00B611F0" w:rsidRDefault="009B2364" w:rsidP="00EE7BE5">
      <w:pPr>
        <w:pStyle w:val="PQ"/>
      </w:pPr>
      <w:r w:rsidRPr="00B611F0">
        <w:rPr>
          <w:rStyle w:val="FootnoteReference"/>
          <w:vertAlign w:val="baseline"/>
        </w:rPr>
        <w:footnoteRef/>
      </w:r>
      <w:r w:rsidR="001D533C">
        <w:t>.</w:t>
      </w:r>
      <w:r w:rsidR="001D533C">
        <w:tab/>
      </w:r>
      <w:r w:rsidR="00EE7BE5" w:rsidRPr="00B611F0">
        <w:t>TAM 201317010.</w:t>
      </w:r>
    </w:p>
  </w:footnote>
  <w:footnote w:id="2">
    <w:p w:rsidR="009B2364" w:rsidRPr="00B611F0" w:rsidRDefault="009B2364" w:rsidP="00EE7BE5">
      <w:pPr>
        <w:pStyle w:val="PQ"/>
      </w:pPr>
      <w:r w:rsidRPr="00B611F0">
        <w:rPr>
          <w:rStyle w:val="FootnoteReference"/>
          <w:vertAlign w:val="baseline"/>
        </w:rPr>
        <w:footnoteRef/>
      </w:r>
      <w:r w:rsidR="001D533C">
        <w:t>.</w:t>
      </w:r>
      <w:r w:rsidR="001D533C">
        <w:tab/>
      </w:r>
      <w:r w:rsidR="00EE7BE5" w:rsidRPr="00B611F0">
        <w:t>IRC Sec. 469(h)(1).</w:t>
      </w:r>
    </w:p>
  </w:footnote>
  <w:footnote w:id="3">
    <w:p w:rsidR="0040520A" w:rsidRPr="00304E84" w:rsidRDefault="0040520A" w:rsidP="0040520A">
      <w:pPr>
        <w:pStyle w:val="FootnoteText"/>
        <w:rPr>
          <w:sz w:val="16"/>
          <w:szCs w:val="16"/>
        </w:rPr>
      </w:pPr>
      <w:r>
        <w:rPr>
          <w:rStyle w:val="FootnoteReference"/>
        </w:rPr>
        <w:footnoteRef/>
      </w:r>
      <w:r>
        <w:t xml:space="preserve">      </w:t>
      </w:r>
      <w:r>
        <w:rPr>
          <w:i/>
        </w:rPr>
        <w:t xml:space="preserve">Frank </w:t>
      </w:r>
      <w:proofErr w:type="spellStart"/>
      <w:r>
        <w:rPr>
          <w:i/>
        </w:rPr>
        <w:t>Aragona</w:t>
      </w:r>
      <w:proofErr w:type="spellEnd"/>
      <w:r>
        <w:rPr>
          <w:i/>
        </w:rPr>
        <w:t xml:space="preserve"> Trust </w:t>
      </w:r>
      <w:proofErr w:type="gramStart"/>
      <w:r>
        <w:rPr>
          <w:i/>
        </w:rPr>
        <w:t>et</w:t>
      </w:r>
      <w:proofErr w:type="gramEnd"/>
      <w:r>
        <w:rPr>
          <w:i/>
        </w:rPr>
        <w:t>. al. v. Comm.</w:t>
      </w:r>
      <w:r w:rsidR="00C0213B">
        <w:t>, 142 T.C. No. 9 (March 27, 2014)</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BB42CE"/>
    <w:multiLevelType w:val="hybridMultilevel"/>
    <w:tmpl w:val="BF06F940"/>
    <w:lvl w:ilvl="0" w:tplc="60ECB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B76D9"/>
    <w:multiLevelType w:val="hybridMultilevel"/>
    <w:tmpl w:val="45F2C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E0CC4"/>
    <w:multiLevelType w:val="hybridMultilevel"/>
    <w:tmpl w:val="B5FE802C"/>
    <w:lvl w:ilvl="0" w:tplc="1D1875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3BC110BE"/>
    <w:multiLevelType w:val="hybridMultilevel"/>
    <w:tmpl w:val="9AE02338"/>
    <w:lvl w:ilvl="0" w:tplc="A9B40A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084466"/>
    <w:multiLevelType w:val="hybridMultilevel"/>
    <w:tmpl w:val="20E2C94C"/>
    <w:lvl w:ilvl="0" w:tplc="1C4AC2D0">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B2CBE"/>
    <w:multiLevelType w:val="singleLevel"/>
    <w:tmpl w:val="0409000F"/>
    <w:lvl w:ilvl="0">
      <w:start w:val="1"/>
      <w:numFmt w:val="decimal"/>
      <w:lvlText w:val="%1."/>
      <w:lvlJc w:val="left"/>
      <w:pPr>
        <w:tabs>
          <w:tab w:val="num" w:pos="360"/>
        </w:tabs>
        <w:ind w:left="360" w:hanging="360"/>
      </w:pPr>
    </w:lvl>
  </w:abstractNum>
  <w:abstractNum w:abstractNumId="12">
    <w:nsid w:val="597F1EEF"/>
    <w:multiLevelType w:val="hybridMultilevel"/>
    <w:tmpl w:val="AE080146"/>
    <w:lvl w:ilvl="0" w:tplc="D3725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592209"/>
    <w:multiLevelType w:val="hybridMultilevel"/>
    <w:tmpl w:val="601CAE42"/>
    <w:lvl w:ilvl="0" w:tplc="E9261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0"/>
  </w:num>
  <w:num w:numId="2">
    <w:abstractNumId w:val="15"/>
  </w:num>
  <w:num w:numId="3">
    <w:abstractNumId w:val="5"/>
  </w:num>
  <w:num w:numId="4">
    <w:abstractNumId w:val="8"/>
  </w:num>
  <w:num w:numId="5">
    <w:abstractNumId w:val="12"/>
  </w:num>
  <w:num w:numId="6">
    <w:abstractNumId w:val="3"/>
  </w:num>
  <w:num w:numId="7">
    <w:abstractNumId w:val="13"/>
  </w:num>
  <w:num w:numId="8">
    <w:abstractNumId w:val="0"/>
  </w:num>
  <w:num w:numId="9">
    <w:abstractNumId w:val="7"/>
  </w:num>
  <w:num w:numId="10">
    <w:abstractNumId w:val="17"/>
  </w:num>
  <w:num w:numId="11">
    <w:abstractNumId w:val="6"/>
  </w:num>
  <w:num w:numId="12">
    <w:abstractNumId w:val="11"/>
  </w:num>
  <w:num w:numId="13">
    <w:abstractNumId w:val="1"/>
  </w:num>
  <w:num w:numId="14">
    <w:abstractNumId w:val="2"/>
  </w:num>
  <w:num w:numId="15">
    <w:abstractNumId w:val="14"/>
  </w:num>
  <w:num w:numId="16">
    <w:abstractNumId w:val="1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ED"/>
    <w:rsid w:val="00012D94"/>
    <w:rsid w:val="00025E46"/>
    <w:rsid w:val="0003025A"/>
    <w:rsid w:val="00060618"/>
    <w:rsid w:val="00065361"/>
    <w:rsid w:val="00094E50"/>
    <w:rsid w:val="000A37F8"/>
    <w:rsid w:val="000C1C63"/>
    <w:rsid w:val="000D179D"/>
    <w:rsid w:val="000D7E02"/>
    <w:rsid w:val="0010211C"/>
    <w:rsid w:val="00114A17"/>
    <w:rsid w:val="00114C03"/>
    <w:rsid w:val="00114F7E"/>
    <w:rsid w:val="0011643A"/>
    <w:rsid w:val="00133EA9"/>
    <w:rsid w:val="00166A3D"/>
    <w:rsid w:val="001A5CC6"/>
    <w:rsid w:val="001C0197"/>
    <w:rsid w:val="001C2D8B"/>
    <w:rsid w:val="001D533C"/>
    <w:rsid w:val="001E59F3"/>
    <w:rsid w:val="001F52F4"/>
    <w:rsid w:val="00217260"/>
    <w:rsid w:val="00236EBA"/>
    <w:rsid w:val="002528CF"/>
    <w:rsid w:val="00257104"/>
    <w:rsid w:val="00267E98"/>
    <w:rsid w:val="00271A21"/>
    <w:rsid w:val="00282D04"/>
    <w:rsid w:val="0028552C"/>
    <w:rsid w:val="00296983"/>
    <w:rsid w:val="002B3FE0"/>
    <w:rsid w:val="002C0AA6"/>
    <w:rsid w:val="002C1BC5"/>
    <w:rsid w:val="002C7FE6"/>
    <w:rsid w:val="002D14CC"/>
    <w:rsid w:val="00304E84"/>
    <w:rsid w:val="00307615"/>
    <w:rsid w:val="00311C8F"/>
    <w:rsid w:val="003136E3"/>
    <w:rsid w:val="00317415"/>
    <w:rsid w:val="003335D1"/>
    <w:rsid w:val="003527CD"/>
    <w:rsid w:val="00365BC3"/>
    <w:rsid w:val="003C1283"/>
    <w:rsid w:val="003F5AA4"/>
    <w:rsid w:val="0040520A"/>
    <w:rsid w:val="00424FBB"/>
    <w:rsid w:val="00437CBE"/>
    <w:rsid w:val="00455563"/>
    <w:rsid w:val="00455D1D"/>
    <w:rsid w:val="00494D07"/>
    <w:rsid w:val="004A4C0D"/>
    <w:rsid w:val="004A7339"/>
    <w:rsid w:val="004B1350"/>
    <w:rsid w:val="004C4081"/>
    <w:rsid w:val="004E6B19"/>
    <w:rsid w:val="004F1F2A"/>
    <w:rsid w:val="004F6C3F"/>
    <w:rsid w:val="00516BDA"/>
    <w:rsid w:val="00536354"/>
    <w:rsid w:val="00536B05"/>
    <w:rsid w:val="00551451"/>
    <w:rsid w:val="0055218C"/>
    <w:rsid w:val="0055609B"/>
    <w:rsid w:val="005666B9"/>
    <w:rsid w:val="0059765D"/>
    <w:rsid w:val="005A76D1"/>
    <w:rsid w:val="005C50ED"/>
    <w:rsid w:val="005D4255"/>
    <w:rsid w:val="005D4B22"/>
    <w:rsid w:val="005F2220"/>
    <w:rsid w:val="005F747A"/>
    <w:rsid w:val="005F7C9B"/>
    <w:rsid w:val="00620A81"/>
    <w:rsid w:val="00623E77"/>
    <w:rsid w:val="00655D52"/>
    <w:rsid w:val="006656BE"/>
    <w:rsid w:val="00666D1A"/>
    <w:rsid w:val="00690EF0"/>
    <w:rsid w:val="006A2941"/>
    <w:rsid w:val="006B0260"/>
    <w:rsid w:val="006B29BA"/>
    <w:rsid w:val="006F4200"/>
    <w:rsid w:val="006F4885"/>
    <w:rsid w:val="00746177"/>
    <w:rsid w:val="00777957"/>
    <w:rsid w:val="00777AF6"/>
    <w:rsid w:val="007948D7"/>
    <w:rsid w:val="007B0BC4"/>
    <w:rsid w:val="007C1E0C"/>
    <w:rsid w:val="007C6582"/>
    <w:rsid w:val="007D73C8"/>
    <w:rsid w:val="007D7788"/>
    <w:rsid w:val="007F000B"/>
    <w:rsid w:val="007F6B44"/>
    <w:rsid w:val="008004E8"/>
    <w:rsid w:val="00801263"/>
    <w:rsid w:val="00853ACB"/>
    <w:rsid w:val="00856358"/>
    <w:rsid w:val="00886212"/>
    <w:rsid w:val="008B16D5"/>
    <w:rsid w:val="008B183A"/>
    <w:rsid w:val="00902A3E"/>
    <w:rsid w:val="00917D5C"/>
    <w:rsid w:val="0093676A"/>
    <w:rsid w:val="00991AD8"/>
    <w:rsid w:val="00994A42"/>
    <w:rsid w:val="009B2364"/>
    <w:rsid w:val="00A02913"/>
    <w:rsid w:val="00A02AF1"/>
    <w:rsid w:val="00A06D94"/>
    <w:rsid w:val="00A153DC"/>
    <w:rsid w:val="00A22ABD"/>
    <w:rsid w:val="00A43D8E"/>
    <w:rsid w:val="00A56136"/>
    <w:rsid w:val="00A650BE"/>
    <w:rsid w:val="00A804B9"/>
    <w:rsid w:val="00A823C3"/>
    <w:rsid w:val="00A922D5"/>
    <w:rsid w:val="00B2399E"/>
    <w:rsid w:val="00B32AF4"/>
    <w:rsid w:val="00B5201D"/>
    <w:rsid w:val="00B611F0"/>
    <w:rsid w:val="00B952C4"/>
    <w:rsid w:val="00BA5395"/>
    <w:rsid w:val="00BE35D3"/>
    <w:rsid w:val="00BE5482"/>
    <w:rsid w:val="00C00ED3"/>
    <w:rsid w:val="00C0213B"/>
    <w:rsid w:val="00C107DC"/>
    <w:rsid w:val="00C5321C"/>
    <w:rsid w:val="00C7171A"/>
    <w:rsid w:val="00C945AB"/>
    <w:rsid w:val="00CB5DE6"/>
    <w:rsid w:val="00CB67CE"/>
    <w:rsid w:val="00CC68A8"/>
    <w:rsid w:val="00CF1047"/>
    <w:rsid w:val="00D0255A"/>
    <w:rsid w:val="00D16DFF"/>
    <w:rsid w:val="00D279A1"/>
    <w:rsid w:val="00D3099E"/>
    <w:rsid w:val="00D34A75"/>
    <w:rsid w:val="00D63101"/>
    <w:rsid w:val="00D655FB"/>
    <w:rsid w:val="00D81626"/>
    <w:rsid w:val="00D855B4"/>
    <w:rsid w:val="00D97308"/>
    <w:rsid w:val="00DC3EDC"/>
    <w:rsid w:val="00DD2422"/>
    <w:rsid w:val="00DF18F4"/>
    <w:rsid w:val="00E019D6"/>
    <w:rsid w:val="00E604DB"/>
    <w:rsid w:val="00E64400"/>
    <w:rsid w:val="00E76CBA"/>
    <w:rsid w:val="00E8050C"/>
    <w:rsid w:val="00E90801"/>
    <w:rsid w:val="00E94F6A"/>
    <w:rsid w:val="00EA088C"/>
    <w:rsid w:val="00EE7BE5"/>
    <w:rsid w:val="00EF3318"/>
    <w:rsid w:val="00EF384A"/>
    <w:rsid w:val="00F038C1"/>
    <w:rsid w:val="00F22DA6"/>
    <w:rsid w:val="00F43D0A"/>
    <w:rsid w:val="00F56939"/>
    <w:rsid w:val="00F5790C"/>
    <w:rsid w:val="00F62592"/>
    <w:rsid w:val="00F77101"/>
    <w:rsid w:val="00F97395"/>
    <w:rsid w:val="00FC0BD3"/>
    <w:rsid w:val="00FD792C"/>
    <w:rsid w:val="00FE1161"/>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DC3EDC"/>
    <w:rPr>
      <w:rFonts w:ascii="Perpetua Std" w:hAnsi="Perpetua Std"/>
    </w:rPr>
  </w:style>
  <w:style w:type="paragraph" w:styleId="Heading1">
    <w:name w:val="heading 1"/>
    <w:basedOn w:val="Normal"/>
    <w:next w:val="Normal"/>
    <w:link w:val="Heading1Char"/>
    <w:qFormat/>
    <w:rsid w:val="00DC3EDC"/>
    <w:pPr>
      <w:keepNext/>
      <w:outlineLvl w:val="0"/>
    </w:pPr>
    <w:rPr>
      <w:b/>
    </w:rPr>
  </w:style>
  <w:style w:type="paragraph" w:styleId="Heading2">
    <w:name w:val="heading 2"/>
    <w:basedOn w:val="Normal"/>
    <w:next w:val="Normal"/>
    <w:link w:val="Heading2Char"/>
    <w:qFormat/>
    <w:rsid w:val="00DC3EDC"/>
    <w:pPr>
      <w:keepNext/>
      <w:spacing w:before="240" w:after="60"/>
      <w:outlineLvl w:val="1"/>
    </w:pPr>
    <w:rPr>
      <w:rFonts w:ascii="Arial" w:hAnsi="Arial"/>
      <w:b/>
      <w:i/>
      <w:sz w:val="24"/>
    </w:rPr>
  </w:style>
  <w:style w:type="paragraph" w:styleId="Heading3">
    <w:name w:val="heading 3"/>
    <w:basedOn w:val="Normal"/>
    <w:next w:val="Normal"/>
    <w:link w:val="Heading3Char"/>
    <w:qFormat/>
    <w:rsid w:val="00DC3EDC"/>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DC3EDC"/>
    <w:pPr>
      <w:spacing w:after="240"/>
      <w:jc w:val="both"/>
    </w:pPr>
    <w:rPr>
      <w:rFonts w:ascii="Helvetica LT Std" w:hAnsi="Helvetica LT Std"/>
      <w:b/>
      <w:color w:val="000000"/>
      <w:sz w:val="26"/>
    </w:rPr>
  </w:style>
  <w:style w:type="paragraph" w:styleId="FootnoteText">
    <w:name w:val="footnote text"/>
    <w:basedOn w:val="Normal"/>
    <w:link w:val="FootnoteTextChar"/>
    <w:rsid w:val="00536B05"/>
  </w:style>
  <w:style w:type="character" w:customStyle="1" w:styleId="FootnoteTextChar">
    <w:name w:val="Footnote Text Char"/>
    <w:link w:val="FootnoteText"/>
    <w:rsid w:val="00536B05"/>
    <w:rPr>
      <w:sz w:val="20"/>
      <w:szCs w:val="20"/>
    </w:rPr>
  </w:style>
  <w:style w:type="character" w:styleId="FootnoteReference">
    <w:name w:val="footnote reference"/>
    <w:rsid w:val="00DC3EDC"/>
    <w:rPr>
      <w:vertAlign w:val="superscript"/>
    </w:rPr>
  </w:style>
  <w:style w:type="paragraph" w:customStyle="1" w:styleId="PA">
    <w:name w:val="PA"/>
    <w:next w:val="Normal"/>
    <w:link w:val="PAChar"/>
    <w:rsid w:val="00DC3EDC"/>
    <w:pPr>
      <w:spacing w:after="240"/>
      <w:ind w:firstLine="288"/>
      <w:jc w:val="both"/>
    </w:pPr>
    <w:rPr>
      <w:rFonts w:ascii="Perpetua Std" w:hAnsi="Perpetua Std"/>
      <w:color w:val="000000"/>
      <w:sz w:val="24"/>
    </w:rPr>
  </w:style>
  <w:style w:type="character" w:customStyle="1" w:styleId="PAChar">
    <w:name w:val="PA Char"/>
    <w:link w:val="PA"/>
    <w:rsid w:val="00DC3EDC"/>
    <w:rPr>
      <w:rFonts w:ascii="Perpetua Std" w:hAnsi="Perpetua Std"/>
      <w:color w:val="000000"/>
      <w:sz w:val="24"/>
    </w:rPr>
  </w:style>
  <w:style w:type="character" w:styleId="Hyperlink">
    <w:name w:val="Hyperlink"/>
    <w:rsid w:val="00A804B9"/>
    <w:rPr>
      <w:color w:val="0000FF"/>
      <w:u w:val="single"/>
    </w:rPr>
  </w:style>
  <w:style w:type="paragraph" w:styleId="BalloonText">
    <w:name w:val="Balloon Text"/>
    <w:basedOn w:val="Normal"/>
    <w:link w:val="BalloonTextChar"/>
    <w:rsid w:val="00B611F0"/>
    <w:rPr>
      <w:rFonts w:ascii="Tahoma" w:hAnsi="Tahoma" w:cs="Tahoma"/>
      <w:sz w:val="16"/>
      <w:szCs w:val="16"/>
    </w:rPr>
  </w:style>
  <w:style w:type="character" w:customStyle="1" w:styleId="BalloonTextChar">
    <w:name w:val="Balloon Text Char"/>
    <w:link w:val="BalloonText"/>
    <w:rsid w:val="00B611F0"/>
    <w:rPr>
      <w:rFonts w:ascii="Tahoma" w:hAnsi="Tahoma" w:cs="Tahoma"/>
      <w:sz w:val="16"/>
      <w:szCs w:val="16"/>
    </w:rPr>
  </w:style>
  <w:style w:type="paragraph" w:styleId="Footer">
    <w:name w:val="footer"/>
    <w:basedOn w:val="Normal"/>
    <w:link w:val="FooterChar"/>
    <w:rsid w:val="00DC3EDC"/>
    <w:pPr>
      <w:tabs>
        <w:tab w:val="center" w:pos="4320"/>
        <w:tab w:val="right" w:pos="8640"/>
      </w:tabs>
    </w:pPr>
  </w:style>
  <w:style w:type="character" w:customStyle="1" w:styleId="FooterChar">
    <w:name w:val="Footer Char"/>
    <w:link w:val="Footer"/>
    <w:rsid w:val="00B611F0"/>
    <w:rPr>
      <w:rFonts w:ascii="Perpetua Std" w:hAnsi="Perpetua Std"/>
    </w:rPr>
  </w:style>
  <w:style w:type="paragraph" w:styleId="Header">
    <w:name w:val="header"/>
    <w:basedOn w:val="Normal"/>
    <w:link w:val="HeaderChar"/>
    <w:rsid w:val="00DC3EDC"/>
    <w:pPr>
      <w:tabs>
        <w:tab w:val="center" w:pos="4320"/>
        <w:tab w:val="right" w:pos="8640"/>
      </w:tabs>
    </w:pPr>
  </w:style>
  <w:style w:type="character" w:customStyle="1" w:styleId="HeaderChar">
    <w:name w:val="Header Char"/>
    <w:link w:val="Header"/>
    <w:rsid w:val="00B611F0"/>
    <w:rPr>
      <w:rFonts w:ascii="Perpetua Std" w:hAnsi="Perpetua Std"/>
    </w:rPr>
  </w:style>
  <w:style w:type="paragraph" w:customStyle="1" w:styleId="Standard">
    <w:name w:val="Standard"/>
    <w:rsid w:val="00DC3EDC"/>
    <w:pPr>
      <w:spacing w:before="144"/>
      <w:jc w:val="both"/>
    </w:pPr>
    <w:rPr>
      <w:noProof/>
    </w:rPr>
  </w:style>
  <w:style w:type="paragraph" w:customStyle="1" w:styleId="PB">
    <w:name w:val="PB"/>
    <w:rsid w:val="00DC3EDC"/>
    <w:pPr>
      <w:spacing w:after="240"/>
      <w:jc w:val="both"/>
    </w:pPr>
    <w:rPr>
      <w:rFonts w:ascii="Perpetua Std" w:hAnsi="Perpetua Std"/>
      <w:color w:val="000000"/>
      <w:sz w:val="24"/>
    </w:rPr>
  </w:style>
  <w:style w:type="paragraph" w:customStyle="1" w:styleId="PC">
    <w:name w:val="PC"/>
    <w:rsid w:val="00DC3EDC"/>
    <w:pPr>
      <w:tabs>
        <w:tab w:val="left" w:pos="720"/>
      </w:tabs>
      <w:spacing w:after="240"/>
      <w:ind w:left="720" w:hanging="360"/>
      <w:jc w:val="both"/>
    </w:pPr>
    <w:rPr>
      <w:rFonts w:ascii="Perpetua Std" w:hAnsi="Perpetua Std"/>
      <w:color w:val="000000"/>
      <w:sz w:val="24"/>
    </w:rPr>
  </w:style>
  <w:style w:type="paragraph" w:customStyle="1" w:styleId="PD">
    <w:name w:val="PD"/>
    <w:rsid w:val="00DC3EDC"/>
    <w:pPr>
      <w:spacing w:after="240"/>
      <w:ind w:left="720" w:firstLine="288"/>
      <w:jc w:val="both"/>
    </w:pPr>
    <w:rPr>
      <w:rFonts w:ascii="Perpetua Std" w:hAnsi="Perpetua Std"/>
      <w:color w:val="000000"/>
      <w:sz w:val="24"/>
    </w:rPr>
  </w:style>
  <w:style w:type="paragraph" w:customStyle="1" w:styleId="PE">
    <w:name w:val="PE"/>
    <w:rsid w:val="00DC3EDC"/>
    <w:pPr>
      <w:spacing w:after="240"/>
      <w:ind w:left="720"/>
      <w:jc w:val="both"/>
    </w:pPr>
    <w:rPr>
      <w:rFonts w:ascii="Perpetua Std" w:hAnsi="Perpetua Std"/>
      <w:color w:val="000000"/>
      <w:sz w:val="24"/>
    </w:rPr>
  </w:style>
  <w:style w:type="paragraph" w:customStyle="1" w:styleId="PF">
    <w:name w:val="PF"/>
    <w:rsid w:val="00DC3EDC"/>
    <w:pPr>
      <w:tabs>
        <w:tab w:val="left" w:pos="1080"/>
      </w:tabs>
      <w:spacing w:after="240"/>
      <w:ind w:left="1080" w:hanging="360"/>
      <w:jc w:val="both"/>
    </w:pPr>
    <w:rPr>
      <w:rFonts w:ascii="Perpetua Std" w:hAnsi="Perpetua Std"/>
      <w:color w:val="000000"/>
      <w:sz w:val="24"/>
    </w:rPr>
  </w:style>
  <w:style w:type="paragraph" w:customStyle="1" w:styleId="PG">
    <w:name w:val="PG"/>
    <w:rsid w:val="00DC3EDC"/>
    <w:pPr>
      <w:spacing w:after="240"/>
      <w:ind w:left="360"/>
      <w:jc w:val="both"/>
    </w:pPr>
    <w:rPr>
      <w:rFonts w:ascii="Perpetua Std" w:hAnsi="Perpetua Std"/>
      <w:color w:val="000000"/>
      <w:sz w:val="24"/>
    </w:rPr>
  </w:style>
  <w:style w:type="paragraph" w:customStyle="1" w:styleId="PH">
    <w:name w:val="PH"/>
    <w:rsid w:val="00DC3EDC"/>
    <w:pPr>
      <w:tabs>
        <w:tab w:val="left" w:pos="360"/>
      </w:tabs>
      <w:spacing w:after="240"/>
      <w:ind w:left="360" w:hanging="360"/>
      <w:jc w:val="both"/>
    </w:pPr>
    <w:rPr>
      <w:rFonts w:ascii="Perpetua Std" w:hAnsi="Perpetua Std"/>
      <w:color w:val="000000"/>
      <w:sz w:val="24"/>
    </w:rPr>
  </w:style>
  <w:style w:type="paragraph" w:customStyle="1" w:styleId="PI">
    <w:name w:val="PI"/>
    <w:rsid w:val="00DC3EDC"/>
    <w:pPr>
      <w:spacing w:after="240"/>
      <w:ind w:left="360" w:hanging="360"/>
      <w:jc w:val="both"/>
    </w:pPr>
    <w:rPr>
      <w:rFonts w:ascii="Perpetua Std" w:hAnsi="Perpetua Std"/>
      <w:color w:val="000000"/>
      <w:sz w:val="24"/>
    </w:rPr>
  </w:style>
  <w:style w:type="paragraph" w:customStyle="1" w:styleId="PK">
    <w:name w:val="PK"/>
    <w:rsid w:val="00DC3EDC"/>
    <w:pPr>
      <w:spacing w:after="240"/>
      <w:ind w:left="360" w:firstLine="288"/>
      <w:jc w:val="both"/>
    </w:pPr>
    <w:rPr>
      <w:rFonts w:ascii="Perpetua Std" w:hAnsi="Perpetua Std"/>
      <w:color w:val="000000"/>
      <w:sz w:val="24"/>
    </w:rPr>
  </w:style>
  <w:style w:type="paragraph" w:customStyle="1" w:styleId="PL">
    <w:name w:val="PL"/>
    <w:rsid w:val="00DC3EDC"/>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DC3EDC"/>
    <w:pPr>
      <w:spacing w:after="240"/>
      <w:ind w:left="432" w:right="432" w:firstLine="432"/>
      <w:jc w:val="both"/>
    </w:pPr>
    <w:rPr>
      <w:rFonts w:ascii="Minion Pro" w:hAnsi="Minion Pro"/>
    </w:rPr>
  </w:style>
  <w:style w:type="paragraph" w:customStyle="1" w:styleId="TOC">
    <w:name w:val="TOC"/>
    <w:autoRedefine/>
    <w:rsid w:val="00DC3EDC"/>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DC3EDC"/>
    <w:pPr>
      <w:tabs>
        <w:tab w:val="clear" w:pos="1440"/>
        <w:tab w:val="clear" w:pos="8640"/>
        <w:tab w:val="left" w:pos="240"/>
        <w:tab w:val="left" w:pos="480"/>
        <w:tab w:val="right" w:leader="dot" w:pos="4680"/>
      </w:tabs>
      <w:ind w:left="0" w:firstLine="0"/>
    </w:pPr>
    <w:rPr>
      <w:sz w:val="22"/>
    </w:rPr>
  </w:style>
  <w:style w:type="paragraph" w:customStyle="1" w:styleId="PQ">
    <w:name w:val="PQ"/>
    <w:link w:val="PQChar"/>
    <w:rsid w:val="00DC3EDC"/>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DC3EDC"/>
    <w:rPr>
      <w:rFonts w:ascii="Adobe Caslon Pro" w:hAnsi="Adobe Caslon Pro"/>
      <w:color w:val="000000"/>
      <w:sz w:val="14"/>
    </w:rPr>
  </w:style>
  <w:style w:type="paragraph" w:customStyle="1" w:styleId="HD">
    <w:name w:val="HD"/>
    <w:rsid w:val="00DC3EDC"/>
    <w:pPr>
      <w:suppressAutoHyphens/>
      <w:spacing w:before="120"/>
      <w:jc w:val="center"/>
    </w:pPr>
    <w:rPr>
      <w:rFonts w:ascii="Helvetica LT Std" w:hAnsi="Helvetica LT Std"/>
      <w:sz w:val="26"/>
      <w:szCs w:val="18"/>
    </w:rPr>
  </w:style>
  <w:style w:type="paragraph" w:customStyle="1" w:styleId="PP">
    <w:name w:val="PP"/>
    <w:rsid w:val="00DC3EDC"/>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DC3EDC"/>
    <w:pPr>
      <w:spacing w:before="120" w:after="120"/>
      <w:jc w:val="center"/>
    </w:pPr>
    <w:rPr>
      <w:rFonts w:ascii="Helvetica LT Std" w:hAnsi="Helvetica LT Std"/>
      <w:sz w:val="24"/>
    </w:rPr>
  </w:style>
  <w:style w:type="paragraph" w:customStyle="1" w:styleId="PN">
    <w:name w:val="PN"/>
    <w:rsid w:val="00DC3EDC"/>
    <w:pPr>
      <w:spacing w:after="240"/>
      <w:ind w:left="720" w:firstLine="288"/>
      <w:jc w:val="both"/>
    </w:pPr>
    <w:rPr>
      <w:rFonts w:ascii="Perpetua Std" w:eastAsia="MS Mincho" w:hAnsi="Perpetua Std"/>
      <w:color w:val="000000"/>
    </w:rPr>
  </w:style>
  <w:style w:type="table" w:styleId="TableGrid">
    <w:name w:val="Table Grid"/>
    <w:basedOn w:val="TableNormal"/>
    <w:rsid w:val="00DC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DC3EDC"/>
    <w:pPr>
      <w:spacing w:after="240"/>
      <w:jc w:val="center"/>
    </w:pPr>
    <w:rPr>
      <w:rFonts w:ascii="Helvetica LT Std" w:hAnsi="Helvetica LT Std"/>
      <w:b/>
      <w:caps/>
      <w:color w:val="000000"/>
      <w:sz w:val="36"/>
      <w:szCs w:val="32"/>
    </w:rPr>
  </w:style>
  <w:style w:type="paragraph" w:customStyle="1" w:styleId="HB">
    <w:name w:val="HB"/>
    <w:rsid w:val="00DC3EDC"/>
    <w:pPr>
      <w:spacing w:before="120" w:after="240"/>
      <w:jc w:val="center"/>
    </w:pPr>
    <w:rPr>
      <w:rFonts w:ascii="Helvetica LT Std" w:hAnsi="Helvetica LT Std"/>
      <w:b/>
      <w:color w:val="5F5F5F"/>
      <w:w w:val="105"/>
      <w:sz w:val="32"/>
    </w:rPr>
  </w:style>
  <w:style w:type="paragraph" w:customStyle="1" w:styleId="HC">
    <w:name w:val="HC"/>
    <w:autoRedefine/>
    <w:rsid w:val="00DC3EDC"/>
    <w:pPr>
      <w:tabs>
        <w:tab w:val="left" w:pos="284"/>
      </w:tabs>
      <w:spacing w:before="120" w:after="120"/>
      <w:jc w:val="center"/>
    </w:pPr>
    <w:rPr>
      <w:rFonts w:ascii="Helvetica LT Std" w:hAnsi="Helvetica LT Std"/>
      <w:b/>
      <w:color w:val="000000"/>
      <w:w w:val="110"/>
      <w:sz w:val="26"/>
    </w:rPr>
  </w:style>
  <w:style w:type="paragraph" w:customStyle="1" w:styleId="PR">
    <w:name w:val="PR"/>
    <w:rsid w:val="00DC3EDC"/>
    <w:pPr>
      <w:spacing w:after="240"/>
      <w:ind w:left="360" w:firstLine="288"/>
      <w:jc w:val="both"/>
    </w:pPr>
    <w:rPr>
      <w:rFonts w:ascii="Adobe Caslon Pro" w:hAnsi="Adobe Caslon Pro"/>
      <w:color w:val="000000"/>
      <w:sz w:val="14"/>
    </w:rPr>
  </w:style>
  <w:style w:type="paragraph" w:customStyle="1" w:styleId="PO">
    <w:name w:val="PO"/>
    <w:rsid w:val="00DC3EDC"/>
    <w:pPr>
      <w:spacing w:after="240"/>
      <w:jc w:val="both"/>
    </w:pPr>
    <w:rPr>
      <w:rFonts w:ascii="Perpetua Std" w:hAnsi="Perpetua Std"/>
      <w:color w:val="000000"/>
      <w:w w:val="95"/>
      <w:szCs w:val="16"/>
    </w:rPr>
  </w:style>
  <w:style w:type="paragraph" w:customStyle="1" w:styleId="GUIDEX">
    <w:name w:val="GUIDEX"/>
    <w:rsid w:val="00DC3EDC"/>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DC3EDC"/>
    <w:pPr>
      <w:tabs>
        <w:tab w:val="clear" w:pos="240"/>
        <w:tab w:val="clear" w:pos="480"/>
        <w:tab w:val="clear" w:pos="720"/>
        <w:tab w:val="right" w:pos="4680"/>
      </w:tabs>
    </w:pPr>
  </w:style>
  <w:style w:type="paragraph" w:customStyle="1" w:styleId="PCB">
    <w:name w:val="PCB"/>
    <w:autoRedefine/>
    <w:rsid w:val="00DC3EDC"/>
    <w:pPr>
      <w:numPr>
        <w:numId w:val="13"/>
      </w:numPr>
      <w:tabs>
        <w:tab w:val="left" w:pos="720"/>
      </w:tabs>
      <w:spacing w:after="240"/>
      <w:ind w:left="720"/>
      <w:jc w:val="both"/>
    </w:pPr>
    <w:rPr>
      <w:rFonts w:ascii="Perpetua Std" w:hAnsi="Perpetua Std"/>
      <w:color w:val="000000"/>
      <w:sz w:val="24"/>
    </w:rPr>
  </w:style>
  <w:style w:type="paragraph" w:customStyle="1" w:styleId="PFB">
    <w:name w:val="PFB"/>
    <w:autoRedefine/>
    <w:rsid w:val="00DC3EDC"/>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DC3EDC"/>
    <w:rPr>
      <w:rFonts w:ascii="Perpetua Std" w:hAnsi="Perpetua Std"/>
    </w:rPr>
  </w:style>
  <w:style w:type="paragraph" w:styleId="NoSpacing">
    <w:name w:val="No Spacing"/>
    <w:qFormat/>
    <w:rsid w:val="00DC3EDC"/>
    <w:rPr>
      <w:rFonts w:ascii="Perpetua" w:hAnsi="Perpetua"/>
    </w:rPr>
  </w:style>
  <w:style w:type="paragraph" w:customStyle="1" w:styleId="PCA">
    <w:name w:val="PCA"/>
    <w:rsid w:val="00DC3EDC"/>
    <w:pPr>
      <w:numPr>
        <w:numId w:val="16"/>
      </w:numPr>
      <w:tabs>
        <w:tab w:val="left" w:pos="720"/>
      </w:tabs>
      <w:spacing w:after="240"/>
      <w:jc w:val="both"/>
    </w:pPr>
    <w:rPr>
      <w:rFonts w:ascii="Perpetua Std" w:hAnsi="Perpetua Std"/>
      <w:sz w:val="24"/>
    </w:rPr>
  </w:style>
  <w:style w:type="paragraph" w:customStyle="1" w:styleId="PHB">
    <w:name w:val="PHB"/>
    <w:rsid w:val="00DC3EDC"/>
    <w:pPr>
      <w:numPr>
        <w:numId w:val="17"/>
      </w:numPr>
      <w:tabs>
        <w:tab w:val="left" w:pos="360"/>
      </w:tabs>
      <w:spacing w:after="240"/>
      <w:jc w:val="both"/>
    </w:pPr>
    <w:rPr>
      <w:rFonts w:ascii="Perpetua Std" w:hAnsi="Perpetua Std"/>
      <w:sz w:val="24"/>
    </w:rPr>
  </w:style>
  <w:style w:type="character" w:customStyle="1" w:styleId="IndexChar">
    <w:name w:val="Index Char"/>
    <w:link w:val="Index"/>
    <w:rsid w:val="00DC3EDC"/>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DC3EDC"/>
    <w:rPr>
      <w:rFonts w:ascii="Perpetua Std" w:hAnsi="Perpetua Std"/>
    </w:rPr>
  </w:style>
  <w:style w:type="paragraph" w:styleId="Heading1">
    <w:name w:val="heading 1"/>
    <w:basedOn w:val="Normal"/>
    <w:next w:val="Normal"/>
    <w:link w:val="Heading1Char"/>
    <w:qFormat/>
    <w:rsid w:val="00DC3EDC"/>
    <w:pPr>
      <w:keepNext/>
      <w:outlineLvl w:val="0"/>
    </w:pPr>
    <w:rPr>
      <w:b/>
    </w:rPr>
  </w:style>
  <w:style w:type="paragraph" w:styleId="Heading2">
    <w:name w:val="heading 2"/>
    <w:basedOn w:val="Normal"/>
    <w:next w:val="Normal"/>
    <w:link w:val="Heading2Char"/>
    <w:qFormat/>
    <w:rsid w:val="00DC3EDC"/>
    <w:pPr>
      <w:keepNext/>
      <w:spacing w:before="240" w:after="60"/>
      <w:outlineLvl w:val="1"/>
    </w:pPr>
    <w:rPr>
      <w:rFonts w:ascii="Arial" w:hAnsi="Arial"/>
      <w:b/>
      <w:i/>
      <w:sz w:val="24"/>
    </w:rPr>
  </w:style>
  <w:style w:type="paragraph" w:styleId="Heading3">
    <w:name w:val="heading 3"/>
    <w:basedOn w:val="Normal"/>
    <w:next w:val="Normal"/>
    <w:link w:val="Heading3Char"/>
    <w:qFormat/>
    <w:rsid w:val="00DC3EDC"/>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DC3EDC"/>
    <w:pPr>
      <w:spacing w:after="240"/>
      <w:jc w:val="both"/>
    </w:pPr>
    <w:rPr>
      <w:rFonts w:ascii="Helvetica LT Std" w:hAnsi="Helvetica LT Std"/>
      <w:b/>
      <w:color w:val="000000"/>
      <w:sz w:val="26"/>
    </w:rPr>
  </w:style>
  <w:style w:type="paragraph" w:styleId="FootnoteText">
    <w:name w:val="footnote text"/>
    <w:basedOn w:val="Normal"/>
    <w:link w:val="FootnoteTextChar"/>
    <w:rsid w:val="00536B05"/>
  </w:style>
  <w:style w:type="character" w:customStyle="1" w:styleId="FootnoteTextChar">
    <w:name w:val="Footnote Text Char"/>
    <w:link w:val="FootnoteText"/>
    <w:rsid w:val="00536B05"/>
    <w:rPr>
      <w:sz w:val="20"/>
      <w:szCs w:val="20"/>
    </w:rPr>
  </w:style>
  <w:style w:type="character" w:styleId="FootnoteReference">
    <w:name w:val="footnote reference"/>
    <w:rsid w:val="00DC3EDC"/>
    <w:rPr>
      <w:vertAlign w:val="superscript"/>
    </w:rPr>
  </w:style>
  <w:style w:type="paragraph" w:customStyle="1" w:styleId="PA">
    <w:name w:val="PA"/>
    <w:next w:val="Normal"/>
    <w:link w:val="PAChar"/>
    <w:rsid w:val="00DC3EDC"/>
    <w:pPr>
      <w:spacing w:after="240"/>
      <w:ind w:firstLine="288"/>
      <w:jc w:val="both"/>
    </w:pPr>
    <w:rPr>
      <w:rFonts w:ascii="Perpetua Std" w:hAnsi="Perpetua Std"/>
      <w:color w:val="000000"/>
      <w:sz w:val="24"/>
    </w:rPr>
  </w:style>
  <w:style w:type="character" w:customStyle="1" w:styleId="PAChar">
    <w:name w:val="PA Char"/>
    <w:link w:val="PA"/>
    <w:rsid w:val="00DC3EDC"/>
    <w:rPr>
      <w:rFonts w:ascii="Perpetua Std" w:hAnsi="Perpetua Std"/>
      <w:color w:val="000000"/>
      <w:sz w:val="24"/>
    </w:rPr>
  </w:style>
  <w:style w:type="character" w:styleId="Hyperlink">
    <w:name w:val="Hyperlink"/>
    <w:rsid w:val="00A804B9"/>
    <w:rPr>
      <w:color w:val="0000FF"/>
      <w:u w:val="single"/>
    </w:rPr>
  </w:style>
  <w:style w:type="paragraph" w:styleId="BalloonText">
    <w:name w:val="Balloon Text"/>
    <w:basedOn w:val="Normal"/>
    <w:link w:val="BalloonTextChar"/>
    <w:rsid w:val="00B611F0"/>
    <w:rPr>
      <w:rFonts w:ascii="Tahoma" w:hAnsi="Tahoma" w:cs="Tahoma"/>
      <w:sz w:val="16"/>
      <w:szCs w:val="16"/>
    </w:rPr>
  </w:style>
  <w:style w:type="character" w:customStyle="1" w:styleId="BalloonTextChar">
    <w:name w:val="Balloon Text Char"/>
    <w:link w:val="BalloonText"/>
    <w:rsid w:val="00B611F0"/>
    <w:rPr>
      <w:rFonts w:ascii="Tahoma" w:hAnsi="Tahoma" w:cs="Tahoma"/>
      <w:sz w:val="16"/>
      <w:szCs w:val="16"/>
    </w:rPr>
  </w:style>
  <w:style w:type="paragraph" w:styleId="Footer">
    <w:name w:val="footer"/>
    <w:basedOn w:val="Normal"/>
    <w:link w:val="FooterChar"/>
    <w:rsid w:val="00DC3EDC"/>
    <w:pPr>
      <w:tabs>
        <w:tab w:val="center" w:pos="4320"/>
        <w:tab w:val="right" w:pos="8640"/>
      </w:tabs>
    </w:pPr>
  </w:style>
  <w:style w:type="character" w:customStyle="1" w:styleId="FooterChar">
    <w:name w:val="Footer Char"/>
    <w:link w:val="Footer"/>
    <w:rsid w:val="00B611F0"/>
    <w:rPr>
      <w:rFonts w:ascii="Perpetua Std" w:hAnsi="Perpetua Std"/>
    </w:rPr>
  </w:style>
  <w:style w:type="paragraph" w:styleId="Header">
    <w:name w:val="header"/>
    <w:basedOn w:val="Normal"/>
    <w:link w:val="HeaderChar"/>
    <w:rsid w:val="00DC3EDC"/>
    <w:pPr>
      <w:tabs>
        <w:tab w:val="center" w:pos="4320"/>
        <w:tab w:val="right" w:pos="8640"/>
      </w:tabs>
    </w:pPr>
  </w:style>
  <w:style w:type="character" w:customStyle="1" w:styleId="HeaderChar">
    <w:name w:val="Header Char"/>
    <w:link w:val="Header"/>
    <w:rsid w:val="00B611F0"/>
    <w:rPr>
      <w:rFonts w:ascii="Perpetua Std" w:hAnsi="Perpetua Std"/>
    </w:rPr>
  </w:style>
  <w:style w:type="paragraph" w:customStyle="1" w:styleId="Standard">
    <w:name w:val="Standard"/>
    <w:rsid w:val="00DC3EDC"/>
    <w:pPr>
      <w:spacing w:before="144"/>
      <w:jc w:val="both"/>
    </w:pPr>
    <w:rPr>
      <w:noProof/>
    </w:rPr>
  </w:style>
  <w:style w:type="paragraph" w:customStyle="1" w:styleId="PB">
    <w:name w:val="PB"/>
    <w:rsid w:val="00DC3EDC"/>
    <w:pPr>
      <w:spacing w:after="240"/>
      <w:jc w:val="both"/>
    </w:pPr>
    <w:rPr>
      <w:rFonts w:ascii="Perpetua Std" w:hAnsi="Perpetua Std"/>
      <w:color w:val="000000"/>
      <w:sz w:val="24"/>
    </w:rPr>
  </w:style>
  <w:style w:type="paragraph" w:customStyle="1" w:styleId="PC">
    <w:name w:val="PC"/>
    <w:rsid w:val="00DC3EDC"/>
    <w:pPr>
      <w:tabs>
        <w:tab w:val="left" w:pos="720"/>
      </w:tabs>
      <w:spacing w:after="240"/>
      <w:ind w:left="720" w:hanging="360"/>
      <w:jc w:val="both"/>
    </w:pPr>
    <w:rPr>
      <w:rFonts w:ascii="Perpetua Std" w:hAnsi="Perpetua Std"/>
      <w:color w:val="000000"/>
      <w:sz w:val="24"/>
    </w:rPr>
  </w:style>
  <w:style w:type="paragraph" w:customStyle="1" w:styleId="PD">
    <w:name w:val="PD"/>
    <w:rsid w:val="00DC3EDC"/>
    <w:pPr>
      <w:spacing w:after="240"/>
      <w:ind w:left="720" w:firstLine="288"/>
      <w:jc w:val="both"/>
    </w:pPr>
    <w:rPr>
      <w:rFonts w:ascii="Perpetua Std" w:hAnsi="Perpetua Std"/>
      <w:color w:val="000000"/>
      <w:sz w:val="24"/>
    </w:rPr>
  </w:style>
  <w:style w:type="paragraph" w:customStyle="1" w:styleId="PE">
    <w:name w:val="PE"/>
    <w:rsid w:val="00DC3EDC"/>
    <w:pPr>
      <w:spacing w:after="240"/>
      <w:ind w:left="720"/>
      <w:jc w:val="both"/>
    </w:pPr>
    <w:rPr>
      <w:rFonts w:ascii="Perpetua Std" w:hAnsi="Perpetua Std"/>
      <w:color w:val="000000"/>
      <w:sz w:val="24"/>
    </w:rPr>
  </w:style>
  <w:style w:type="paragraph" w:customStyle="1" w:styleId="PF">
    <w:name w:val="PF"/>
    <w:rsid w:val="00DC3EDC"/>
    <w:pPr>
      <w:tabs>
        <w:tab w:val="left" w:pos="1080"/>
      </w:tabs>
      <w:spacing w:after="240"/>
      <w:ind w:left="1080" w:hanging="360"/>
      <w:jc w:val="both"/>
    </w:pPr>
    <w:rPr>
      <w:rFonts w:ascii="Perpetua Std" w:hAnsi="Perpetua Std"/>
      <w:color w:val="000000"/>
      <w:sz w:val="24"/>
    </w:rPr>
  </w:style>
  <w:style w:type="paragraph" w:customStyle="1" w:styleId="PG">
    <w:name w:val="PG"/>
    <w:rsid w:val="00DC3EDC"/>
    <w:pPr>
      <w:spacing w:after="240"/>
      <w:ind w:left="360"/>
      <w:jc w:val="both"/>
    </w:pPr>
    <w:rPr>
      <w:rFonts w:ascii="Perpetua Std" w:hAnsi="Perpetua Std"/>
      <w:color w:val="000000"/>
      <w:sz w:val="24"/>
    </w:rPr>
  </w:style>
  <w:style w:type="paragraph" w:customStyle="1" w:styleId="PH">
    <w:name w:val="PH"/>
    <w:rsid w:val="00DC3EDC"/>
    <w:pPr>
      <w:tabs>
        <w:tab w:val="left" w:pos="360"/>
      </w:tabs>
      <w:spacing w:after="240"/>
      <w:ind w:left="360" w:hanging="360"/>
      <w:jc w:val="both"/>
    </w:pPr>
    <w:rPr>
      <w:rFonts w:ascii="Perpetua Std" w:hAnsi="Perpetua Std"/>
      <w:color w:val="000000"/>
      <w:sz w:val="24"/>
    </w:rPr>
  </w:style>
  <w:style w:type="paragraph" w:customStyle="1" w:styleId="PI">
    <w:name w:val="PI"/>
    <w:rsid w:val="00DC3EDC"/>
    <w:pPr>
      <w:spacing w:after="240"/>
      <w:ind w:left="360" w:hanging="360"/>
      <w:jc w:val="both"/>
    </w:pPr>
    <w:rPr>
      <w:rFonts w:ascii="Perpetua Std" w:hAnsi="Perpetua Std"/>
      <w:color w:val="000000"/>
      <w:sz w:val="24"/>
    </w:rPr>
  </w:style>
  <w:style w:type="paragraph" w:customStyle="1" w:styleId="PK">
    <w:name w:val="PK"/>
    <w:rsid w:val="00DC3EDC"/>
    <w:pPr>
      <w:spacing w:after="240"/>
      <w:ind w:left="360" w:firstLine="288"/>
      <w:jc w:val="both"/>
    </w:pPr>
    <w:rPr>
      <w:rFonts w:ascii="Perpetua Std" w:hAnsi="Perpetua Std"/>
      <w:color w:val="000000"/>
      <w:sz w:val="24"/>
    </w:rPr>
  </w:style>
  <w:style w:type="paragraph" w:customStyle="1" w:styleId="PL">
    <w:name w:val="PL"/>
    <w:rsid w:val="00DC3EDC"/>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DC3EDC"/>
    <w:pPr>
      <w:spacing w:after="240"/>
      <w:ind w:left="432" w:right="432" w:firstLine="432"/>
      <w:jc w:val="both"/>
    </w:pPr>
    <w:rPr>
      <w:rFonts w:ascii="Minion Pro" w:hAnsi="Minion Pro"/>
    </w:rPr>
  </w:style>
  <w:style w:type="paragraph" w:customStyle="1" w:styleId="TOC">
    <w:name w:val="TOC"/>
    <w:autoRedefine/>
    <w:rsid w:val="00DC3EDC"/>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DC3EDC"/>
    <w:pPr>
      <w:tabs>
        <w:tab w:val="clear" w:pos="1440"/>
        <w:tab w:val="clear" w:pos="8640"/>
        <w:tab w:val="left" w:pos="240"/>
        <w:tab w:val="left" w:pos="480"/>
        <w:tab w:val="right" w:leader="dot" w:pos="4680"/>
      </w:tabs>
      <w:ind w:left="0" w:firstLine="0"/>
    </w:pPr>
    <w:rPr>
      <w:sz w:val="22"/>
    </w:rPr>
  </w:style>
  <w:style w:type="paragraph" w:customStyle="1" w:styleId="PQ">
    <w:name w:val="PQ"/>
    <w:link w:val="PQChar"/>
    <w:rsid w:val="00DC3EDC"/>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DC3EDC"/>
    <w:rPr>
      <w:rFonts w:ascii="Adobe Caslon Pro" w:hAnsi="Adobe Caslon Pro"/>
      <w:color w:val="000000"/>
      <w:sz w:val="14"/>
    </w:rPr>
  </w:style>
  <w:style w:type="paragraph" w:customStyle="1" w:styleId="HD">
    <w:name w:val="HD"/>
    <w:rsid w:val="00DC3EDC"/>
    <w:pPr>
      <w:suppressAutoHyphens/>
      <w:spacing w:before="120"/>
      <w:jc w:val="center"/>
    </w:pPr>
    <w:rPr>
      <w:rFonts w:ascii="Helvetica LT Std" w:hAnsi="Helvetica LT Std"/>
      <w:sz w:val="26"/>
      <w:szCs w:val="18"/>
    </w:rPr>
  </w:style>
  <w:style w:type="paragraph" w:customStyle="1" w:styleId="PP">
    <w:name w:val="PP"/>
    <w:rsid w:val="00DC3EDC"/>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DC3EDC"/>
    <w:pPr>
      <w:spacing w:before="120" w:after="120"/>
      <w:jc w:val="center"/>
    </w:pPr>
    <w:rPr>
      <w:rFonts w:ascii="Helvetica LT Std" w:hAnsi="Helvetica LT Std"/>
      <w:sz w:val="24"/>
    </w:rPr>
  </w:style>
  <w:style w:type="paragraph" w:customStyle="1" w:styleId="PN">
    <w:name w:val="PN"/>
    <w:rsid w:val="00DC3EDC"/>
    <w:pPr>
      <w:spacing w:after="240"/>
      <w:ind w:left="720" w:firstLine="288"/>
      <w:jc w:val="both"/>
    </w:pPr>
    <w:rPr>
      <w:rFonts w:ascii="Perpetua Std" w:eastAsia="MS Mincho" w:hAnsi="Perpetua Std"/>
      <w:color w:val="000000"/>
    </w:rPr>
  </w:style>
  <w:style w:type="table" w:styleId="TableGrid">
    <w:name w:val="Table Grid"/>
    <w:basedOn w:val="TableNormal"/>
    <w:rsid w:val="00DC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DC3EDC"/>
    <w:pPr>
      <w:spacing w:after="240"/>
      <w:jc w:val="center"/>
    </w:pPr>
    <w:rPr>
      <w:rFonts w:ascii="Helvetica LT Std" w:hAnsi="Helvetica LT Std"/>
      <w:b/>
      <w:caps/>
      <w:color w:val="000000"/>
      <w:sz w:val="36"/>
      <w:szCs w:val="32"/>
    </w:rPr>
  </w:style>
  <w:style w:type="paragraph" w:customStyle="1" w:styleId="HB">
    <w:name w:val="HB"/>
    <w:rsid w:val="00DC3EDC"/>
    <w:pPr>
      <w:spacing w:before="120" w:after="240"/>
      <w:jc w:val="center"/>
    </w:pPr>
    <w:rPr>
      <w:rFonts w:ascii="Helvetica LT Std" w:hAnsi="Helvetica LT Std"/>
      <w:b/>
      <w:color w:val="5F5F5F"/>
      <w:w w:val="105"/>
      <w:sz w:val="32"/>
    </w:rPr>
  </w:style>
  <w:style w:type="paragraph" w:customStyle="1" w:styleId="HC">
    <w:name w:val="HC"/>
    <w:autoRedefine/>
    <w:rsid w:val="00DC3EDC"/>
    <w:pPr>
      <w:tabs>
        <w:tab w:val="left" w:pos="284"/>
      </w:tabs>
      <w:spacing w:before="120" w:after="120"/>
      <w:jc w:val="center"/>
    </w:pPr>
    <w:rPr>
      <w:rFonts w:ascii="Helvetica LT Std" w:hAnsi="Helvetica LT Std"/>
      <w:b/>
      <w:color w:val="000000"/>
      <w:w w:val="110"/>
      <w:sz w:val="26"/>
    </w:rPr>
  </w:style>
  <w:style w:type="paragraph" w:customStyle="1" w:styleId="PR">
    <w:name w:val="PR"/>
    <w:rsid w:val="00DC3EDC"/>
    <w:pPr>
      <w:spacing w:after="240"/>
      <w:ind w:left="360" w:firstLine="288"/>
      <w:jc w:val="both"/>
    </w:pPr>
    <w:rPr>
      <w:rFonts w:ascii="Adobe Caslon Pro" w:hAnsi="Adobe Caslon Pro"/>
      <w:color w:val="000000"/>
      <w:sz w:val="14"/>
    </w:rPr>
  </w:style>
  <w:style w:type="paragraph" w:customStyle="1" w:styleId="PO">
    <w:name w:val="PO"/>
    <w:rsid w:val="00DC3EDC"/>
    <w:pPr>
      <w:spacing w:after="240"/>
      <w:jc w:val="both"/>
    </w:pPr>
    <w:rPr>
      <w:rFonts w:ascii="Perpetua Std" w:hAnsi="Perpetua Std"/>
      <w:color w:val="000000"/>
      <w:w w:val="95"/>
      <w:szCs w:val="16"/>
    </w:rPr>
  </w:style>
  <w:style w:type="paragraph" w:customStyle="1" w:styleId="GUIDEX">
    <w:name w:val="GUIDEX"/>
    <w:rsid w:val="00DC3EDC"/>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DC3EDC"/>
    <w:pPr>
      <w:tabs>
        <w:tab w:val="clear" w:pos="240"/>
        <w:tab w:val="clear" w:pos="480"/>
        <w:tab w:val="clear" w:pos="720"/>
        <w:tab w:val="right" w:pos="4680"/>
      </w:tabs>
    </w:pPr>
  </w:style>
  <w:style w:type="paragraph" w:customStyle="1" w:styleId="PCB">
    <w:name w:val="PCB"/>
    <w:autoRedefine/>
    <w:rsid w:val="00DC3EDC"/>
    <w:pPr>
      <w:numPr>
        <w:numId w:val="13"/>
      </w:numPr>
      <w:tabs>
        <w:tab w:val="left" w:pos="720"/>
      </w:tabs>
      <w:spacing w:after="240"/>
      <w:ind w:left="720"/>
      <w:jc w:val="both"/>
    </w:pPr>
    <w:rPr>
      <w:rFonts w:ascii="Perpetua Std" w:hAnsi="Perpetua Std"/>
      <w:color w:val="000000"/>
      <w:sz w:val="24"/>
    </w:rPr>
  </w:style>
  <w:style w:type="paragraph" w:customStyle="1" w:styleId="PFB">
    <w:name w:val="PFB"/>
    <w:autoRedefine/>
    <w:rsid w:val="00DC3EDC"/>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DC3EDC"/>
    <w:rPr>
      <w:rFonts w:ascii="Perpetua Std" w:hAnsi="Perpetua Std"/>
    </w:rPr>
  </w:style>
  <w:style w:type="paragraph" w:styleId="NoSpacing">
    <w:name w:val="No Spacing"/>
    <w:qFormat/>
    <w:rsid w:val="00DC3EDC"/>
    <w:rPr>
      <w:rFonts w:ascii="Perpetua" w:hAnsi="Perpetua"/>
    </w:rPr>
  </w:style>
  <w:style w:type="paragraph" w:customStyle="1" w:styleId="PCA">
    <w:name w:val="PCA"/>
    <w:rsid w:val="00DC3EDC"/>
    <w:pPr>
      <w:numPr>
        <w:numId w:val="16"/>
      </w:numPr>
      <w:tabs>
        <w:tab w:val="left" w:pos="720"/>
      </w:tabs>
      <w:spacing w:after="240"/>
      <w:jc w:val="both"/>
    </w:pPr>
    <w:rPr>
      <w:rFonts w:ascii="Perpetua Std" w:hAnsi="Perpetua Std"/>
      <w:sz w:val="24"/>
    </w:rPr>
  </w:style>
  <w:style w:type="paragraph" w:customStyle="1" w:styleId="PHB">
    <w:name w:val="PHB"/>
    <w:rsid w:val="00DC3EDC"/>
    <w:pPr>
      <w:numPr>
        <w:numId w:val="17"/>
      </w:numPr>
      <w:tabs>
        <w:tab w:val="left" w:pos="360"/>
      </w:tabs>
      <w:spacing w:after="240"/>
      <w:jc w:val="both"/>
    </w:pPr>
    <w:rPr>
      <w:rFonts w:ascii="Perpetua Std" w:hAnsi="Perpetua Std"/>
      <w:sz w:val="24"/>
    </w:rPr>
  </w:style>
  <w:style w:type="character" w:customStyle="1" w:styleId="IndexChar">
    <w:name w:val="Index Char"/>
    <w:link w:val="Index"/>
    <w:rsid w:val="00DC3EDC"/>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9563">
      <w:bodyDiv w:val="1"/>
      <w:marLeft w:val="0"/>
      <w:marRight w:val="0"/>
      <w:marTop w:val="0"/>
      <w:marBottom w:val="0"/>
      <w:divBdr>
        <w:top w:val="none" w:sz="0" w:space="0" w:color="auto"/>
        <w:left w:val="none" w:sz="0" w:space="0" w:color="auto"/>
        <w:bottom w:val="none" w:sz="0" w:space="0" w:color="auto"/>
        <w:right w:val="none" w:sz="0" w:space="0" w:color="auto"/>
      </w:divBdr>
    </w:div>
    <w:div w:id="5286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8568. What considerations are relevant in determining whether a trust becomes subject to the investment income tax as a result of passive activities?</vt:lpstr>
    </vt:vector>
  </TitlesOfParts>
  <Company>Summit Business Media</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8568. What considerations are relevant in determining whether a trust becomes subject to the investment income tax as a result of passive activities?</dc:title>
  <dc:creator>Alexis Long</dc:creator>
  <cp:lastModifiedBy>rcline</cp:lastModifiedBy>
  <cp:revision>2</cp:revision>
  <dcterms:created xsi:type="dcterms:W3CDTF">2014-07-08T20:24:00Z</dcterms:created>
  <dcterms:modified xsi:type="dcterms:W3CDTF">2014-07-08T20:24:00Z</dcterms:modified>
</cp:coreProperties>
</file>