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833" w:rsidRPr="00BF6833" w:rsidRDefault="0022496D" w:rsidP="00B611F0">
      <w:pPr>
        <w:pStyle w:val="PA"/>
        <w:rPr>
          <w:b/>
        </w:rPr>
      </w:pPr>
      <w:r>
        <w:rPr>
          <w:b/>
        </w:rPr>
        <w:t>8569</w:t>
      </w:r>
      <w:r w:rsidR="00BF6833" w:rsidRPr="00BF6833">
        <w:rPr>
          <w:b/>
        </w:rPr>
        <w:t>.  When is an estate or trust subject to the investment tax?</w:t>
      </w:r>
    </w:p>
    <w:p w:rsidR="00C44384" w:rsidRDefault="00E019D6" w:rsidP="00C92C5D">
      <w:pPr>
        <w:ind w:firstLine="288"/>
        <w:jc w:val="both"/>
        <w:rPr>
          <w:rFonts w:ascii="Perpetua" w:hAnsi="Perpetua"/>
          <w:sz w:val="24"/>
          <w:szCs w:val="24"/>
        </w:rPr>
      </w:pPr>
      <w:r w:rsidRPr="00C92C5D">
        <w:rPr>
          <w:rFonts w:ascii="Perpetua" w:hAnsi="Perpetua"/>
          <w:sz w:val="24"/>
          <w:szCs w:val="24"/>
        </w:rPr>
        <w:t xml:space="preserve">Certain </w:t>
      </w:r>
      <w:r w:rsidR="00A003F7">
        <w:rPr>
          <w:rFonts w:ascii="Perpetua" w:hAnsi="Perpetua"/>
          <w:sz w:val="24"/>
          <w:szCs w:val="24"/>
        </w:rPr>
        <w:t xml:space="preserve">trusts and </w:t>
      </w:r>
      <w:r w:rsidRPr="00C92C5D">
        <w:rPr>
          <w:rFonts w:ascii="Perpetua" w:hAnsi="Perpetua"/>
          <w:sz w:val="24"/>
          <w:szCs w:val="24"/>
        </w:rPr>
        <w:t xml:space="preserve">estates </w:t>
      </w:r>
      <w:r w:rsidR="00C44384">
        <w:rPr>
          <w:rFonts w:ascii="Perpetua" w:hAnsi="Perpetua"/>
          <w:sz w:val="24"/>
          <w:szCs w:val="24"/>
        </w:rPr>
        <w:t xml:space="preserve">are also </w:t>
      </w:r>
      <w:r w:rsidRPr="00C92C5D">
        <w:rPr>
          <w:rFonts w:ascii="Perpetua" w:hAnsi="Perpetua"/>
          <w:sz w:val="24"/>
          <w:szCs w:val="24"/>
        </w:rPr>
        <w:t>subject to the 3.8</w:t>
      </w:r>
      <w:r w:rsidR="00C44384" w:rsidRPr="00C92C5D">
        <w:rPr>
          <w:rFonts w:ascii="Perpetua" w:hAnsi="Perpetua"/>
          <w:sz w:val="24"/>
          <w:szCs w:val="24"/>
        </w:rPr>
        <w:t xml:space="preserve">% net investment income tax.  Basically, the tax is imposed on any net investment income that remains in the estate or the trust and, thus, is not distributed to beneficiaries, otherwise referred to as “undistributed net investment income.”  Unlike individual taxpayers, the threshold amount is the amount </w:t>
      </w:r>
      <w:r w:rsidR="00535F62">
        <w:rPr>
          <w:rFonts w:ascii="Perpetua" w:hAnsi="Perpetua"/>
          <w:sz w:val="24"/>
          <w:szCs w:val="24"/>
        </w:rPr>
        <w:t xml:space="preserve">at which </w:t>
      </w:r>
      <w:r w:rsidR="00C44384" w:rsidRPr="00C92C5D">
        <w:rPr>
          <w:rFonts w:ascii="Perpetua" w:hAnsi="Perpetua"/>
          <w:sz w:val="24"/>
          <w:szCs w:val="24"/>
        </w:rPr>
        <w:t xml:space="preserve">the highest regular income tax bracket </w:t>
      </w:r>
      <w:r w:rsidR="00535F62">
        <w:rPr>
          <w:rFonts w:ascii="Perpetua" w:hAnsi="Perpetua"/>
          <w:sz w:val="24"/>
          <w:szCs w:val="24"/>
        </w:rPr>
        <w:t xml:space="preserve">begins.  Additionally, unlike the applicable threshold amount for individuals, the applicable threshold is </w:t>
      </w:r>
      <w:r w:rsidR="002B408E">
        <w:rPr>
          <w:rFonts w:ascii="Perpetua" w:hAnsi="Perpetua"/>
          <w:sz w:val="24"/>
          <w:szCs w:val="24"/>
        </w:rPr>
        <w:t>adjusted for inflation</w:t>
      </w:r>
      <w:r w:rsidR="00C44384" w:rsidRPr="00C92C5D">
        <w:rPr>
          <w:rFonts w:ascii="Perpetua" w:hAnsi="Perpetua"/>
          <w:sz w:val="24"/>
          <w:szCs w:val="24"/>
        </w:rPr>
        <w:t>.</w:t>
      </w:r>
      <w:r w:rsidR="00C44384" w:rsidRPr="00C92C5D">
        <w:rPr>
          <w:rStyle w:val="EndnoteReference"/>
          <w:rFonts w:ascii="Perpetua" w:hAnsi="Perpetua"/>
          <w:sz w:val="24"/>
          <w:szCs w:val="24"/>
        </w:rPr>
        <w:endnoteReference w:id="1"/>
      </w:r>
      <w:r w:rsidR="00C44384">
        <w:rPr>
          <w:rFonts w:ascii="Perpetua" w:hAnsi="Perpetua"/>
          <w:sz w:val="24"/>
          <w:szCs w:val="24"/>
        </w:rPr>
        <w:t xml:space="preserve">  For example, in 2014, th</w:t>
      </w:r>
      <w:r w:rsidR="0022496D">
        <w:rPr>
          <w:rFonts w:ascii="Perpetua" w:hAnsi="Perpetua"/>
          <w:sz w:val="24"/>
          <w:szCs w:val="24"/>
        </w:rPr>
        <w:t xml:space="preserve">e amount at which the highest income tax bracket begins is </w:t>
      </w:r>
      <w:r w:rsidR="00C44384">
        <w:rPr>
          <w:rFonts w:ascii="Perpetua" w:hAnsi="Perpetua"/>
          <w:sz w:val="24"/>
          <w:szCs w:val="24"/>
        </w:rPr>
        <w:t>adjusted gross income in excess of $12,150.</w:t>
      </w:r>
      <w:r w:rsidR="00535F62">
        <w:rPr>
          <w:rFonts w:ascii="Perpetua" w:hAnsi="Perpetua"/>
          <w:sz w:val="24"/>
          <w:szCs w:val="24"/>
        </w:rPr>
        <w:t xml:space="preserve">  Since this</w:t>
      </w:r>
      <w:r w:rsidR="002B408E">
        <w:rPr>
          <w:rFonts w:ascii="Perpetua" w:hAnsi="Perpetua"/>
          <w:sz w:val="24"/>
          <w:szCs w:val="24"/>
        </w:rPr>
        <w:t xml:space="preserve"> </w:t>
      </w:r>
      <w:r w:rsidR="00535F62">
        <w:rPr>
          <w:rFonts w:ascii="Perpetua" w:hAnsi="Perpetua"/>
          <w:sz w:val="24"/>
          <w:szCs w:val="24"/>
        </w:rPr>
        <w:t xml:space="preserve">amount </w:t>
      </w:r>
      <w:r w:rsidR="002B408E">
        <w:rPr>
          <w:rFonts w:ascii="Perpetua" w:hAnsi="Perpetua"/>
          <w:sz w:val="24"/>
          <w:szCs w:val="24"/>
        </w:rPr>
        <w:t>is relatively low, many estates and trusts are likely to be subject to the tax.</w:t>
      </w:r>
    </w:p>
    <w:p w:rsidR="00535F62" w:rsidRDefault="00535F62" w:rsidP="00C92C5D">
      <w:pPr>
        <w:ind w:firstLine="288"/>
        <w:jc w:val="both"/>
        <w:rPr>
          <w:rFonts w:ascii="Perpetua" w:hAnsi="Perpetua"/>
          <w:sz w:val="24"/>
          <w:szCs w:val="24"/>
        </w:rPr>
      </w:pPr>
    </w:p>
    <w:p w:rsidR="00535F62" w:rsidRDefault="00535F62" w:rsidP="00C92C5D">
      <w:pPr>
        <w:ind w:firstLine="288"/>
        <w:jc w:val="both"/>
        <w:rPr>
          <w:rFonts w:ascii="Perpetua" w:hAnsi="Perpetua"/>
          <w:sz w:val="24"/>
          <w:szCs w:val="24"/>
        </w:rPr>
      </w:pPr>
      <w:r>
        <w:rPr>
          <w:rFonts w:ascii="Perpetua" w:hAnsi="Perpetua"/>
          <w:sz w:val="24"/>
          <w:szCs w:val="24"/>
        </w:rPr>
        <w:t>The following examples are used to demonstrate the computation of the net investment income tax for a trust.</w:t>
      </w:r>
    </w:p>
    <w:p w:rsidR="00535F62" w:rsidRPr="00535F62" w:rsidRDefault="00535F62" w:rsidP="00C92C5D">
      <w:pPr>
        <w:ind w:firstLine="288"/>
        <w:jc w:val="both"/>
        <w:rPr>
          <w:rFonts w:ascii="Perpetua" w:hAnsi="Perpetua"/>
          <w:sz w:val="24"/>
          <w:szCs w:val="24"/>
        </w:rPr>
      </w:pPr>
      <w:r>
        <w:rPr>
          <w:i/>
        </w:rPr>
        <w:t xml:space="preserve">          </w:t>
      </w:r>
      <w:r w:rsidRPr="00535F62">
        <w:rPr>
          <w:i/>
          <w:sz w:val="24"/>
          <w:szCs w:val="24"/>
        </w:rPr>
        <w:t>Example</w:t>
      </w:r>
      <w:r w:rsidRPr="00535F62">
        <w:rPr>
          <w:sz w:val="24"/>
          <w:szCs w:val="24"/>
        </w:rPr>
        <w:t xml:space="preserve">: In 2014, </w:t>
      </w:r>
      <w:r w:rsidR="00A003F7">
        <w:rPr>
          <w:sz w:val="24"/>
          <w:szCs w:val="24"/>
        </w:rPr>
        <w:t>the Dinosaur</w:t>
      </w:r>
      <w:r w:rsidRPr="00535F62">
        <w:rPr>
          <w:sz w:val="24"/>
          <w:szCs w:val="24"/>
        </w:rPr>
        <w:t xml:space="preserve"> trust has AGI of $16,000 and undistributed net investment income of $6,000.  </w:t>
      </w:r>
    </w:p>
    <w:p w:rsidR="00C44384" w:rsidRPr="00C92C5D" w:rsidRDefault="00C44384" w:rsidP="00C92C5D">
      <w:pPr>
        <w:ind w:firstLine="288"/>
        <w:rPr>
          <w:rFonts w:ascii="Perpetua" w:hAnsi="Perpetua"/>
          <w:sz w:val="24"/>
          <w:szCs w:val="24"/>
        </w:rPr>
      </w:pPr>
    </w:p>
    <w:p w:rsidR="00C44384" w:rsidRPr="00A003F7" w:rsidRDefault="00C44384" w:rsidP="00C44384">
      <w:pPr>
        <w:jc w:val="both"/>
        <w:rPr>
          <w:rFonts w:ascii="Perpetua" w:hAnsi="Perpetua"/>
          <w:sz w:val="24"/>
          <w:szCs w:val="24"/>
        </w:rPr>
      </w:pPr>
      <w:r>
        <w:rPr>
          <w:rFonts w:ascii="Perpetua" w:hAnsi="Perpetua"/>
          <w:szCs w:val="24"/>
        </w:rPr>
        <w:t xml:space="preserve"> </w:t>
      </w:r>
      <w:r>
        <w:rPr>
          <w:rFonts w:ascii="Perpetua" w:hAnsi="Perpetua"/>
          <w:szCs w:val="24"/>
        </w:rPr>
        <w:tab/>
      </w:r>
      <w:r w:rsidR="00A003F7" w:rsidRPr="00A003F7">
        <w:rPr>
          <w:rFonts w:ascii="Perpetua" w:hAnsi="Perpetua"/>
          <w:sz w:val="24"/>
          <w:szCs w:val="24"/>
        </w:rPr>
        <w:t>T</w:t>
      </w:r>
      <w:r w:rsidRPr="00A003F7">
        <w:rPr>
          <w:rFonts w:ascii="Perpetua" w:hAnsi="Perpetua"/>
          <w:sz w:val="24"/>
          <w:szCs w:val="24"/>
        </w:rPr>
        <w:t xml:space="preserve">he net investment income tax is imposed on </w:t>
      </w:r>
      <w:r w:rsidR="00954C6B" w:rsidRPr="00A003F7">
        <w:rPr>
          <w:rFonts w:ascii="Perpetua" w:hAnsi="Perpetua"/>
          <w:sz w:val="24"/>
          <w:szCs w:val="24"/>
        </w:rPr>
        <w:t>trusts and estates on t</w:t>
      </w:r>
      <w:r w:rsidRPr="00A003F7">
        <w:rPr>
          <w:rFonts w:ascii="Perpetua" w:hAnsi="Perpetua"/>
          <w:sz w:val="24"/>
          <w:szCs w:val="24"/>
        </w:rPr>
        <w:t>he lesser of:</w:t>
      </w:r>
    </w:p>
    <w:p w:rsidR="00C44384" w:rsidRPr="00C92C5D" w:rsidRDefault="00C44384" w:rsidP="00C44384">
      <w:pPr>
        <w:rPr>
          <w:rFonts w:ascii="Perpetua" w:hAnsi="Perpetua"/>
          <w:sz w:val="24"/>
          <w:szCs w:val="24"/>
        </w:rPr>
      </w:pPr>
    </w:p>
    <w:p w:rsidR="00C44384" w:rsidRPr="00C92C5D" w:rsidRDefault="00C44384" w:rsidP="00C44384">
      <w:pPr>
        <w:numPr>
          <w:ilvl w:val="0"/>
          <w:numId w:val="18"/>
        </w:numPr>
        <w:rPr>
          <w:rFonts w:ascii="Perpetua" w:hAnsi="Perpetua"/>
          <w:sz w:val="24"/>
          <w:szCs w:val="24"/>
        </w:rPr>
      </w:pPr>
      <w:r w:rsidRPr="00C92C5D">
        <w:rPr>
          <w:rFonts w:ascii="Perpetua" w:hAnsi="Perpetua"/>
          <w:sz w:val="24"/>
          <w:szCs w:val="24"/>
        </w:rPr>
        <w:t>Undistributed Net Investment Income</w:t>
      </w:r>
      <w:r w:rsidR="00535F62">
        <w:rPr>
          <w:rFonts w:ascii="Perpetua" w:hAnsi="Perpetua"/>
          <w:sz w:val="24"/>
          <w:szCs w:val="24"/>
        </w:rPr>
        <w:t>, $6,000</w:t>
      </w:r>
      <w:r w:rsidRPr="00C92C5D">
        <w:rPr>
          <w:rFonts w:ascii="Perpetua" w:hAnsi="Perpetua"/>
          <w:sz w:val="24"/>
          <w:szCs w:val="24"/>
        </w:rPr>
        <w:t>: or</w:t>
      </w:r>
    </w:p>
    <w:p w:rsidR="00C44384" w:rsidRPr="00C92C5D" w:rsidRDefault="00C44384" w:rsidP="00C44384">
      <w:pPr>
        <w:ind w:left="1080"/>
        <w:rPr>
          <w:rFonts w:ascii="Perpetua" w:hAnsi="Perpetua"/>
          <w:sz w:val="24"/>
          <w:szCs w:val="24"/>
        </w:rPr>
      </w:pPr>
    </w:p>
    <w:p w:rsidR="00535F62" w:rsidRDefault="00C44384" w:rsidP="00535F62">
      <w:pPr>
        <w:pStyle w:val="PN"/>
        <w:numPr>
          <w:ilvl w:val="0"/>
          <w:numId w:val="18"/>
        </w:numPr>
        <w:rPr>
          <w:rFonts w:hint="eastAsia"/>
          <w:sz w:val="24"/>
          <w:szCs w:val="24"/>
        </w:rPr>
      </w:pPr>
      <w:r w:rsidRPr="00C92C5D">
        <w:rPr>
          <w:rFonts w:ascii="Perpetua" w:hAnsi="Perpetua"/>
          <w:sz w:val="24"/>
          <w:szCs w:val="24"/>
        </w:rPr>
        <w:t xml:space="preserve">The excess of </w:t>
      </w:r>
      <w:r w:rsidR="00535F62">
        <w:rPr>
          <w:rFonts w:ascii="Perpetua" w:hAnsi="Perpetua"/>
          <w:sz w:val="24"/>
          <w:szCs w:val="24"/>
        </w:rPr>
        <w:t>(</w:t>
      </w:r>
      <w:proofErr w:type="spellStart"/>
      <w:r w:rsidR="00535F62">
        <w:rPr>
          <w:rFonts w:ascii="Perpetua" w:hAnsi="Perpetua"/>
          <w:sz w:val="24"/>
          <w:szCs w:val="24"/>
        </w:rPr>
        <w:t>i</w:t>
      </w:r>
      <w:proofErr w:type="spellEnd"/>
      <w:r w:rsidR="00535F62">
        <w:rPr>
          <w:rFonts w:ascii="Perpetua" w:hAnsi="Perpetua"/>
          <w:sz w:val="24"/>
          <w:szCs w:val="24"/>
        </w:rPr>
        <w:t>) AGI of $16,000,</w:t>
      </w:r>
      <w:r w:rsidRPr="00C92C5D">
        <w:rPr>
          <w:rFonts w:ascii="Perpetua" w:hAnsi="Perpetua"/>
          <w:sz w:val="24"/>
          <w:szCs w:val="24"/>
        </w:rPr>
        <w:t xml:space="preserve"> </w:t>
      </w:r>
      <w:r w:rsidR="00535F62">
        <w:rPr>
          <w:sz w:val="24"/>
          <w:szCs w:val="24"/>
        </w:rPr>
        <w:t xml:space="preserve">over (ii) $12,500, </w:t>
      </w:r>
      <w:r w:rsidR="00D47C88">
        <w:rPr>
          <w:sz w:val="24"/>
          <w:szCs w:val="24"/>
        </w:rPr>
        <w:t xml:space="preserve">the amount at which the highest regular tax bracket begins, </w:t>
      </w:r>
      <w:r w:rsidR="00535F62">
        <w:rPr>
          <w:sz w:val="24"/>
          <w:szCs w:val="24"/>
        </w:rPr>
        <w:t>or $3,850.</w:t>
      </w:r>
    </w:p>
    <w:p w:rsidR="00C44384" w:rsidRDefault="00535F62" w:rsidP="00A003F7">
      <w:pPr>
        <w:jc w:val="both"/>
        <w:rPr>
          <w:sz w:val="24"/>
          <w:szCs w:val="24"/>
        </w:rPr>
      </w:pPr>
      <w:r>
        <w:rPr>
          <w:sz w:val="24"/>
          <w:szCs w:val="24"/>
        </w:rPr>
        <w:t xml:space="preserve">     </w:t>
      </w:r>
      <w:r w:rsidR="0022496D">
        <w:rPr>
          <w:sz w:val="24"/>
          <w:szCs w:val="24"/>
        </w:rPr>
        <w:t>Even though there is $6,000 of undistributed net investment income, b</w:t>
      </w:r>
      <w:r>
        <w:rPr>
          <w:sz w:val="24"/>
          <w:szCs w:val="24"/>
        </w:rPr>
        <w:t xml:space="preserve">ecause the lesser of the two amounts is $3,850, only </w:t>
      </w:r>
      <w:r w:rsidR="0022496D">
        <w:rPr>
          <w:sz w:val="24"/>
          <w:szCs w:val="24"/>
        </w:rPr>
        <w:t xml:space="preserve">that amount </w:t>
      </w:r>
      <w:r>
        <w:rPr>
          <w:sz w:val="24"/>
          <w:szCs w:val="24"/>
        </w:rPr>
        <w:t>is subject to the 3.8% net investment income tax.</w:t>
      </w:r>
    </w:p>
    <w:p w:rsidR="00A003F7" w:rsidRDefault="00A003F7" w:rsidP="00535F62">
      <w:pPr>
        <w:rPr>
          <w:sz w:val="24"/>
          <w:szCs w:val="24"/>
        </w:rPr>
      </w:pPr>
    </w:p>
    <w:p w:rsidR="00A003F7" w:rsidRPr="00C92C5D" w:rsidRDefault="00A003F7" w:rsidP="00535F62">
      <w:pPr>
        <w:rPr>
          <w:rFonts w:ascii="Perpetua" w:hAnsi="Perpetua"/>
          <w:sz w:val="24"/>
          <w:szCs w:val="24"/>
        </w:rPr>
      </w:pPr>
      <w:r>
        <w:rPr>
          <w:i/>
          <w:sz w:val="24"/>
          <w:szCs w:val="24"/>
        </w:rPr>
        <w:t xml:space="preserve">             </w:t>
      </w:r>
      <w:r w:rsidRPr="00535F62">
        <w:rPr>
          <w:i/>
          <w:sz w:val="24"/>
          <w:szCs w:val="24"/>
        </w:rPr>
        <w:t>Example</w:t>
      </w:r>
      <w:r w:rsidRPr="00535F62">
        <w:rPr>
          <w:sz w:val="24"/>
          <w:szCs w:val="24"/>
        </w:rPr>
        <w:t xml:space="preserve">: </w:t>
      </w:r>
      <w:r>
        <w:rPr>
          <w:sz w:val="24"/>
          <w:szCs w:val="24"/>
        </w:rPr>
        <w:t xml:space="preserve">In 2015, the Dinosaur </w:t>
      </w:r>
      <w:r w:rsidRPr="00535F62">
        <w:rPr>
          <w:sz w:val="24"/>
          <w:szCs w:val="24"/>
        </w:rPr>
        <w:t>trust has AGI of $</w:t>
      </w:r>
      <w:r>
        <w:rPr>
          <w:sz w:val="24"/>
          <w:szCs w:val="24"/>
        </w:rPr>
        <w:t>20</w:t>
      </w:r>
      <w:r w:rsidRPr="00535F62">
        <w:rPr>
          <w:sz w:val="24"/>
          <w:szCs w:val="24"/>
        </w:rPr>
        <w:t>,000 and undistributed net investment income of $6,000.</w:t>
      </w:r>
    </w:p>
    <w:p w:rsidR="00A003F7" w:rsidRPr="00A003F7" w:rsidRDefault="00954C6B" w:rsidP="00A003F7">
      <w:pPr>
        <w:jc w:val="both"/>
        <w:rPr>
          <w:rFonts w:ascii="Perpetua" w:hAnsi="Perpetua"/>
          <w:sz w:val="24"/>
          <w:szCs w:val="24"/>
        </w:rPr>
      </w:pPr>
      <w:r>
        <w:rPr>
          <w:rFonts w:ascii="Perpetua" w:hAnsi="Perpetua"/>
          <w:szCs w:val="24"/>
        </w:rPr>
        <w:br/>
      </w:r>
      <w:r w:rsidR="00A003F7">
        <w:rPr>
          <w:rFonts w:ascii="Perpetua" w:hAnsi="Perpetua"/>
          <w:sz w:val="24"/>
          <w:szCs w:val="24"/>
        </w:rPr>
        <w:t xml:space="preserve">            </w:t>
      </w:r>
      <w:r w:rsidR="00A003F7" w:rsidRPr="00A003F7">
        <w:rPr>
          <w:rFonts w:ascii="Perpetua" w:hAnsi="Perpetua"/>
          <w:sz w:val="24"/>
          <w:szCs w:val="24"/>
        </w:rPr>
        <w:t>The net investment income tax is imposed on trusts and estates on the lesser of:</w:t>
      </w:r>
    </w:p>
    <w:p w:rsidR="00A003F7" w:rsidRPr="00C92C5D" w:rsidRDefault="00A003F7" w:rsidP="00A003F7">
      <w:pPr>
        <w:rPr>
          <w:rFonts w:ascii="Perpetua" w:hAnsi="Perpetua"/>
          <w:sz w:val="24"/>
          <w:szCs w:val="24"/>
        </w:rPr>
      </w:pPr>
    </w:p>
    <w:p w:rsidR="00A003F7" w:rsidRPr="00C92C5D" w:rsidRDefault="00A003F7" w:rsidP="00A003F7">
      <w:pPr>
        <w:numPr>
          <w:ilvl w:val="0"/>
          <w:numId w:val="20"/>
        </w:numPr>
        <w:rPr>
          <w:rFonts w:ascii="Perpetua" w:hAnsi="Perpetua"/>
          <w:sz w:val="24"/>
          <w:szCs w:val="24"/>
        </w:rPr>
      </w:pPr>
      <w:r w:rsidRPr="00C92C5D">
        <w:rPr>
          <w:rFonts w:ascii="Perpetua" w:hAnsi="Perpetua"/>
          <w:sz w:val="24"/>
          <w:szCs w:val="24"/>
        </w:rPr>
        <w:t>Undistributed Net Investment Income</w:t>
      </w:r>
      <w:r>
        <w:rPr>
          <w:rFonts w:ascii="Perpetua" w:hAnsi="Perpetua"/>
          <w:sz w:val="24"/>
          <w:szCs w:val="24"/>
        </w:rPr>
        <w:t>, $6,000</w:t>
      </w:r>
      <w:r w:rsidRPr="00C92C5D">
        <w:rPr>
          <w:rFonts w:ascii="Perpetua" w:hAnsi="Perpetua"/>
          <w:sz w:val="24"/>
          <w:szCs w:val="24"/>
        </w:rPr>
        <w:t>: or</w:t>
      </w:r>
    </w:p>
    <w:p w:rsidR="00A003F7" w:rsidRPr="00C92C5D" w:rsidRDefault="00A003F7" w:rsidP="00A003F7">
      <w:pPr>
        <w:ind w:left="1080"/>
        <w:rPr>
          <w:rFonts w:ascii="Perpetua" w:hAnsi="Perpetua"/>
          <w:sz w:val="24"/>
          <w:szCs w:val="24"/>
        </w:rPr>
      </w:pPr>
    </w:p>
    <w:p w:rsidR="00A003F7" w:rsidRDefault="00A003F7" w:rsidP="00A003F7">
      <w:pPr>
        <w:pStyle w:val="PN"/>
        <w:numPr>
          <w:ilvl w:val="0"/>
          <w:numId w:val="20"/>
        </w:numPr>
        <w:rPr>
          <w:rFonts w:hint="eastAsia"/>
          <w:sz w:val="24"/>
          <w:szCs w:val="24"/>
        </w:rPr>
      </w:pPr>
      <w:r w:rsidRPr="00C92C5D">
        <w:rPr>
          <w:rFonts w:ascii="Perpetua" w:hAnsi="Perpetua"/>
          <w:sz w:val="24"/>
          <w:szCs w:val="24"/>
        </w:rPr>
        <w:t xml:space="preserve">The excess of </w:t>
      </w:r>
      <w:r>
        <w:rPr>
          <w:rFonts w:ascii="Perpetua" w:hAnsi="Perpetua"/>
          <w:sz w:val="24"/>
          <w:szCs w:val="24"/>
        </w:rPr>
        <w:t>(</w:t>
      </w:r>
      <w:proofErr w:type="spellStart"/>
      <w:r>
        <w:rPr>
          <w:rFonts w:ascii="Perpetua" w:hAnsi="Perpetua"/>
          <w:sz w:val="24"/>
          <w:szCs w:val="24"/>
        </w:rPr>
        <w:t>i</w:t>
      </w:r>
      <w:proofErr w:type="spellEnd"/>
      <w:r>
        <w:rPr>
          <w:rFonts w:ascii="Perpetua" w:hAnsi="Perpetua"/>
          <w:sz w:val="24"/>
          <w:szCs w:val="24"/>
        </w:rPr>
        <w:t>) AGI of $20,000,</w:t>
      </w:r>
      <w:r w:rsidRPr="00C92C5D">
        <w:rPr>
          <w:rFonts w:ascii="Perpetua" w:hAnsi="Perpetua"/>
          <w:sz w:val="24"/>
          <w:szCs w:val="24"/>
        </w:rPr>
        <w:t xml:space="preserve"> </w:t>
      </w:r>
      <w:r>
        <w:rPr>
          <w:sz w:val="24"/>
          <w:szCs w:val="24"/>
        </w:rPr>
        <w:t xml:space="preserve">over (ii) </w:t>
      </w:r>
      <w:r w:rsidR="00D47C88">
        <w:rPr>
          <w:sz w:val="24"/>
          <w:szCs w:val="24"/>
        </w:rPr>
        <w:t xml:space="preserve">$12,500, </w:t>
      </w:r>
      <w:r>
        <w:rPr>
          <w:sz w:val="24"/>
          <w:szCs w:val="24"/>
        </w:rPr>
        <w:t xml:space="preserve">the </w:t>
      </w:r>
      <w:r w:rsidR="00D47C88">
        <w:rPr>
          <w:sz w:val="24"/>
          <w:szCs w:val="24"/>
        </w:rPr>
        <w:t>amount at which the highest regular tax bracket begins</w:t>
      </w:r>
      <w:r>
        <w:rPr>
          <w:sz w:val="24"/>
          <w:szCs w:val="24"/>
        </w:rPr>
        <w:t>, or $7,850.</w:t>
      </w:r>
    </w:p>
    <w:p w:rsidR="007B1C09" w:rsidRDefault="007B1C09" w:rsidP="007B1C09">
      <w:pPr>
        <w:pStyle w:val="ListParagraph"/>
        <w:ind w:left="0" w:firstLine="288"/>
        <w:jc w:val="both"/>
        <w:rPr>
          <w:sz w:val="24"/>
          <w:szCs w:val="24"/>
        </w:rPr>
      </w:pPr>
      <w:r>
        <w:rPr>
          <w:sz w:val="24"/>
          <w:szCs w:val="24"/>
        </w:rPr>
        <w:t>Because the lesser of the two amounts is the undistributed net investment income of $6,000, the entire amount of undistributed net investment income is subject to the 3.8% net investment income tax.</w:t>
      </w:r>
    </w:p>
    <w:p w:rsidR="00A003F7" w:rsidRPr="00BF6833" w:rsidRDefault="007B1C09" w:rsidP="00A003F7">
      <w:pPr>
        <w:pStyle w:val="PA"/>
        <w:rPr>
          <w:b/>
        </w:rPr>
      </w:pPr>
      <w:r>
        <w:rPr>
          <w:b/>
        </w:rPr>
        <w:br/>
        <w:t xml:space="preserve">    </w:t>
      </w:r>
      <w:r w:rsidR="0010234C">
        <w:rPr>
          <w:b/>
        </w:rPr>
        <w:t>8569</w:t>
      </w:r>
      <w:r w:rsidR="00520DAA">
        <w:rPr>
          <w:b/>
        </w:rPr>
        <w:t>.02</w:t>
      </w:r>
      <w:r w:rsidR="00A003F7" w:rsidRPr="00BF6833">
        <w:rPr>
          <w:b/>
        </w:rPr>
        <w:t xml:space="preserve"> Wh</w:t>
      </w:r>
      <w:r w:rsidR="00A003F7">
        <w:rPr>
          <w:b/>
        </w:rPr>
        <w:t>ich trusts are not subject to the net investment income tax?</w:t>
      </w:r>
    </w:p>
    <w:p w:rsidR="00E019D6" w:rsidRDefault="00A003F7" w:rsidP="00A003F7">
      <w:pPr>
        <w:jc w:val="both"/>
        <w:rPr>
          <w:sz w:val="24"/>
          <w:szCs w:val="24"/>
        </w:rPr>
      </w:pPr>
      <w:r>
        <w:rPr>
          <w:sz w:val="24"/>
          <w:szCs w:val="24"/>
        </w:rPr>
        <w:t xml:space="preserve">     </w:t>
      </w:r>
      <w:r w:rsidR="00C92C5D" w:rsidRPr="00A003F7">
        <w:rPr>
          <w:sz w:val="24"/>
          <w:szCs w:val="24"/>
        </w:rPr>
        <w:t xml:space="preserve">Trusts not </w:t>
      </w:r>
      <w:r w:rsidR="002462E3" w:rsidRPr="00A003F7">
        <w:rPr>
          <w:sz w:val="24"/>
          <w:szCs w:val="24"/>
        </w:rPr>
        <w:t xml:space="preserve">subject to the net investment income </w:t>
      </w:r>
      <w:r w:rsidR="00520DAA">
        <w:rPr>
          <w:sz w:val="24"/>
          <w:szCs w:val="24"/>
        </w:rPr>
        <w:t>tax</w:t>
      </w:r>
      <w:bookmarkStart w:id="0" w:name="_GoBack"/>
      <w:bookmarkEnd w:id="0"/>
      <w:r w:rsidR="00C92C5D" w:rsidRPr="00A003F7">
        <w:rPr>
          <w:sz w:val="24"/>
          <w:szCs w:val="24"/>
        </w:rPr>
        <w:t xml:space="preserve"> include</w:t>
      </w:r>
      <w:r w:rsidR="00E019D6" w:rsidRPr="00A003F7">
        <w:rPr>
          <w:sz w:val="24"/>
          <w:szCs w:val="24"/>
        </w:rPr>
        <w:t xml:space="preserve"> charitable trusts exempt from tax under IRC Section 501</w:t>
      </w:r>
      <w:r w:rsidR="00F5790C" w:rsidRPr="00A003F7">
        <w:rPr>
          <w:rStyle w:val="FootnoteReference"/>
          <w:sz w:val="24"/>
          <w:szCs w:val="24"/>
        </w:rPr>
        <w:footnoteReference w:id="1"/>
      </w:r>
      <w:r w:rsidR="00E019D6" w:rsidRPr="00A003F7">
        <w:rPr>
          <w:sz w:val="24"/>
          <w:szCs w:val="24"/>
        </w:rPr>
        <w:t xml:space="preserve"> or IRC Section 664</w:t>
      </w:r>
      <w:r w:rsidR="00F5790C" w:rsidRPr="00A003F7">
        <w:rPr>
          <w:rStyle w:val="FootnoteReference"/>
          <w:sz w:val="24"/>
          <w:szCs w:val="24"/>
        </w:rPr>
        <w:footnoteReference w:id="2"/>
      </w:r>
      <w:r w:rsidR="00E019D6" w:rsidRPr="00A003F7">
        <w:rPr>
          <w:sz w:val="24"/>
          <w:szCs w:val="24"/>
        </w:rPr>
        <w:t xml:space="preserve"> (charitable remainder trusts) and trusts that are not </w:t>
      </w:r>
      <w:r w:rsidR="00E019D6" w:rsidRPr="00A003F7">
        <w:rPr>
          <w:sz w:val="24"/>
          <w:szCs w:val="24"/>
        </w:rPr>
        <w:lastRenderedPageBreak/>
        <w:t>classified as “trusts” for federal income tax purposes</w:t>
      </w:r>
      <w:r w:rsidR="00F5790C" w:rsidRPr="00A003F7">
        <w:rPr>
          <w:sz w:val="24"/>
          <w:szCs w:val="24"/>
        </w:rPr>
        <w:t>.</w:t>
      </w:r>
      <w:r w:rsidR="00F5790C" w:rsidRPr="00A003F7">
        <w:rPr>
          <w:rStyle w:val="FootnoteReference"/>
          <w:sz w:val="24"/>
          <w:szCs w:val="24"/>
        </w:rPr>
        <w:footnoteReference w:id="3"/>
      </w:r>
      <w:r w:rsidR="00C92C5D" w:rsidRPr="00A003F7">
        <w:rPr>
          <w:sz w:val="24"/>
          <w:szCs w:val="24"/>
        </w:rPr>
        <w:t xml:space="preserve">  Moreover, if </w:t>
      </w:r>
      <w:r w:rsidR="00F5790C" w:rsidRPr="00A003F7">
        <w:rPr>
          <w:sz w:val="24"/>
          <w:szCs w:val="24"/>
        </w:rPr>
        <w:t xml:space="preserve">all of the remaining interests in a trust are designated for certain qualified purposes, the trust </w:t>
      </w:r>
      <w:r w:rsidR="002462E3" w:rsidRPr="00A003F7">
        <w:rPr>
          <w:sz w:val="24"/>
          <w:szCs w:val="24"/>
        </w:rPr>
        <w:t xml:space="preserve">is not subject to the net </w:t>
      </w:r>
      <w:r w:rsidR="00F5790C" w:rsidRPr="00A003F7">
        <w:rPr>
          <w:sz w:val="24"/>
          <w:szCs w:val="24"/>
        </w:rPr>
        <w:t>investment income tax.</w:t>
      </w:r>
      <w:r w:rsidR="00A02913" w:rsidRPr="00A003F7">
        <w:rPr>
          <w:sz w:val="24"/>
          <w:szCs w:val="24"/>
        </w:rPr>
        <w:t xml:space="preserve"> </w:t>
      </w:r>
      <w:r w:rsidR="00F5790C" w:rsidRPr="00A003F7">
        <w:rPr>
          <w:sz w:val="24"/>
          <w:szCs w:val="24"/>
        </w:rPr>
        <w:t>These qualified purposes descri</w:t>
      </w:r>
      <w:r w:rsidR="00841793" w:rsidRPr="00A003F7">
        <w:rPr>
          <w:sz w:val="24"/>
          <w:szCs w:val="24"/>
        </w:rPr>
        <w:t>bed in IRC Section 170(c</w:t>
      </w:r>
      <w:proofErr w:type="gramStart"/>
      <w:r w:rsidR="00841793" w:rsidRPr="00A003F7">
        <w:rPr>
          <w:sz w:val="24"/>
          <w:szCs w:val="24"/>
        </w:rPr>
        <w:t>)(</w:t>
      </w:r>
      <w:proofErr w:type="gramEnd"/>
      <w:r w:rsidR="00841793" w:rsidRPr="00A003F7">
        <w:rPr>
          <w:sz w:val="24"/>
          <w:szCs w:val="24"/>
        </w:rPr>
        <w:t>2)(B)</w:t>
      </w:r>
      <w:r w:rsidR="00F5790C" w:rsidRPr="00A003F7">
        <w:rPr>
          <w:sz w:val="24"/>
          <w:szCs w:val="24"/>
        </w:rPr>
        <w:t xml:space="preserve"> includ</w:t>
      </w:r>
      <w:r w:rsidR="00841793" w:rsidRPr="00A003F7">
        <w:rPr>
          <w:sz w:val="24"/>
          <w:szCs w:val="24"/>
        </w:rPr>
        <w:t>e</w:t>
      </w:r>
      <w:r w:rsidR="00F5790C" w:rsidRPr="00A003F7">
        <w:rPr>
          <w:sz w:val="24"/>
          <w:szCs w:val="24"/>
        </w:rPr>
        <w:t xml:space="preserve"> religious, charitable, scientific, literary or educational purposes.</w:t>
      </w:r>
      <w:r w:rsidR="00F5790C" w:rsidRPr="00A003F7">
        <w:rPr>
          <w:rStyle w:val="FootnoteReference"/>
          <w:sz w:val="24"/>
          <w:szCs w:val="24"/>
        </w:rPr>
        <w:footnoteReference w:id="4"/>
      </w:r>
    </w:p>
    <w:p w:rsidR="00A003F7" w:rsidRPr="00A003F7" w:rsidRDefault="00A003F7" w:rsidP="00A003F7">
      <w:pPr>
        <w:jc w:val="both"/>
        <w:rPr>
          <w:b/>
          <w:sz w:val="24"/>
          <w:szCs w:val="24"/>
        </w:rPr>
      </w:pPr>
    </w:p>
    <w:p w:rsidR="00F5790C" w:rsidRPr="00E019D6" w:rsidRDefault="00B46779" w:rsidP="00B611F0">
      <w:pPr>
        <w:pStyle w:val="PA"/>
        <w:rPr>
          <w:b/>
        </w:rPr>
      </w:pPr>
      <w:r>
        <w:t xml:space="preserve">Finally, </w:t>
      </w:r>
      <w:r w:rsidR="00A003F7">
        <w:t>grantor trusts such as revocable trusts are not subject to the net investment income tax.  This is because the income of a grantor trust is taxed directly to the grantor.  As a result, any net investment income generated by the trust is included in the grantor’s net investment income – potentially subject to the 3.8% tax.</w:t>
      </w:r>
      <w:r w:rsidR="00F5790C" w:rsidRPr="00EE7BE5">
        <w:rPr>
          <w:rStyle w:val="FootnoteReference"/>
          <w:color w:val="auto"/>
        </w:rPr>
        <w:footnoteReference w:id="5"/>
      </w:r>
    </w:p>
    <w:p w:rsidR="00B611F0" w:rsidRPr="00B611F0" w:rsidRDefault="00B611F0" w:rsidP="00B611F0"/>
    <w:sectPr w:rsidR="00B611F0" w:rsidRPr="00B611F0" w:rsidSect="00271A21">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1A3" w:rsidRDefault="00E911A3" w:rsidP="00536B05">
      <w:r>
        <w:separator/>
      </w:r>
    </w:p>
  </w:endnote>
  <w:endnote w:type="continuationSeparator" w:id="0">
    <w:p w:rsidR="00E911A3" w:rsidRDefault="00E911A3" w:rsidP="00536B05">
      <w:r>
        <w:continuationSeparator/>
      </w:r>
    </w:p>
  </w:endnote>
  <w:endnote w:id="1">
    <w:p w:rsidR="00C44384" w:rsidRPr="00D93B4B" w:rsidRDefault="00C44384" w:rsidP="00C44384">
      <w:pPr>
        <w:pStyle w:val="PQ"/>
      </w:pPr>
      <w:r w:rsidRPr="00D93B4B">
        <w:rPr>
          <w:rStyle w:val="EndnoteReference"/>
        </w:rPr>
        <w:endnoteRef/>
      </w:r>
      <w:r w:rsidRPr="00D93B4B">
        <w:t>.</w:t>
      </w:r>
      <w:r w:rsidRPr="00D93B4B">
        <w:tab/>
      </w:r>
      <w:r>
        <w:t>IRC Sec. 1411(a</w:t>
      </w:r>
      <w:proofErr w:type="gramStart"/>
      <w:r>
        <w:t>)(</w:t>
      </w:r>
      <w:proofErr w:type="gramEnd"/>
      <w:r>
        <w:t>2)(B)(ii).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St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Helvetica LT Std">
    <w:altName w:val="Cambria"/>
    <w:panose1 w:val="00000000000000000000"/>
    <w:charset w:val="00"/>
    <w:family w:val="swiss"/>
    <w:notTrueType/>
    <w:pitch w:val="variable"/>
    <w:sig w:usb0="800002AF" w:usb1="5000204A" w:usb2="00000000" w:usb3="00000000" w:csb0="00000005"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dobe Caslon Pro">
    <w:altName w:val="Times New Roman"/>
    <w:panose1 w:val="00000000000000000000"/>
    <w:charset w:val="00"/>
    <w:family w:val="roman"/>
    <w:notTrueType/>
    <w:pitch w:val="variable"/>
    <w:sig w:usb0="00000001"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Perpetua">
    <w:altName w:val="Baskerville Old Fac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1A3" w:rsidRDefault="00E911A3" w:rsidP="00536B05">
      <w:r>
        <w:separator/>
      </w:r>
    </w:p>
  </w:footnote>
  <w:footnote w:type="continuationSeparator" w:id="0">
    <w:p w:rsidR="00E911A3" w:rsidRDefault="00E911A3" w:rsidP="00536B05">
      <w:r>
        <w:continuationSeparator/>
      </w:r>
    </w:p>
  </w:footnote>
  <w:footnote w:id="1">
    <w:p w:rsidR="009B2364" w:rsidRPr="00B611F0" w:rsidRDefault="009B2364" w:rsidP="00EE7BE5">
      <w:pPr>
        <w:pStyle w:val="PQ"/>
      </w:pPr>
      <w:r w:rsidRPr="00B611F0">
        <w:rPr>
          <w:rStyle w:val="FootnoteReference"/>
          <w:vertAlign w:val="baseline"/>
        </w:rPr>
        <w:footnoteRef/>
      </w:r>
      <w:r w:rsidR="001D533C">
        <w:t>.</w:t>
      </w:r>
      <w:r w:rsidR="001D533C">
        <w:tab/>
      </w:r>
      <w:r w:rsidR="00EE7BE5" w:rsidRPr="00B611F0">
        <w:t xml:space="preserve">Treas. Reg. </w:t>
      </w:r>
      <w:r w:rsidR="00EE7BE5" w:rsidRPr="007B0BC4">
        <w:t>§</w:t>
      </w:r>
      <w:r w:rsidR="00EE7BE5" w:rsidRPr="00B611F0">
        <w:t>1.1411-3(b</w:t>
      </w:r>
      <w:proofErr w:type="gramStart"/>
      <w:r w:rsidR="00EE7BE5" w:rsidRPr="00B611F0">
        <w:t>)(</w:t>
      </w:r>
      <w:proofErr w:type="gramEnd"/>
      <w:r w:rsidR="00391C21">
        <w:t>1</w:t>
      </w:r>
      <w:r w:rsidR="00EE7BE5" w:rsidRPr="00B611F0">
        <w:t>)</w:t>
      </w:r>
      <w:r w:rsidR="00391C21">
        <w:t>(ii)</w:t>
      </w:r>
      <w:r w:rsidR="00EE7BE5" w:rsidRPr="00B611F0">
        <w:t>.</w:t>
      </w:r>
    </w:p>
  </w:footnote>
  <w:footnote w:id="2">
    <w:p w:rsidR="009B2364" w:rsidRPr="00B611F0" w:rsidRDefault="009B2364" w:rsidP="00EE7BE5">
      <w:pPr>
        <w:pStyle w:val="PQ"/>
      </w:pPr>
      <w:r w:rsidRPr="00B611F0">
        <w:rPr>
          <w:rStyle w:val="FootnoteReference"/>
          <w:vertAlign w:val="baseline"/>
        </w:rPr>
        <w:footnoteRef/>
      </w:r>
      <w:r w:rsidR="001D533C">
        <w:t>.</w:t>
      </w:r>
      <w:r w:rsidR="001D533C">
        <w:tab/>
      </w:r>
      <w:r w:rsidR="00EE7BE5" w:rsidRPr="00B611F0">
        <w:t xml:space="preserve">Treas. Reg. </w:t>
      </w:r>
      <w:r w:rsidR="00EE7BE5" w:rsidRPr="007B0BC4">
        <w:t>§</w:t>
      </w:r>
      <w:r w:rsidR="00EE7BE5" w:rsidRPr="00B611F0">
        <w:t>1.1411-3(b</w:t>
      </w:r>
      <w:proofErr w:type="gramStart"/>
      <w:r w:rsidR="00EE7BE5" w:rsidRPr="00B611F0">
        <w:t>)(</w:t>
      </w:r>
      <w:proofErr w:type="gramEnd"/>
      <w:r w:rsidR="00391C21">
        <w:t>1)(iii)</w:t>
      </w:r>
      <w:r w:rsidR="00EE7BE5" w:rsidRPr="00B611F0">
        <w:t>.</w:t>
      </w:r>
    </w:p>
  </w:footnote>
  <w:footnote w:id="3">
    <w:p w:rsidR="009B2364" w:rsidRPr="00B611F0" w:rsidRDefault="009B2364" w:rsidP="00EE7BE5">
      <w:pPr>
        <w:pStyle w:val="PQ"/>
      </w:pPr>
      <w:r w:rsidRPr="00B611F0">
        <w:rPr>
          <w:rStyle w:val="FootnoteReference"/>
          <w:vertAlign w:val="baseline"/>
        </w:rPr>
        <w:footnoteRef/>
      </w:r>
      <w:r w:rsidR="001D533C">
        <w:t>.</w:t>
      </w:r>
      <w:r w:rsidR="001D533C">
        <w:tab/>
      </w:r>
      <w:r w:rsidR="00EE7BE5" w:rsidRPr="00B611F0">
        <w:t xml:space="preserve">Treas. Reg. </w:t>
      </w:r>
      <w:r w:rsidR="00EE7BE5" w:rsidRPr="007B0BC4">
        <w:t>§</w:t>
      </w:r>
      <w:r w:rsidR="00EE7BE5" w:rsidRPr="00B611F0">
        <w:t>1.1411-3(b</w:t>
      </w:r>
      <w:proofErr w:type="gramStart"/>
      <w:r w:rsidR="00EE7BE5" w:rsidRPr="00B611F0">
        <w:t>)(</w:t>
      </w:r>
      <w:proofErr w:type="gramEnd"/>
      <w:r w:rsidR="00391C21">
        <w:t>1)(iv)</w:t>
      </w:r>
      <w:r w:rsidR="00EE7BE5" w:rsidRPr="00B611F0">
        <w:t>.</w:t>
      </w:r>
    </w:p>
  </w:footnote>
  <w:footnote w:id="4">
    <w:p w:rsidR="009B2364" w:rsidRPr="00B611F0" w:rsidRDefault="009B2364" w:rsidP="00EE7BE5">
      <w:pPr>
        <w:pStyle w:val="PQ"/>
      </w:pPr>
      <w:r w:rsidRPr="00B611F0">
        <w:rPr>
          <w:rStyle w:val="FootnoteReference"/>
          <w:vertAlign w:val="baseline"/>
        </w:rPr>
        <w:footnoteRef/>
      </w:r>
      <w:r w:rsidR="001D533C">
        <w:t>.</w:t>
      </w:r>
      <w:r w:rsidR="001D533C">
        <w:tab/>
      </w:r>
      <w:r w:rsidR="00EE7BE5" w:rsidRPr="00B611F0">
        <w:t xml:space="preserve">Treas. Reg. </w:t>
      </w:r>
      <w:r w:rsidR="00EE7BE5" w:rsidRPr="007B0BC4">
        <w:t>§</w:t>
      </w:r>
      <w:r w:rsidR="00EE7BE5" w:rsidRPr="00B611F0">
        <w:t>1.1411-3(b</w:t>
      </w:r>
      <w:proofErr w:type="gramStart"/>
      <w:r w:rsidR="00EE7BE5" w:rsidRPr="00B611F0">
        <w:t>)(</w:t>
      </w:r>
      <w:proofErr w:type="gramEnd"/>
      <w:r w:rsidR="00EE7BE5" w:rsidRPr="00B611F0">
        <w:t>1), IRC Sec. 170(c)(2)(B).</w:t>
      </w:r>
    </w:p>
  </w:footnote>
  <w:footnote w:id="5">
    <w:p w:rsidR="009B2364" w:rsidRPr="00B611F0" w:rsidRDefault="009B2364" w:rsidP="00EE7BE5">
      <w:pPr>
        <w:pStyle w:val="PQ"/>
      </w:pPr>
      <w:r w:rsidRPr="00B611F0">
        <w:rPr>
          <w:rStyle w:val="FootnoteReference"/>
          <w:vertAlign w:val="baseline"/>
        </w:rPr>
        <w:footnoteRef/>
      </w:r>
      <w:r w:rsidR="001D533C">
        <w:t>.</w:t>
      </w:r>
      <w:r w:rsidR="001D533C">
        <w:tab/>
      </w:r>
      <w:r w:rsidR="00EE7BE5" w:rsidRPr="00B611F0">
        <w:t xml:space="preserve">Treas. Reg. </w:t>
      </w:r>
      <w:r w:rsidR="00EE7BE5" w:rsidRPr="007B0BC4">
        <w:t>§</w:t>
      </w:r>
      <w:r w:rsidR="00EE7BE5" w:rsidRPr="00B611F0">
        <w:t>1.1411-3(b</w:t>
      </w:r>
      <w:proofErr w:type="gramStart"/>
      <w:r w:rsidR="00EE7BE5" w:rsidRPr="00B611F0">
        <w:t>)(</w:t>
      </w:r>
      <w:proofErr w:type="gramEnd"/>
      <w:r w:rsidR="00391C21">
        <w:t>1</w:t>
      </w:r>
      <w:r w:rsidR="00EE7BE5" w:rsidRPr="00B611F0">
        <w:t>)</w:t>
      </w:r>
      <w:r w:rsidR="00391C21">
        <w:t>(v)</w:t>
      </w:r>
      <w:r w:rsidR="00EE7BE5" w:rsidRPr="00B611F0">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C3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
    <w:nsid w:val="08E560D1"/>
    <w:multiLevelType w:val="hybridMultilevel"/>
    <w:tmpl w:val="07C45336"/>
    <w:lvl w:ilvl="0" w:tplc="1988D886">
      <w:start w:val="1"/>
      <w:numFmt w:val="bullet"/>
      <w:pStyle w:val="PCB"/>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A70D24"/>
    <w:multiLevelType w:val="hybridMultilevel"/>
    <w:tmpl w:val="13FE58CE"/>
    <w:lvl w:ilvl="0" w:tplc="5ADE4D7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EBB42CE"/>
    <w:multiLevelType w:val="hybridMultilevel"/>
    <w:tmpl w:val="BF06F940"/>
    <w:lvl w:ilvl="0" w:tplc="60ECB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13ADF"/>
    <w:multiLevelType w:val="hybridMultilevel"/>
    <w:tmpl w:val="F96AFDE4"/>
    <w:lvl w:ilvl="0" w:tplc="86F841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E879F5"/>
    <w:multiLevelType w:val="hybridMultilevel"/>
    <w:tmpl w:val="20A83684"/>
    <w:lvl w:ilvl="0" w:tplc="AA0AB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0E0CC4"/>
    <w:multiLevelType w:val="hybridMultilevel"/>
    <w:tmpl w:val="B5FE802C"/>
    <w:lvl w:ilvl="0" w:tplc="1D1875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810A8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8">
    <w:nsid w:val="347F1D3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9">
    <w:nsid w:val="3BC110BE"/>
    <w:multiLevelType w:val="hybridMultilevel"/>
    <w:tmpl w:val="9AE02338"/>
    <w:lvl w:ilvl="0" w:tplc="A9B40AD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
    <w:nsid w:val="40F95693"/>
    <w:multiLevelType w:val="hybridMultilevel"/>
    <w:tmpl w:val="20A83684"/>
    <w:lvl w:ilvl="0" w:tplc="AA0AB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C8E329A"/>
    <w:multiLevelType w:val="hybridMultilevel"/>
    <w:tmpl w:val="5A1A228C"/>
    <w:lvl w:ilvl="0" w:tplc="CA14D9A4">
      <w:start w:val="1"/>
      <w:numFmt w:val="bullet"/>
      <w:pStyle w:val="PHB"/>
      <w:lvlText w:val=""/>
      <w:lvlJc w:val="left"/>
      <w:pPr>
        <w:ind w:left="360" w:hanging="360"/>
      </w:pPr>
      <w:rPr>
        <w:rFonts w:ascii="Symbol" w:hAnsi="Symbol" w:hint="default"/>
      </w:rPr>
    </w:lvl>
    <w:lvl w:ilvl="1" w:tplc="2E62DCB0">
      <w:start w:val="1"/>
      <w:numFmt w:val="bullet"/>
      <w:lvlText w:val=""/>
      <w:lvlJc w:val="left"/>
      <w:pPr>
        <w:ind w:left="72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2084466"/>
    <w:multiLevelType w:val="hybridMultilevel"/>
    <w:tmpl w:val="20E2C94C"/>
    <w:lvl w:ilvl="0" w:tplc="1C4AC2D0">
      <w:start w:val="5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1B2CBE"/>
    <w:multiLevelType w:val="singleLevel"/>
    <w:tmpl w:val="0409000F"/>
    <w:lvl w:ilvl="0">
      <w:start w:val="1"/>
      <w:numFmt w:val="decimal"/>
      <w:lvlText w:val="%1."/>
      <w:lvlJc w:val="left"/>
      <w:pPr>
        <w:tabs>
          <w:tab w:val="num" w:pos="360"/>
        </w:tabs>
        <w:ind w:left="360" w:hanging="360"/>
      </w:pPr>
    </w:lvl>
  </w:abstractNum>
  <w:abstractNum w:abstractNumId="14">
    <w:nsid w:val="597F1EEF"/>
    <w:multiLevelType w:val="hybridMultilevel"/>
    <w:tmpl w:val="AE080146"/>
    <w:lvl w:ilvl="0" w:tplc="D37254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E472C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6">
    <w:nsid w:val="6B5C6868"/>
    <w:multiLevelType w:val="hybridMultilevel"/>
    <w:tmpl w:val="6290BC30"/>
    <w:lvl w:ilvl="0" w:tplc="04DE2670">
      <w:start w:val="1"/>
      <w:numFmt w:val="bullet"/>
      <w:pStyle w:val="PFB"/>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5592209"/>
    <w:multiLevelType w:val="hybridMultilevel"/>
    <w:tmpl w:val="601CAE42"/>
    <w:lvl w:ilvl="0" w:tplc="E9261C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D35E3C"/>
    <w:multiLevelType w:val="hybridMultilevel"/>
    <w:tmpl w:val="053C091E"/>
    <w:lvl w:ilvl="0" w:tplc="7BC6D7B6">
      <w:start w:val="1"/>
      <w:numFmt w:val="bullet"/>
      <w:pStyle w:val="PCA"/>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EAD774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12"/>
  </w:num>
  <w:num w:numId="2">
    <w:abstractNumId w:val="17"/>
  </w:num>
  <w:num w:numId="3">
    <w:abstractNumId w:val="6"/>
  </w:num>
  <w:num w:numId="4">
    <w:abstractNumId w:val="9"/>
  </w:num>
  <w:num w:numId="5">
    <w:abstractNumId w:val="14"/>
  </w:num>
  <w:num w:numId="6">
    <w:abstractNumId w:val="3"/>
  </w:num>
  <w:num w:numId="7">
    <w:abstractNumId w:val="15"/>
  </w:num>
  <w:num w:numId="8">
    <w:abstractNumId w:val="0"/>
  </w:num>
  <w:num w:numId="9">
    <w:abstractNumId w:val="8"/>
  </w:num>
  <w:num w:numId="10">
    <w:abstractNumId w:val="19"/>
  </w:num>
  <w:num w:numId="11">
    <w:abstractNumId w:val="7"/>
  </w:num>
  <w:num w:numId="12">
    <w:abstractNumId w:val="13"/>
  </w:num>
  <w:num w:numId="13">
    <w:abstractNumId w:val="1"/>
  </w:num>
  <w:num w:numId="14">
    <w:abstractNumId w:val="2"/>
  </w:num>
  <w:num w:numId="15">
    <w:abstractNumId w:val="16"/>
  </w:num>
  <w:num w:numId="16">
    <w:abstractNumId w:val="18"/>
  </w:num>
  <w:num w:numId="17">
    <w:abstractNumId w:val="11"/>
  </w:num>
  <w:num w:numId="18">
    <w:abstractNumId w:val="10"/>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ocumentProtection w:edit="trackedChanges" w:enforcement="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0ED"/>
    <w:rsid w:val="0000794F"/>
    <w:rsid w:val="00025E46"/>
    <w:rsid w:val="0003025A"/>
    <w:rsid w:val="00060618"/>
    <w:rsid w:val="00065361"/>
    <w:rsid w:val="00094E50"/>
    <w:rsid w:val="000A37F8"/>
    <w:rsid w:val="000C1C63"/>
    <w:rsid w:val="000D179D"/>
    <w:rsid w:val="000D7E02"/>
    <w:rsid w:val="0010234C"/>
    <w:rsid w:val="00114A17"/>
    <w:rsid w:val="00114F7E"/>
    <w:rsid w:val="0011643A"/>
    <w:rsid w:val="00133EA9"/>
    <w:rsid w:val="00154BAD"/>
    <w:rsid w:val="001637C7"/>
    <w:rsid w:val="00166A3D"/>
    <w:rsid w:val="001A5CC6"/>
    <w:rsid w:val="001C2D8B"/>
    <w:rsid w:val="001D533C"/>
    <w:rsid w:val="001E59F3"/>
    <w:rsid w:val="001F52F4"/>
    <w:rsid w:val="0022496D"/>
    <w:rsid w:val="00236EBA"/>
    <w:rsid w:val="002462E3"/>
    <w:rsid w:val="00257104"/>
    <w:rsid w:val="00267E98"/>
    <w:rsid w:val="00271A21"/>
    <w:rsid w:val="00282D04"/>
    <w:rsid w:val="0028552C"/>
    <w:rsid w:val="00296983"/>
    <w:rsid w:val="002B3FE0"/>
    <w:rsid w:val="002B408E"/>
    <w:rsid w:val="002C7FE6"/>
    <w:rsid w:val="00307615"/>
    <w:rsid w:val="003136E3"/>
    <w:rsid w:val="00317415"/>
    <w:rsid w:val="00365BC3"/>
    <w:rsid w:val="00391C21"/>
    <w:rsid w:val="00397406"/>
    <w:rsid w:val="003F5AA4"/>
    <w:rsid w:val="00424FBB"/>
    <w:rsid w:val="00437CBE"/>
    <w:rsid w:val="00447B5E"/>
    <w:rsid w:val="00455D1D"/>
    <w:rsid w:val="004A4C0D"/>
    <w:rsid w:val="004A7339"/>
    <w:rsid w:val="004B1350"/>
    <w:rsid w:val="004E2C99"/>
    <w:rsid w:val="004F1F2A"/>
    <w:rsid w:val="004F6C3F"/>
    <w:rsid w:val="00516BDA"/>
    <w:rsid w:val="00520DAA"/>
    <w:rsid w:val="00535792"/>
    <w:rsid w:val="00535F62"/>
    <w:rsid w:val="00536354"/>
    <w:rsid w:val="005368E4"/>
    <w:rsid w:val="00536B05"/>
    <w:rsid w:val="0055218C"/>
    <w:rsid w:val="0055609B"/>
    <w:rsid w:val="00567050"/>
    <w:rsid w:val="0059765D"/>
    <w:rsid w:val="005A7E98"/>
    <w:rsid w:val="005C50ED"/>
    <w:rsid w:val="005F747A"/>
    <w:rsid w:val="005F7C9B"/>
    <w:rsid w:val="006175E7"/>
    <w:rsid w:val="00623E77"/>
    <w:rsid w:val="006559D3"/>
    <w:rsid w:val="006656BE"/>
    <w:rsid w:val="006A2941"/>
    <w:rsid w:val="006B29BA"/>
    <w:rsid w:val="006D200D"/>
    <w:rsid w:val="006F4200"/>
    <w:rsid w:val="006F4885"/>
    <w:rsid w:val="00746177"/>
    <w:rsid w:val="00777AF6"/>
    <w:rsid w:val="007948D7"/>
    <w:rsid w:val="007B0BC4"/>
    <w:rsid w:val="007B1C09"/>
    <w:rsid w:val="007C1E0C"/>
    <w:rsid w:val="007C6582"/>
    <w:rsid w:val="007D73C8"/>
    <w:rsid w:val="007D7788"/>
    <w:rsid w:val="007F000B"/>
    <w:rsid w:val="00841793"/>
    <w:rsid w:val="00853ACB"/>
    <w:rsid w:val="00856358"/>
    <w:rsid w:val="00881C77"/>
    <w:rsid w:val="008B16D5"/>
    <w:rsid w:val="008B183A"/>
    <w:rsid w:val="008C4E8E"/>
    <w:rsid w:val="00917D5C"/>
    <w:rsid w:val="0093676A"/>
    <w:rsid w:val="00954C6B"/>
    <w:rsid w:val="00994A42"/>
    <w:rsid w:val="009B2364"/>
    <w:rsid w:val="00A003F7"/>
    <w:rsid w:val="00A02913"/>
    <w:rsid w:val="00A02AF1"/>
    <w:rsid w:val="00A06D94"/>
    <w:rsid w:val="00A153DC"/>
    <w:rsid w:val="00A22ABD"/>
    <w:rsid w:val="00A43D8E"/>
    <w:rsid w:val="00A56136"/>
    <w:rsid w:val="00A804B9"/>
    <w:rsid w:val="00A922D5"/>
    <w:rsid w:val="00AE3720"/>
    <w:rsid w:val="00B46779"/>
    <w:rsid w:val="00B611F0"/>
    <w:rsid w:val="00B61C17"/>
    <w:rsid w:val="00B952C4"/>
    <w:rsid w:val="00BA5395"/>
    <w:rsid w:val="00BB58C6"/>
    <w:rsid w:val="00BE5482"/>
    <w:rsid w:val="00BF6833"/>
    <w:rsid w:val="00C00ED3"/>
    <w:rsid w:val="00C107DC"/>
    <w:rsid w:val="00C44384"/>
    <w:rsid w:val="00C7171A"/>
    <w:rsid w:val="00C917AD"/>
    <w:rsid w:val="00C92C5D"/>
    <w:rsid w:val="00C945AB"/>
    <w:rsid w:val="00CB5DE6"/>
    <w:rsid w:val="00D0255A"/>
    <w:rsid w:val="00D279A1"/>
    <w:rsid w:val="00D34A75"/>
    <w:rsid w:val="00D47C88"/>
    <w:rsid w:val="00D63101"/>
    <w:rsid w:val="00D655FB"/>
    <w:rsid w:val="00D81626"/>
    <w:rsid w:val="00D97308"/>
    <w:rsid w:val="00DD2422"/>
    <w:rsid w:val="00DF18F4"/>
    <w:rsid w:val="00E019D6"/>
    <w:rsid w:val="00E604DB"/>
    <w:rsid w:val="00E64400"/>
    <w:rsid w:val="00E75DB1"/>
    <w:rsid w:val="00E8050C"/>
    <w:rsid w:val="00E911A3"/>
    <w:rsid w:val="00E94F6A"/>
    <w:rsid w:val="00EA088C"/>
    <w:rsid w:val="00EE7BE5"/>
    <w:rsid w:val="00EF384A"/>
    <w:rsid w:val="00F43D0A"/>
    <w:rsid w:val="00F5790C"/>
    <w:rsid w:val="00F97395"/>
    <w:rsid w:val="00FE1161"/>
  </w:rsids>
  <m:mathPr>
    <m:mathFont m:val="Cambria Math"/>
    <m:brkBin m:val="before"/>
    <m:brkBinSub m:val="--"/>
    <m:smallFrac m:val="0"/>
    <m:dispDef/>
    <m:lMargin m:val="0"/>
    <m:rMargin m:val="0"/>
    <m:defJc m:val="centerGroup"/>
    <m:wrapIndent m:val="1440"/>
    <m:intLim m:val="subSup"/>
    <m:naryLim m:val="undOvr"/>
  </m:mathPr>
  <w:attachedSchema w:val="http://schemas.microsoft.com/office/mac/office/2008/main"/>
  <w:attachedSchema w:val="urn:schemas-microsoft-com:mac:vml"/>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qFormat/>
    <w:rsid w:val="00B61C17"/>
    <w:rPr>
      <w:rFonts w:ascii="Perpetua Std" w:hAnsi="Perpetua Std"/>
    </w:rPr>
  </w:style>
  <w:style w:type="paragraph" w:styleId="Heading1">
    <w:name w:val="heading 1"/>
    <w:basedOn w:val="Normal"/>
    <w:next w:val="Normal"/>
    <w:link w:val="Heading1Char"/>
    <w:qFormat/>
    <w:rsid w:val="00B61C17"/>
    <w:pPr>
      <w:keepNext/>
      <w:outlineLvl w:val="0"/>
    </w:pPr>
    <w:rPr>
      <w:b/>
    </w:rPr>
  </w:style>
  <w:style w:type="paragraph" w:styleId="Heading2">
    <w:name w:val="heading 2"/>
    <w:basedOn w:val="Normal"/>
    <w:next w:val="Normal"/>
    <w:link w:val="Heading2Char"/>
    <w:qFormat/>
    <w:rsid w:val="00B61C17"/>
    <w:pPr>
      <w:keepNext/>
      <w:spacing w:before="240" w:after="60"/>
      <w:outlineLvl w:val="1"/>
    </w:pPr>
    <w:rPr>
      <w:rFonts w:ascii="Arial" w:hAnsi="Arial"/>
      <w:b/>
      <w:i/>
      <w:sz w:val="24"/>
    </w:rPr>
  </w:style>
  <w:style w:type="paragraph" w:styleId="Heading3">
    <w:name w:val="heading 3"/>
    <w:basedOn w:val="Normal"/>
    <w:next w:val="Normal"/>
    <w:link w:val="Heading3Char"/>
    <w:qFormat/>
    <w:rsid w:val="00B61C17"/>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B16D5"/>
    <w:rPr>
      <w:rFonts w:ascii="Perpetua Std" w:hAnsi="Perpetua Std"/>
      <w:b/>
    </w:rPr>
  </w:style>
  <w:style w:type="character" w:customStyle="1" w:styleId="Heading2Char">
    <w:name w:val="Heading 2 Char"/>
    <w:link w:val="Heading2"/>
    <w:rsid w:val="008B16D5"/>
    <w:rPr>
      <w:rFonts w:ascii="Arial" w:hAnsi="Arial"/>
      <w:b/>
      <w:i/>
      <w:sz w:val="24"/>
    </w:rPr>
  </w:style>
  <w:style w:type="character" w:customStyle="1" w:styleId="Heading3Char">
    <w:name w:val="Heading 3 Char"/>
    <w:link w:val="Heading3"/>
    <w:rsid w:val="008B16D5"/>
    <w:rPr>
      <w:rFonts w:ascii="Arial" w:hAnsi="Arial"/>
      <w:sz w:val="24"/>
    </w:rPr>
  </w:style>
  <w:style w:type="paragraph" w:styleId="ListParagraph">
    <w:name w:val="List Paragraph"/>
    <w:basedOn w:val="Normal"/>
    <w:qFormat/>
    <w:rsid w:val="008B16D5"/>
    <w:pPr>
      <w:ind w:left="720"/>
      <w:contextualSpacing/>
    </w:pPr>
  </w:style>
  <w:style w:type="paragraph" w:styleId="TOCHeading">
    <w:name w:val="TOC Heading"/>
    <w:basedOn w:val="Heading1"/>
    <w:next w:val="Normal"/>
    <w:qFormat/>
    <w:rsid w:val="008B16D5"/>
    <w:pPr>
      <w:outlineLvl w:val="9"/>
    </w:pPr>
  </w:style>
  <w:style w:type="paragraph" w:customStyle="1" w:styleId="QU">
    <w:name w:val="QU"/>
    <w:rsid w:val="00B61C17"/>
    <w:pPr>
      <w:spacing w:after="240"/>
      <w:jc w:val="both"/>
    </w:pPr>
    <w:rPr>
      <w:rFonts w:ascii="Helvetica LT Std" w:hAnsi="Helvetica LT Std"/>
      <w:b/>
      <w:color w:val="000000"/>
      <w:sz w:val="26"/>
    </w:rPr>
  </w:style>
  <w:style w:type="paragraph" w:styleId="FootnoteText">
    <w:name w:val="footnote text"/>
    <w:basedOn w:val="Normal"/>
    <w:link w:val="FootnoteTextChar"/>
    <w:rsid w:val="00536B05"/>
  </w:style>
  <w:style w:type="character" w:customStyle="1" w:styleId="FootnoteTextChar">
    <w:name w:val="Footnote Text Char"/>
    <w:link w:val="FootnoteText"/>
    <w:rsid w:val="00536B05"/>
    <w:rPr>
      <w:sz w:val="20"/>
      <w:szCs w:val="20"/>
    </w:rPr>
  </w:style>
  <w:style w:type="character" w:styleId="FootnoteReference">
    <w:name w:val="footnote reference"/>
    <w:rsid w:val="00B61C17"/>
    <w:rPr>
      <w:vertAlign w:val="superscript"/>
    </w:rPr>
  </w:style>
  <w:style w:type="paragraph" w:customStyle="1" w:styleId="PA">
    <w:name w:val="PA"/>
    <w:next w:val="Normal"/>
    <w:link w:val="PAChar"/>
    <w:rsid w:val="00B61C17"/>
    <w:pPr>
      <w:spacing w:after="240"/>
      <w:ind w:firstLine="288"/>
      <w:jc w:val="both"/>
    </w:pPr>
    <w:rPr>
      <w:rFonts w:ascii="Perpetua Std" w:hAnsi="Perpetua Std"/>
      <w:color w:val="000000"/>
      <w:sz w:val="24"/>
    </w:rPr>
  </w:style>
  <w:style w:type="character" w:customStyle="1" w:styleId="PAChar">
    <w:name w:val="PA Char"/>
    <w:link w:val="PA"/>
    <w:rsid w:val="00B61C17"/>
    <w:rPr>
      <w:rFonts w:ascii="Perpetua Std" w:hAnsi="Perpetua Std"/>
      <w:color w:val="000000"/>
      <w:sz w:val="24"/>
    </w:rPr>
  </w:style>
  <w:style w:type="character" w:styleId="Hyperlink">
    <w:name w:val="Hyperlink"/>
    <w:rsid w:val="00A804B9"/>
    <w:rPr>
      <w:color w:val="0000FF"/>
      <w:u w:val="single"/>
    </w:rPr>
  </w:style>
  <w:style w:type="paragraph" w:styleId="BalloonText">
    <w:name w:val="Balloon Text"/>
    <w:basedOn w:val="Normal"/>
    <w:link w:val="BalloonTextChar"/>
    <w:rsid w:val="00B611F0"/>
    <w:rPr>
      <w:rFonts w:ascii="Tahoma" w:hAnsi="Tahoma" w:cs="Tahoma"/>
      <w:sz w:val="16"/>
      <w:szCs w:val="16"/>
    </w:rPr>
  </w:style>
  <w:style w:type="character" w:customStyle="1" w:styleId="BalloonTextChar">
    <w:name w:val="Balloon Text Char"/>
    <w:link w:val="BalloonText"/>
    <w:rsid w:val="00B611F0"/>
    <w:rPr>
      <w:rFonts w:ascii="Tahoma" w:hAnsi="Tahoma" w:cs="Tahoma"/>
      <w:sz w:val="16"/>
      <w:szCs w:val="16"/>
    </w:rPr>
  </w:style>
  <w:style w:type="paragraph" w:styleId="Footer">
    <w:name w:val="footer"/>
    <w:basedOn w:val="Normal"/>
    <w:link w:val="FooterChar"/>
    <w:rsid w:val="00B61C17"/>
    <w:pPr>
      <w:tabs>
        <w:tab w:val="center" w:pos="4320"/>
        <w:tab w:val="right" w:pos="8640"/>
      </w:tabs>
    </w:pPr>
  </w:style>
  <w:style w:type="character" w:customStyle="1" w:styleId="FooterChar">
    <w:name w:val="Footer Char"/>
    <w:link w:val="Footer"/>
    <w:rsid w:val="00B611F0"/>
    <w:rPr>
      <w:rFonts w:ascii="Perpetua Std" w:hAnsi="Perpetua Std"/>
    </w:rPr>
  </w:style>
  <w:style w:type="paragraph" w:styleId="Header">
    <w:name w:val="header"/>
    <w:basedOn w:val="Normal"/>
    <w:link w:val="HeaderChar"/>
    <w:rsid w:val="00B61C17"/>
    <w:pPr>
      <w:tabs>
        <w:tab w:val="center" w:pos="4320"/>
        <w:tab w:val="right" w:pos="8640"/>
      </w:tabs>
    </w:pPr>
  </w:style>
  <w:style w:type="character" w:customStyle="1" w:styleId="HeaderChar">
    <w:name w:val="Header Char"/>
    <w:link w:val="Header"/>
    <w:rsid w:val="00B611F0"/>
    <w:rPr>
      <w:rFonts w:ascii="Perpetua Std" w:hAnsi="Perpetua Std"/>
    </w:rPr>
  </w:style>
  <w:style w:type="paragraph" w:customStyle="1" w:styleId="Standard">
    <w:name w:val="Standard"/>
    <w:rsid w:val="00B61C17"/>
    <w:pPr>
      <w:spacing w:before="144"/>
      <w:jc w:val="both"/>
    </w:pPr>
    <w:rPr>
      <w:noProof/>
    </w:rPr>
  </w:style>
  <w:style w:type="paragraph" w:customStyle="1" w:styleId="PB">
    <w:name w:val="PB"/>
    <w:rsid w:val="00B61C17"/>
    <w:pPr>
      <w:spacing w:after="240"/>
      <w:jc w:val="both"/>
    </w:pPr>
    <w:rPr>
      <w:rFonts w:ascii="Perpetua Std" w:hAnsi="Perpetua Std"/>
      <w:color w:val="000000"/>
      <w:sz w:val="24"/>
    </w:rPr>
  </w:style>
  <w:style w:type="paragraph" w:customStyle="1" w:styleId="PC">
    <w:name w:val="PC"/>
    <w:rsid w:val="00B61C17"/>
    <w:pPr>
      <w:tabs>
        <w:tab w:val="left" w:pos="720"/>
      </w:tabs>
      <w:spacing w:after="240"/>
      <w:ind w:left="720" w:hanging="360"/>
      <w:jc w:val="both"/>
    </w:pPr>
    <w:rPr>
      <w:rFonts w:ascii="Perpetua Std" w:hAnsi="Perpetua Std"/>
      <w:color w:val="000000"/>
      <w:sz w:val="24"/>
    </w:rPr>
  </w:style>
  <w:style w:type="paragraph" w:customStyle="1" w:styleId="PD">
    <w:name w:val="PD"/>
    <w:rsid w:val="00B61C17"/>
    <w:pPr>
      <w:spacing w:after="240"/>
      <w:ind w:left="720" w:firstLine="288"/>
      <w:jc w:val="both"/>
    </w:pPr>
    <w:rPr>
      <w:rFonts w:ascii="Perpetua Std" w:hAnsi="Perpetua Std"/>
      <w:color w:val="000000"/>
      <w:sz w:val="24"/>
    </w:rPr>
  </w:style>
  <w:style w:type="paragraph" w:customStyle="1" w:styleId="PE">
    <w:name w:val="PE"/>
    <w:rsid w:val="00B61C17"/>
    <w:pPr>
      <w:spacing w:after="240"/>
      <w:ind w:left="720"/>
      <w:jc w:val="both"/>
    </w:pPr>
    <w:rPr>
      <w:rFonts w:ascii="Perpetua Std" w:hAnsi="Perpetua Std"/>
      <w:color w:val="000000"/>
      <w:sz w:val="24"/>
    </w:rPr>
  </w:style>
  <w:style w:type="paragraph" w:customStyle="1" w:styleId="PF">
    <w:name w:val="PF"/>
    <w:rsid w:val="00B61C17"/>
    <w:pPr>
      <w:tabs>
        <w:tab w:val="left" w:pos="1080"/>
      </w:tabs>
      <w:spacing w:after="240"/>
      <w:ind w:left="1080" w:hanging="360"/>
      <w:jc w:val="both"/>
    </w:pPr>
    <w:rPr>
      <w:rFonts w:ascii="Perpetua Std" w:hAnsi="Perpetua Std"/>
      <w:color w:val="000000"/>
      <w:sz w:val="24"/>
    </w:rPr>
  </w:style>
  <w:style w:type="paragraph" w:customStyle="1" w:styleId="PG">
    <w:name w:val="PG"/>
    <w:rsid w:val="00B61C17"/>
    <w:pPr>
      <w:spacing w:after="240"/>
      <w:ind w:left="360"/>
      <w:jc w:val="both"/>
    </w:pPr>
    <w:rPr>
      <w:rFonts w:ascii="Perpetua Std" w:hAnsi="Perpetua Std"/>
      <w:color w:val="000000"/>
      <w:sz w:val="24"/>
    </w:rPr>
  </w:style>
  <w:style w:type="paragraph" w:customStyle="1" w:styleId="PH">
    <w:name w:val="PH"/>
    <w:rsid w:val="00B61C17"/>
    <w:pPr>
      <w:tabs>
        <w:tab w:val="left" w:pos="360"/>
      </w:tabs>
      <w:spacing w:after="240"/>
      <w:ind w:left="360" w:hanging="360"/>
      <w:jc w:val="both"/>
    </w:pPr>
    <w:rPr>
      <w:rFonts w:ascii="Perpetua Std" w:hAnsi="Perpetua Std"/>
      <w:color w:val="000000"/>
      <w:sz w:val="24"/>
    </w:rPr>
  </w:style>
  <w:style w:type="paragraph" w:customStyle="1" w:styleId="PI">
    <w:name w:val="PI"/>
    <w:rsid w:val="00B61C17"/>
    <w:pPr>
      <w:spacing w:after="240"/>
      <w:ind w:left="360" w:hanging="360"/>
      <w:jc w:val="both"/>
    </w:pPr>
    <w:rPr>
      <w:rFonts w:ascii="Perpetua Std" w:hAnsi="Perpetua Std"/>
      <w:color w:val="000000"/>
      <w:sz w:val="24"/>
    </w:rPr>
  </w:style>
  <w:style w:type="paragraph" w:customStyle="1" w:styleId="PK">
    <w:name w:val="PK"/>
    <w:rsid w:val="00B61C17"/>
    <w:pPr>
      <w:spacing w:after="240"/>
      <w:ind w:left="360" w:firstLine="288"/>
      <w:jc w:val="both"/>
    </w:pPr>
    <w:rPr>
      <w:rFonts w:ascii="Perpetua Std" w:hAnsi="Perpetua Std"/>
      <w:color w:val="000000"/>
      <w:sz w:val="24"/>
    </w:rPr>
  </w:style>
  <w:style w:type="paragraph" w:customStyle="1" w:styleId="PL">
    <w:name w:val="PL"/>
    <w:rsid w:val="00B61C17"/>
    <w:pPr>
      <w:overflowPunct w:val="0"/>
      <w:autoSpaceDE w:val="0"/>
      <w:autoSpaceDN w:val="0"/>
      <w:adjustRightInd w:val="0"/>
      <w:spacing w:after="240"/>
      <w:jc w:val="right"/>
      <w:textAlignment w:val="baseline"/>
    </w:pPr>
    <w:rPr>
      <w:rFonts w:ascii="Minion Pro" w:hAnsi="Minion Pro"/>
      <w:sz w:val="16"/>
    </w:rPr>
  </w:style>
  <w:style w:type="paragraph" w:customStyle="1" w:styleId="PX">
    <w:name w:val="PX"/>
    <w:rsid w:val="00B61C17"/>
    <w:pPr>
      <w:spacing w:after="240"/>
      <w:ind w:left="432" w:right="432" w:firstLine="432"/>
      <w:jc w:val="both"/>
    </w:pPr>
    <w:rPr>
      <w:rFonts w:ascii="Minion Pro" w:hAnsi="Minion Pro"/>
    </w:rPr>
  </w:style>
  <w:style w:type="paragraph" w:customStyle="1" w:styleId="TOC">
    <w:name w:val="TOC"/>
    <w:autoRedefine/>
    <w:rsid w:val="00B61C17"/>
    <w:pPr>
      <w:tabs>
        <w:tab w:val="left" w:pos="720"/>
        <w:tab w:val="left" w:pos="1440"/>
        <w:tab w:val="right" w:leader="dot" w:pos="8640"/>
      </w:tabs>
      <w:ind w:left="720" w:hanging="720"/>
    </w:pPr>
    <w:rPr>
      <w:rFonts w:ascii="Perpetua Std" w:eastAsia="MS Mincho" w:hAnsi="Perpetua Std"/>
      <w:color w:val="000000"/>
      <w:sz w:val="24"/>
    </w:rPr>
  </w:style>
  <w:style w:type="paragraph" w:customStyle="1" w:styleId="Index">
    <w:name w:val="Index"/>
    <w:basedOn w:val="TOC"/>
    <w:link w:val="IndexChar"/>
    <w:autoRedefine/>
    <w:rsid w:val="00B61C17"/>
    <w:pPr>
      <w:tabs>
        <w:tab w:val="clear" w:pos="1440"/>
        <w:tab w:val="clear" w:pos="8640"/>
        <w:tab w:val="left" w:pos="240"/>
        <w:tab w:val="left" w:pos="480"/>
        <w:tab w:val="right" w:leader="dot" w:pos="4680"/>
      </w:tabs>
      <w:ind w:left="0" w:firstLine="0"/>
    </w:pPr>
    <w:rPr>
      <w:sz w:val="22"/>
    </w:rPr>
  </w:style>
  <w:style w:type="paragraph" w:customStyle="1" w:styleId="PQ">
    <w:name w:val="PQ"/>
    <w:link w:val="PQChar"/>
    <w:rsid w:val="00B61C17"/>
    <w:pPr>
      <w:tabs>
        <w:tab w:val="left" w:pos="360"/>
      </w:tabs>
      <w:spacing w:after="120"/>
      <w:ind w:left="360" w:hanging="360"/>
      <w:jc w:val="both"/>
    </w:pPr>
    <w:rPr>
      <w:rFonts w:ascii="Adobe Caslon Pro" w:hAnsi="Adobe Caslon Pro"/>
      <w:color w:val="000000"/>
      <w:sz w:val="14"/>
    </w:rPr>
  </w:style>
  <w:style w:type="character" w:customStyle="1" w:styleId="PQChar">
    <w:name w:val="PQ Char"/>
    <w:link w:val="PQ"/>
    <w:rsid w:val="00B61C17"/>
    <w:rPr>
      <w:rFonts w:ascii="Adobe Caslon Pro" w:hAnsi="Adobe Caslon Pro"/>
      <w:color w:val="000000"/>
      <w:sz w:val="14"/>
    </w:rPr>
  </w:style>
  <w:style w:type="paragraph" w:customStyle="1" w:styleId="HD">
    <w:name w:val="HD"/>
    <w:rsid w:val="00B61C17"/>
    <w:pPr>
      <w:suppressAutoHyphens/>
      <w:spacing w:before="120"/>
      <w:jc w:val="center"/>
    </w:pPr>
    <w:rPr>
      <w:rFonts w:ascii="Helvetica LT Std" w:hAnsi="Helvetica LT Std"/>
      <w:sz w:val="26"/>
      <w:szCs w:val="18"/>
    </w:rPr>
  </w:style>
  <w:style w:type="paragraph" w:customStyle="1" w:styleId="PP">
    <w:name w:val="PP"/>
    <w:rsid w:val="00B61C17"/>
    <w:pPr>
      <w:pBdr>
        <w:top w:val="single" w:sz="4" w:space="1" w:color="auto"/>
        <w:bottom w:val="single" w:sz="4" w:space="1" w:color="auto"/>
      </w:pBdr>
      <w:spacing w:after="240"/>
      <w:jc w:val="both"/>
    </w:pPr>
    <w:rPr>
      <w:rFonts w:ascii="Helvetica LT Std" w:hAnsi="Helvetica LT Std"/>
      <w:color w:val="000000"/>
      <w:sz w:val="22"/>
    </w:rPr>
  </w:style>
  <w:style w:type="paragraph" w:customStyle="1" w:styleId="HE">
    <w:name w:val="HE"/>
    <w:rsid w:val="00B61C17"/>
    <w:pPr>
      <w:spacing w:before="120" w:after="120"/>
      <w:jc w:val="center"/>
    </w:pPr>
    <w:rPr>
      <w:rFonts w:ascii="Helvetica LT Std" w:hAnsi="Helvetica LT Std"/>
      <w:sz w:val="24"/>
    </w:rPr>
  </w:style>
  <w:style w:type="paragraph" w:customStyle="1" w:styleId="PN">
    <w:name w:val="PN"/>
    <w:rsid w:val="00B61C17"/>
    <w:pPr>
      <w:spacing w:after="240"/>
      <w:ind w:left="720" w:firstLine="288"/>
      <w:jc w:val="both"/>
    </w:pPr>
    <w:rPr>
      <w:rFonts w:ascii="Perpetua Std" w:eastAsia="MS Mincho" w:hAnsi="Perpetua Std"/>
      <w:color w:val="000000"/>
    </w:rPr>
  </w:style>
  <w:style w:type="table" w:styleId="TableGrid">
    <w:name w:val="Table Grid"/>
    <w:basedOn w:val="TableNormal"/>
    <w:rsid w:val="00B61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
    <w:name w:val="HA"/>
    <w:autoRedefine/>
    <w:rsid w:val="00B61C17"/>
    <w:pPr>
      <w:spacing w:after="240"/>
      <w:jc w:val="center"/>
    </w:pPr>
    <w:rPr>
      <w:rFonts w:ascii="Helvetica LT Std" w:hAnsi="Helvetica LT Std"/>
      <w:b/>
      <w:caps/>
      <w:color w:val="000000"/>
      <w:sz w:val="36"/>
      <w:szCs w:val="32"/>
    </w:rPr>
  </w:style>
  <w:style w:type="paragraph" w:customStyle="1" w:styleId="HB">
    <w:name w:val="HB"/>
    <w:rsid w:val="00B61C17"/>
    <w:pPr>
      <w:spacing w:before="120" w:after="240"/>
      <w:jc w:val="center"/>
    </w:pPr>
    <w:rPr>
      <w:rFonts w:ascii="Helvetica LT Std" w:hAnsi="Helvetica LT Std"/>
      <w:b/>
      <w:color w:val="5F5F5F"/>
      <w:w w:val="105"/>
      <w:sz w:val="32"/>
    </w:rPr>
  </w:style>
  <w:style w:type="paragraph" w:customStyle="1" w:styleId="HC">
    <w:name w:val="HC"/>
    <w:autoRedefine/>
    <w:rsid w:val="00B61C17"/>
    <w:pPr>
      <w:tabs>
        <w:tab w:val="left" w:pos="284"/>
      </w:tabs>
      <w:spacing w:before="120" w:after="120"/>
      <w:jc w:val="center"/>
    </w:pPr>
    <w:rPr>
      <w:rFonts w:ascii="Helvetica LT Std" w:hAnsi="Helvetica LT Std"/>
      <w:b/>
      <w:color w:val="000000"/>
      <w:w w:val="110"/>
      <w:sz w:val="26"/>
    </w:rPr>
  </w:style>
  <w:style w:type="paragraph" w:customStyle="1" w:styleId="PR">
    <w:name w:val="PR"/>
    <w:rsid w:val="00B61C17"/>
    <w:pPr>
      <w:spacing w:after="240"/>
      <w:ind w:left="360" w:firstLine="288"/>
      <w:jc w:val="both"/>
    </w:pPr>
    <w:rPr>
      <w:rFonts w:ascii="Adobe Caslon Pro" w:hAnsi="Adobe Caslon Pro"/>
      <w:color w:val="000000"/>
      <w:sz w:val="14"/>
    </w:rPr>
  </w:style>
  <w:style w:type="paragraph" w:customStyle="1" w:styleId="PO">
    <w:name w:val="PO"/>
    <w:rsid w:val="00B61C17"/>
    <w:pPr>
      <w:spacing w:after="240"/>
      <w:jc w:val="both"/>
    </w:pPr>
    <w:rPr>
      <w:rFonts w:ascii="Perpetua Std" w:hAnsi="Perpetua Std"/>
      <w:color w:val="000000"/>
      <w:w w:val="95"/>
      <w:szCs w:val="16"/>
    </w:rPr>
  </w:style>
  <w:style w:type="paragraph" w:customStyle="1" w:styleId="GUIDEX">
    <w:name w:val="GUIDEX"/>
    <w:rsid w:val="00B61C17"/>
    <w:pPr>
      <w:tabs>
        <w:tab w:val="left" w:leader="dot" w:pos="4565"/>
        <w:tab w:val="center" w:pos="5760"/>
        <w:tab w:val="center" w:pos="7200"/>
        <w:tab w:val="center" w:pos="8640"/>
      </w:tabs>
    </w:pPr>
    <w:rPr>
      <w:rFonts w:ascii="Helvetica LT Std" w:hAnsi="Helvetica LT Std"/>
      <w:bCs/>
      <w:color w:val="000000"/>
    </w:rPr>
  </w:style>
  <w:style w:type="paragraph" w:customStyle="1" w:styleId="Index2">
    <w:name w:val="Index2"/>
    <w:basedOn w:val="Index"/>
    <w:autoRedefine/>
    <w:rsid w:val="00B61C17"/>
    <w:pPr>
      <w:tabs>
        <w:tab w:val="clear" w:pos="240"/>
        <w:tab w:val="clear" w:pos="480"/>
        <w:tab w:val="clear" w:pos="720"/>
        <w:tab w:val="right" w:pos="4680"/>
      </w:tabs>
    </w:pPr>
  </w:style>
  <w:style w:type="paragraph" w:customStyle="1" w:styleId="PCB">
    <w:name w:val="PCB"/>
    <w:autoRedefine/>
    <w:rsid w:val="00B61C17"/>
    <w:pPr>
      <w:numPr>
        <w:numId w:val="13"/>
      </w:numPr>
      <w:tabs>
        <w:tab w:val="left" w:pos="720"/>
      </w:tabs>
      <w:spacing w:after="240"/>
      <w:ind w:left="720"/>
      <w:jc w:val="both"/>
    </w:pPr>
    <w:rPr>
      <w:rFonts w:ascii="Perpetua Std" w:hAnsi="Perpetua Std"/>
      <w:color w:val="000000"/>
      <w:sz w:val="24"/>
    </w:rPr>
  </w:style>
  <w:style w:type="paragraph" w:customStyle="1" w:styleId="PFB">
    <w:name w:val="PFB"/>
    <w:autoRedefine/>
    <w:rsid w:val="00B61C17"/>
    <w:pPr>
      <w:numPr>
        <w:numId w:val="15"/>
      </w:numPr>
      <w:tabs>
        <w:tab w:val="left" w:pos="1080"/>
      </w:tabs>
      <w:spacing w:after="240"/>
      <w:ind w:left="1080"/>
      <w:jc w:val="both"/>
    </w:pPr>
    <w:rPr>
      <w:rFonts w:ascii="Perpetua Std" w:eastAsia="Calibri" w:hAnsi="Perpetua Std"/>
      <w:sz w:val="24"/>
      <w:szCs w:val="22"/>
    </w:rPr>
  </w:style>
  <w:style w:type="paragraph" w:customStyle="1" w:styleId="PerpetuaStd">
    <w:name w:val="Perpetua Std"/>
    <w:aliases w:val="10 pt"/>
    <w:next w:val="NoSpacing"/>
    <w:autoRedefine/>
    <w:rsid w:val="00B61C17"/>
    <w:rPr>
      <w:rFonts w:ascii="Perpetua Std" w:hAnsi="Perpetua Std"/>
    </w:rPr>
  </w:style>
  <w:style w:type="paragraph" w:styleId="NoSpacing">
    <w:name w:val="No Spacing"/>
    <w:qFormat/>
    <w:rsid w:val="00B61C17"/>
    <w:rPr>
      <w:rFonts w:ascii="Perpetua" w:hAnsi="Perpetua"/>
    </w:rPr>
  </w:style>
  <w:style w:type="paragraph" w:customStyle="1" w:styleId="PCA">
    <w:name w:val="PCA"/>
    <w:rsid w:val="00B61C17"/>
    <w:pPr>
      <w:numPr>
        <w:numId w:val="16"/>
      </w:numPr>
      <w:tabs>
        <w:tab w:val="left" w:pos="720"/>
      </w:tabs>
      <w:spacing w:after="240"/>
      <w:jc w:val="both"/>
    </w:pPr>
    <w:rPr>
      <w:rFonts w:ascii="Perpetua Std" w:hAnsi="Perpetua Std"/>
      <w:sz w:val="24"/>
    </w:rPr>
  </w:style>
  <w:style w:type="paragraph" w:customStyle="1" w:styleId="PHB">
    <w:name w:val="PHB"/>
    <w:rsid w:val="00B61C17"/>
    <w:pPr>
      <w:numPr>
        <w:numId w:val="17"/>
      </w:numPr>
      <w:tabs>
        <w:tab w:val="left" w:pos="360"/>
      </w:tabs>
      <w:spacing w:after="240"/>
      <w:jc w:val="both"/>
    </w:pPr>
    <w:rPr>
      <w:rFonts w:ascii="Perpetua Std" w:hAnsi="Perpetua Std"/>
      <w:sz w:val="24"/>
    </w:rPr>
  </w:style>
  <w:style w:type="character" w:customStyle="1" w:styleId="IndexChar">
    <w:name w:val="Index Char"/>
    <w:link w:val="Index"/>
    <w:rsid w:val="00B61C17"/>
    <w:rPr>
      <w:rFonts w:ascii="Perpetua Std" w:eastAsia="MS Mincho" w:hAnsi="Perpetua Std"/>
      <w:color w:val="000000"/>
      <w:sz w:val="22"/>
    </w:rPr>
  </w:style>
  <w:style w:type="character" w:styleId="EndnoteReference">
    <w:name w:val="endnote reference"/>
    <w:rsid w:val="00C4438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qFormat/>
    <w:rsid w:val="00B61C17"/>
    <w:rPr>
      <w:rFonts w:ascii="Perpetua Std" w:hAnsi="Perpetua Std"/>
    </w:rPr>
  </w:style>
  <w:style w:type="paragraph" w:styleId="Heading1">
    <w:name w:val="heading 1"/>
    <w:basedOn w:val="Normal"/>
    <w:next w:val="Normal"/>
    <w:link w:val="Heading1Char"/>
    <w:qFormat/>
    <w:rsid w:val="00B61C17"/>
    <w:pPr>
      <w:keepNext/>
      <w:outlineLvl w:val="0"/>
    </w:pPr>
    <w:rPr>
      <w:b/>
    </w:rPr>
  </w:style>
  <w:style w:type="paragraph" w:styleId="Heading2">
    <w:name w:val="heading 2"/>
    <w:basedOn w:val="Normal"/>
    <w:next w:val="Normal"/>
    <w:link w:val="Heading2Char"/>
    <w:qFormat/>
    <w:rsid w:val="00B61C17"/>
    <w:pPr>
      <w:keepNext/>
      <w:spacing w:before="240" w:after="60"/>
      <w:outlineLvl w:val="1"/>
    </w:pPr>
    <w:rPr>
      <w:rFonts w:ascii="Arial" w:hAnsi="Arial"/>
      <w:b/>
      <w:i/>
      <w:sz w:val="24"/>
    </w:rPr>
  </w:style>
  <w:style w:type="paragraph" w:styleId="Heading3">
    <w:name w:val="heading 3"/>
    <w:basedOn w:val="Normal"/>
    <w:next w:val="Normal"/>
    <w:link w:val="Heading3Char"/>
    <w:qFormat/>
    <w:rsid w:val="00B61C17"/>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B16D5"/>
    <w:rPr>
      <w:rFonts w:ascii="Perpetua Std" w:hAnsi="Perpetua Std"/>
      <w:b/>
    </w:rPr>
  </w:style>
  <w:style w:type="character" w:customStyle="1" w:styleId="Heading2Char">
    <w:name w:val="Heading 2 Char"/>
    <w:link w:val="Heading2"/>
    <w:rsid w:val="008B16D5"/>
    <w:rPr>
      <w:rFonts w:ascii="Arial" w:hAnsi="Arial"/>
      <w:b/>
      <w:i/>
      <w:sz w:val="24"/>
    </w:rPr>
  </w:style>
  <w:style w:type="character" w:customStyle="1" w:styleId="Heading3Char">
    <w:name w:val="Heading 3 Char"/>
    <w:link w:val="Heading3"/>
    <w:rsid w:val="008B16D5"/>
    <w:rPr>
      <w:rFonts w:ascii="Arial" w:hAnsi="Arial"/>
      <w:sz w:val="24"/>
    </w:rPr>
  </w:style>
  <w:style w:type="paragraph" w:styleId="ListParagraph">
    <w:name w:val="List Paragraph"/>
    <w:basedOn w:val="Normal"/>
    <w:qFormat/>
    <w:rsid w:val="008B16D5"/>
    <w:pPr>
      <w:ind w:left="720"/>
      <w:contextualSpacing/>
    </w:pPr>
  </w:style>
  <w:style w:type="paragraph" w:styleId="TOCHeading">
    <w:name w:val="TOC Heading"/>
    <w:basedOn w:val="Heading1"/>
    <w:next w:val="Normal"/>
    <w:qFormat/>
    <w:rsid w:val="008B16D5"/>
    <w:pPr>
      <w:outlineLvl w:val="9"/>
    </w:pPr>
  </w:style>
  <w:style w:type="paragraph" w:customStyle="1" w:styleId="QU">
    <w:name w:val="QU"/>
    <w:rsid w:val="00B61C17"/>
    <w:pPr>
      <w:spacing w:after="240"/>
      <w:jc w:val="both"/>
    </w:pPr>
    <w:rPr>
      <w:rFonts w:ascii="Helvetica LT Std" w:hAnsi="Helvetica LT Std"/>
      <w:b/>
      <w:color w:val="000000"/>
      <w:sz w:val="26"/>
    </w:rPr>
  </w:style>
  <w:style w:type="paragraph" w:styleId="FootnoteText">
    <w:name w:val="footnote text"/>
    <w:basedOn w:val="Normal"/>
    <w:link w:val="FootnoteTextChar"/>
    <w:rsid w:val="00536B05"/>
  </w:style>
  <w:style w:type="character" w:customStyle="1" w:styleId="FootnoteTextChar">
    <w:name w:val="Footnote Text Char"/>
    <w:link w:val="FootnoteText"/>
    <w:rsid w:val="00536B05"/>
    <w:rPr>
      <w:sz w:val="20"/>
      <w:szCs w:val="20"/>
    </w:rPr>
  </w:style>
  <w:style w:type="character" w:styleId="FootnoteReference">
    <w:name w:val="footnote reference"/>
    <w:rsid w:val="00B61C17"/>
    <w:rPr>
      <w:vertAlign w:val="superscript"/>
    </w:rPr>
  </w:style>
  <w:style w:type="paragraph" w:customStyle="1" w:styleId="PA">
    <w:name w:val="PA"/>
    <w:next w:val="Normal"/>
    <w:link w:val="PAChar"/>
    <w:rsid w:val="00B61C17"/>
    <w:pPr>
      <w:spacing w:after="240"/>
      <w:ind w:firstLine="288"/>
      <w:jc w:val="both"/>
    </w:pPr>
    <w:rPr>
      <w:rFonts w:ascii="Perpetua Std" w:hAnsi="Perpetua Std"/>
      <w:color w:val="000000"/>
      <w:sz w:val="24"/>
    </w:rPr>
  </w:style>
  <w:style w:type="character" w:customStyle="1" w:styleId="PAChar">
    <w:name w:val="PA Char"/>
    <w:link w:val="PA"/>
    <w:rsid w:val="00B61C17"/>
    <w:rPr>
      <w:rFonts w:ascii="Perpetua Std" w:hAnsi="Perpetua Std"/>
      <w:color w:val="000000"/>
      <w:sz w:val="24"/>
    </w:rPr>
  </w:style>
  <w:style w:type="character" w:styleId="Hyperlink">
    <w:name w:val="Hyperlink"/>
    <w:rsid w:val="00A804B9"/>
    <w:rPr>
      <w:color w:val="0000FF"/>
      <w:u w:val="single"/>
    </w:rPr>
  </w:style>
  <w:style w:type="paragraph" w:styleId="BalloonText">
    <w:name w:val="Balloon Text"/>
    <w:basedOn w:val="Normal"/>
    <w:link w:val="BalloonTextChar"/>
    <w:rsid w:val="00B611F0"/>
    <w:rPr>
      <w:rFonts w:ascii="Tahoma" w:hAnsi="Tahoma" w:cs="Tahoma"/>
      <w:sz w:val="16"/>
      <w:szCs w:val="16"/>
    </w:rPr>
  </w:style>
  <w:style w:type="character" w:customStyle="1" w:styleId="BalloonTextChar">
    <w:name w:val="Balloon Text Char"/>
    <w:link w:val="BalloonText"/>
    <w:rsid w:val="00B611F0"/>
    <w:rPr>
      <w:rFonts w:ascii="Tahoma" w:hAnsi="Tahoma" w:cs="Tahoma"/>
      <w:sz w:val="16"/>
      <w:szCs w:val="16"/>
    </w:rPr>
  </w:style>
  <w:style w:type="paragraph" w:styleId="Footer">
    <w:name w:val="footer"/>
    <w:basedOn w:val="Normal"/>
    <w:link w:val="FooterChar"/>
    <w:rsid w:val="00B61C17"/>
    <w:pPr>
      <w:tabs>
        <w:tab w:val="center" w:pos="4320"/>
        <w:tab w:val="right" w:pos="8640"/>
      </w:tabs>
    </w:pPr>
  </w:style>
  <w:style w:type="character" w:customStyle="1" w:styleId="FooterChar">
    <w:name w:val="Footer Char"/>
    <w:link w:val="Footer"/>
    <w:rsid w:val="00B611F0"/>
    <w:rPr>
      <w:rFonts w:ascii="Perpetua Std" w:hAnsi="Perpetua Std"/>
    </w:rPr>
  </w:style>
  <w:style w:type="paragraph" w:styleId="Header">
    <w:name w:val="header"/>
    <w:basedOn w:val="Normal"/>
    <w:link w:val="HeaderChar"/>
    <w:rsid w:val="00B61C17"/>
    <w:pPr>
      <w:tabs>
        <w:tab w:val="center" w:pos="4320"/>
        <w:tab w:val="right" w:pos="8640"/>
      </w:tabs>
    </w:pPr>
  </w:style>
  <w:style w:type="character" w:customStyle="1" w:styleId="HeaderChar">
    <w:name w:val="Header Char"/>
    <w:link w:val="Header"/>
    <w:rsid w:val="00B611F0"/>
    <w:rPr>
      <w:rFonts w:ascii="Perpetua Std" w:hAnsi="Perpetua Std"/>
    </w:rPr>
  </w:style>
  <w:style w:type="paragraph" w:customStyle="1" w:styleId="Standard">
    <w:name w:val="Standard"/>
    <w:rsid w:val="00B61C17"/>
    <w:pPr>
      <w:spacing w:before="144"/>
      <w:jc w:val="both"/>
    </w:pPr>
    <w:rPr>
      <w:noProof/>
    </w:rPr>
  </w:style>
  <w:style w:type="paragraph" w:customStyle="1" w:styleId="PB">
    <w:name w:val="PB"/>
    <w:rsid w:val="00B61C17"/>
    <w:pPr>
      <w:spacing w:after="240"/>
      <w:jc w:val="both"/>
    </w:pPr>
    <w:rPr>
      <w:rFonts w:ascii="Perpetua Std" w:hAnsi="Perpetua Std"/>
      <w:color w:val="000000"/>
      <w:sz w:val="24"/>
    </w:rPr>
  </w:style>
  <w:style w:type="paragraph" w:customStyle="1" w:styleId="PC">
    <w:name w:val="PC"/>
    <w:rsid w:val="00B61C17"/>
    <w:pPr>
      <w:tabs>
        <w:tab w:val="left" w:pos="720"/>
      </w:tabs>
      <w:spacing w:after="240"/>
      <w:ind w:left="720" w:hanging="360"/>
      <w:jc w:val="both"/>
    </w:pPr>
    <w:rPr>
      <w:rFonts w:ascii="Perpetua Std" w:hAnsi="Perpetua Std"/>
      <w:color w:val="000000"/>
      <w:sz w:val="24"/>
    </w:rPr>
  </w:style>
  <w:style w:type="paragraph" w:customStyle="1" w:styleId="PD">
    <w:name w:val="PD"/>
    <w:rsid w:val="00B61C17"/>
    <w:pPr>
      <w:spacing w:after="240"/>
      <w:ind w:left="720" w:firstLine="288"/>
      <w:jc w:val="both"/>
    </w:pPr>
    <w:rPr>
      <w:rFonts w:ascii="Perpetua Std" w:hAnsi="Perpetua Std"/>
      <w:color w:val="000000"/>
      <w:sz w:val="24"/>
    </w:rPr>
  </w:style>
  <w:style w:type="paragraph" w:customStyle="1" w:styleId="PE">
    <w:name w:val="PE"/>
    <w:rsid w:val="00B61C17"/>
    <w:pPr>
      <w:spacing w:after="240"/>
      <w:ind w:left="720"/>
      <w:jc w:val="both"/>
    </w:pPr>
    <w:rPr>
      <w:rFonts w:ascii="Perpetua Std" w:hAnsi="Perpetua Std"/>
      <w:color w:val="000000"/>
      <w:sz w:val="24"/>
    </w:rPr>
  </w:style>
  <w:style w:type="paragraph" w:customStyle="1" w:styleId="PF">
    <w:name w:val="PF"/>
    <w:rsid w:val="00B61C17"/>
    <w:pPr>
      <w:tabs>
        <w:tab w:val="left" w:pos="1080"/>
      </w:tabs>
      <w:spacing w:after="240"/>
      <w:ind w:left="1080" w:hanging="360"/>
      <w:jc w:val="both"/>
    </w:pPr>
    <w:rPr>
      <w:rFonts w:ascii="Perpetua Std" w:hAnsi="Perpetua Std"/>
      <w:color w:val="000000"/>
      <w:sz w:val="24"/>
    </w:rPr>
  </w:style>
  <w:style w:type="paragraph" w:customStyle="1" w:styleId="PG">
    <w:name w:val="PG"/>
    <w:rsid w:val="00B61C17"/>
    <w:pPr>
      <w:spacing w:after="240"/>
      <w:ind w:left="360"/>
      <w:jc w:val="both"/>
    </w:pPr>
    <w:rPr>
      <w:rFonts w:ascii="Perpetua Std" w:hAnsi="Perpetua Std"/>
      <w:color w:val="000000"/>
      <w:sz w:val="24"/>
    </w:rPr>
  </w:style>
  <w:style w:type="paragraph" w:customStyle="1" w:styleId="PH">
    <w:name w:val="PH"/>
    <w:rsid w:val="00B61C17"/>
    <w:pPr>
      <w:tabs>
        <w:tab w:val="left" w:pos="360"/>
      </w:tabs>
      <w:spacing w:after="240"/>
      <w:ind w:left="360" w:hanging="360"/>
      <w:jc w:val="both"/>
    </w:pPr>
    <w:rPr>
      <w:rFonts w:ascii="Perpetua Std" w:hAnsi="Perpetua Std"/>
      <w:color w:val="000000"/>
      <w:sz w:val="24"/>
    </w:rPr>
  </w:style>
  <w:style w:type="paragraph" w:customStyle="1" w:styleId="PI">
    <w:name w:val="PI"/>
    <w:rsid w:val="00B61C17"/>
    <w:pPr>
      <w:spacing w:after="240"/>
      <w:ind w:left="360" w:hanging="360"/>
      <w:jc w:val="both"/>
    </w:pPr>
    <w:rPr>
      <w:rFonts w:ascii="Perpetua Std" w:hAnsi="Perpetua Std"/>
      <w:color w:val="000000"/>
      <w:sz w:val="24"/>
    </w:rPr>
  </w:style>
  <w:style w:type="paragraph" w:customStyle="1" w:styleId="PK">
    <w:name w:val="PK"/>
    <w:rsid w:val="00B61C17"/>
    <w:pPr>
      <w:spacing w:after="240"/>
      <w:ind w:left="360" w:firstLine="288"/>
      <w:jc w:val="both"/>
    </w:pPr>
    <w:rPr>
      <w:rFonts w:ascii="Perpetua Std" w:hAnsi="Perpetua Std"/>
      <w:color w:val="000000"/>
      <w:sz w:val="24"/>
    </w:rPr>
  </w:style>
  <w:style w:type="paragraph" w:customStyle="1" w:styleId="PL">
    <w:name w:val="PL"/>
    <w:rsid w:val="00B61C17"/>
    <w:pPr>
      <w:overflowPunct w:val="0"/>
      <w:autoSpaceDE w:val="0"/>
      <w:autoSpaceDN w:val="0"/>
      <w:adjustRightInd w:val="0"/>
      <w:spacing w:after="240"/>
      <w:jc w:val="right"/>
      <w:textAlignment w:val="baseline"/>
    </w:pPr>
    <w:rPr>
      <w:rFonts w:ascii="Minion Pro" w:hAnsi="Minion Pro"/>
      <w:sz w:val="16"/>
    </w:rPr>
  </w:style>
  <w:style w:type="paragraph" w:customStyle="1" w:styleId="PX">
    <w:name w:val="PX"/>
    <w:rsid w:val="00B61C17"/>
    <w:pPr>
      <w:spacing w:after="240"/>
      <w:ind w:left="432" w:right="432" w:firstLine="432"/>
      <w:jc w:val="both"/>
    </w:pPr>
    <w:rPr>
      <w:rFonts w:ascii="Minion Pro" w:hAnsi="Minion Pro"/>
    </w:rPr>
  </w:style>
  <w:style w:type="paragraph" w:customStyle="1" w:styleId="TOC">
    <w:name w:val="TOC"/>
    <w:autoRedefine/>
    <w:rsid w:val="00B61C17"/>
    <w:pPr>
      <w:tabs>
        <w:tab w:val="left" w:pos="720"/>
        <w:tab w:val="left" w:pos="1440"/>
        <w:tab w:val="right" w:leader="dot" w:pos="8640"/>
      </w:tabs>
      <w:ind w:left="720" w:hanging="720"/>
    </w:pPr>
    <w:rPr>
      <w:rFonts w:ascii="Perpetua Std" w:eastAsia="MS Mincho" w:hAnsi="Perpetua Std"/>
      <w:color w:val="000000"/>
      <w:sz w:val="24"/>
    </w:rPr>
  </w:style>
  <w:style w:type="paragraph" w:customStyle="1" w:styleId="Index">
    <w:name w:val="Index"/>
    <w:basedOn w:val="TOC"/>
    <w:link w:val="IndexChar"/>
    <w:autoRedefine/>
    <w:rsid w:val="00B61C17"/>
    <w:pPr>
      <w:tabs>
        <w:tab w:val="clear" w:pos="1440"/>
        <w:tab w:val="clear" w:pos="8640"/>
        <w:tab w:val="left" w:pos="240"/>
        <w:tab w:val="left" w:pos="480"/>
        <w:tab w:val="right" w:leader="dot" w:pos="4680"/>
      </w:tabs>
      <w:ind w:left="0" w:firstLine="0"/>
    </w:pPr>
    <w:rPr>
      <w:sz w:val="22"/>
    </w:rPr>
  </w:style>
  <w:style w:type="paragraph" w:customStyle="1" w:styleId="PQ">
    <w:name w:val="PQ"/>
    <w:link w:val="PQChar"/>
    <w:rsid w:val="00B61C17"/>
    <w:pPr>
      <w:tabs>
        <w:tab w:val="left" w:pos="360"/>
      </w:tabs>
      <w:spacing w:after="120"/>
      <w:ind w:left="360" w:hanging="360"/>
      <w:jc w:val="both"/>
    </w:pPr>
    <w:rPr>
      <w:rFonts w:ascii="Adobe Caslon Pro" w:hAnsi="Adobe Caslon Pro"/>
      <w:color w:val="000000"/>
      <w:sz w:val="14"/>
    </w:rPr>
  </w:style>
  <w:style w:type="character" w:customStyle="1" w:styleId="PQChar">
    <w:name w:val="PQ Char"/>
    <w:link w:val="PQ"/>
    <w:rsid w:val="00B61C17"/>
    <w:rPr>
      <w:rFonts w:ascii="Adobe Caslon Pro" w:hAnsi="Adobe Caslon Pro"/>
      <w:color w:val="000000"/>
      <w:sz w:val="14"/>
    </w:rPr>
  </w:style>
  <w:style w:type="paragraph" w:customStyle="1" w:styleId="HD">
    <w:name w:val="HD"/>
    <w:rsid w:val="00B61C17"/>
    <w:pPr>
      <w:suppressAutoHyphens/>
      <w:spacing w:before="120"/>
      <w:jc w:val="center"/>
    </w:pPr>
    <w:rPr>
      <w:rFonts w:ascii="Helvetica LT Std" w:hAnsi="Helvetica LT Std"/>
      <w:sz w:val="26"/>
      <w:szCs w:val="18"/>
    </w:rPr>
  </w:style>
  <w:style w:type="paragraph" w:customStyle="1" w:styleId="PP">
    <w:name w:val="PP"/>
    <w:rsid w:val="00B61C17"/>
    <w:pPr>
      <w:pBdr>
        <w:top w:val="single" w:sz="4" w:space="1" w:color="auto"/>
        <w:bottom w:val="single" w:sz="4" w:space="1" w:color="auto"/>
      </w:pBdr>
      <w:spacing w:after="240"/>
      <w:jc w:val="both"/>
    </w:pPr>
    <w:rPr>
      <w:rFonts w:ascii="Helvetica LT Std" w:hAnsi="Helvetica LT Std"/>
      <w:color w:val="000000"/>
      <w:sz w:val="22"/>
    </w:rPr>
  </w:style>
  <w:style w:type="paragraph" w:customStyle="1" w:styleId="HE">
    <w:name w:val="HE"/>
    <w:rsid w:val="00B61C17"/>
    <w:pPr>
      <w:spacing w:before="120" w:after="120"/>
      <w:jc w:val="center"/>
    </w:pPr>
    <w:rPr>
      <w:rFonts w:ascii="Helvetica LT Std" w:hAnsi="Helvetica LT Std"/>
      <w:sz w:val="24"/>
    </w:rPr>
  </w:style>
  <w:style w:type="paragraph" w:customStyle="1" w:styleId="PN">
    <w:name w:val="PN"/>
    <w:rsid w:val="00B61C17"/>
    <w:pPr>
      <w:spacing w:after="240"/>
      <w:ind w:left="720" w:firstLine="288"/>
      <w:jc w:val="both"/>
    </w:pPr>
    <w:rPr>
      <w:rFonts w:ascii="Perpetua Std" w:eastAsia="MS Mincho" w:hAnsi="Perpetua Std"/>
      <w:color w:val="000000"/>
    </w:rPr>
  </w:style>
  <w:style w:type="table" w:styleId="TableGrid">
    <w:name w:val="Table Grid"/>
    <w:basedOn w:val="TableNormal"/>
    <w:rsid w:val="00B61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
    <w:name w:val="HA"/>
    <w:autoRedefine/>
    <w:rsid w:val="00B61C17"/>
    <w:pPr>
      <w:spacing w:after="240"/>
      <w:jc w:val="center"/>
    </w:pPr>
    <w:rPr>
      <w:rFonts w:ascii="Helvetica LT Std" w:hAnsi="Helvetica LT Std"/>
      <w:b/>
      <w:caps/>
      <w:color w:val="000000"/>
      <w:sz w:val="36"/>
      <w:szCs w:val="32"/>
    </w:rPr>
  </w:style>
  <w:style w:type="paragraph" w:customStyle="1" w:styleId="HB">
    <w:name w:val="HB"/>
    <w:rsid w:val="00B61C17"/>
    <w:pPr>
      <w:spacing w:before="120" w:after="240"/>
      <w:jc w:val="center"/>
    </w:pPr>
    <w:rPr>
      <w:rFonts w:ascii="Helvetica LT Std" w:hAnsi="Helvetica LT Std"/>
      <w:b/>
      <w:color w:val="5F5F5F"/>
      <w:w w:val="105"/>
      <w:sz w:val="32"/>
    </w:rPr>
  </w:style>
  <w:style w:type="paragraph" w:customStyle="1" w:styleId="HC">
    <w:name w:val="HC"/>
    <w:autoRedefine/>
    <w:rsid w:val="00B61C17"/>
    <w:pPr>
      <w:tabs>
        <w:tab w:val="left" w:pos="284"/>
      </w:tabs>
      <w:spacing w:before="120" w:after="120"/>
      <w:jc w:val="center"/>
    </w:pPr>
    <w:rPr>
      <w:rFonts w:ascii="Helvetica LT Std" w:hAnsi="Helvetica LT Std"/>
      <w:b/>
      <w:color w:val="000000"/>
      <w:w w:val="110"/>
      <w:sz w:val="26"/>
    </w:rPr>
  </w:style>
  <w:style w:type="paragraph" w:customStyle="1" w:styleId="PR">
    <w:name w:val="PR"/>
    <w:rsid w:val="00B61C17"/>
    <w:pPr>
      <w:spacing w:after="240"/>
      <w:ind w:left="360" w:firstLine="288"/>
      <w:jc w:val="both"/>
    </w:pPr>
    <w:rPr>
      <w:rFonts w:ascii="Adobe Caslon Pro" w:hAnsi="Adobe Caslon Pro"/>
      <w:color w:val="000000"/>
      <w:sz w:val="14"/>
    </w:rPr>
  </w:style>
  <w:style w:type="paragraph" w:customStyle="1" w:styleId="PO">
    <w:name w:val="PO"/>
    <w:rsid w:val="00B61C17"/>
    <w:pPr>
      <w:spacing w:after="240"/>
      <w:jc w:val="both"/>
    </w:pPr>
    <w:rPr>
      <w:rFonts w:ascii="Perpetua Std" w:hAnsi="Perpetua Std"/>
      <w:color w:val="000000"/>
      <w:w w:val="95"/>
      <w:szCs w:val="16"/>
    </w:rPr>
  </w:style>
  <w:style w:type="paragraph" w:customStyle="1" w:styleId="GUIDEX">
    <w:name w:val="GUIDEX"/>
    <w:rsid w:val="00B61C17"/>
    <w:pPr>
      <w:tabs>
        <w:tab w:val="left" w:leader="dot" w:pos="4565"/>
        <w:tab w:val="center" w:pos="5760"/>
        <w:tab w:val="center" w:pos="7200"/>
        <w:tab w:val="center" w:pos="8640"/>
      </w:tabs>
    </w:pPr>
    <w:rPr>
      <w:rFonts w:ascii="Helvetica LT Std" w:hAnsi="Helvetica LT Std"/>
      <w:bCs/>
      <w:color w:val="000000"/>
    </w:rPr>
  </w:style>
  <w:style w:type="paragraph" w:customStyle="1" w:styleId="Index2">
    <w:name w:val="Index2"/>
    <w:basedOn w:val="Index"/>
    <w:autoRedefine/>
    <w:rsid w:val="00B61C17"/>
    <w:pPr>
      <w:tabs>
        <w:tab w:val="clear" w:pos="240"/>
        <w:tab w:val="clear" w:pos="480"/>
        <w:tab w:val="clear" w:pos="720"/>
        <w:tab w:val="right" w:pos="4680"/>
      </w:tabs>
    </w:pPr>
  </w:style>
  <w:style w:type="paragraph" w:customStyle="1" w:styleId="PCB">
    <w:name w:val="PCB"/>
    <w:autoRedefine/>
    <w:rsid w:val="00B61C17"/>
    <w:pPr>
      <w:numPr>
        <w:numId w:val="13"/>
      </w:numPr>
      <w:tabs>
        <w:tab w:val="left" w:pos="720"/>
      </w:tabs>
      <w:spacing w:after="240"/>
      <w:ind w:left="720"/>
      <w:jc w:val="both"/>
    </w:pPr>
    <w:rPr>
      <w:rFonts w:ascii="Perpetua Std" w:hAnsi="Perpetua Std"/>
      <w:color w:val="000000"/>
      <w:sz w:val="24"/>
    </w:rPr>
  </w:style>
  <w:style w:type="paragraph" w:customStyle="1" w:styleId="PFB">
    <w:name w:val="PFB"/>
    <w:autoRedefine/>
    <w:rsid w:val="00B61C17"/>
    <w:pPr>
      <w:numPr>
        <w:numId w:val="15"/>
      </w:numPr>
      <w:tabs>
        <w:tab w:val="left" w:pos="1080"/>
      </w:tabs>
      <w:spacing w:after="240"/>
      <w:ind w:left="1080"/>
      <w:jc w:val="both"/>
    </w:pPr>
    <w:rPr>
      <w:rFonts w:ascii="Perpetua Std" w:eastAsia="Calibri" w:hAnsi="Perpetua Std"/>
      <w:sz w:val="24"/>
      <w:szCs w:val="22"/>
    </w:rPr>
  </w:style>
  <w:style w:type="paragraph" w:customStyle="1" w:styleId="PerpetuaStd">
    <w:name w:val="Perpetua Std"/>
    <w:aliases w:val="10 pt"/>
    <w:next w:val="NoSpacing"/>
    <w:autoRedefine/>
    <w:rsid w:val="00B61C17"/>
    <w:rPr>
      <w:rFonts w:ascii="Perpetua Std" w:hAnsi="Perpetua Std"/>
    </w:rPr>
  </w:style>
  <w:style w:type="paragraph" w:styleId="NoSpacing">
    <w:name w:val="No Spacing"/>
    <w:qFormat/>
    <w:rsid w:val="00B61C17"/>
    <w:rPr>
      <w:rFonts w:ascii="Perpetua" w:hAnsi="Perpetua"/>
    </w:rPr>
  </w:style>
  <w:style w:type="paragraph" w:customStyle="1" w:styleId="PCA">
    <w:name w:val="PCA"/>
    <w:rsid w:val="00B61C17"/>
    <w:pPr>
      <w:numPr>
        <w:numId w:val="16"/>
      </w:numPr>
      <w:tabs>
        <w:tab w:val="left" w:pos="720"/>
      </w:tabs>
      <w:spacing w:after="240"/>
      <w:jc w:val="both"/>
    </w:pPr>
    <w:rPr>
      <w:rFonts w:ascii="Perpetua Std" w:hAnsi="Perpetua Std"/>
      <w:sz w:val="24"/>
    </w:rPr>
  </w:style>
  <w:style w:type="paragraph" w:customStyle="1" w:styleId="PHB">
    <w:name w:val="PHB"/>
    <w:rsid w:val="00B61C17"/>
    <w:pPr>
      <w:numPr>
        <w:numId w:val="17"/>
      </w:numPr>
      <w:tabs>
        <w:tab w:val="left" w:pos="360"/>
      </w:tabs>
      <w:spacing w:after="240"/>
      <w:jc w:val="both"/>
    </w:pPr>
    <w:rPr>
      <w:rFonts w:ascii="Perpetua Std" w:hAnsi="Perpetua Std"/>
      <w:sz w:val="24"/>
    </w:rPr>
  </w:style>
  <w:style w:type="character" w:customStyle="1" w:styleId="IndexChar">
    <w:name w:val="Index Char"/>
    <w:link w:val="Index"/>
    <w:rsid w:val="00B61C17"/>
    <w:rPr>
      <w:rFonts w:ascii="Perpetua Std" w:eastAsia="MS Mincho" w:hAnsi="Perpetua Std"/>
      <w:color w:val="000000"/>
      <w:sz w:val="22"/>
    </w:rPr>
  </w:style>
  <w:style w:type="character" w:styleId="EndnoteReference">
    <w:name w:val="endnote reference"/>
    <w:rsid w:val="00C443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Tax%20Fac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8E70A-FB5B-47F5-9DBC-9E5D0871D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Tax Facts</Template>
  <TotalTime>1</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8562. When is an estate or trust subject to the investment income tax?</vt:lpstr>
    </vt:vector>
  </TitlesOfParts>
  <Company>Summit Business Media</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8562. When is an estate or trust subject to the investment income tax?</dc:title>
  <dc:creator>Alexis Long</dc:creator>
  <cp:lastModifiedBy>rcline</cp:lastModifiedBy>
  <cp:revision>2</cp:revision>
  <cp:lastPrinted>2014-06-15T13:30:00Z</cp:lastPrinted>
  <dcterms:created xsi:type="dcterms:W3CDTF">2014-07-08T20:20:00Z</dcterms:created>
  <dcterms:modified xsi:type="dcterms:W3CDTF">2014-07-08T20:20:00Z</dcterms:modified>
</cp:coreProperties>
</file>