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CD" w:rsidRPr="003B1DCD" w:rsidRDefault="00B1749F" w:rsidP="00B611F0">
      <w:pPr>
        <w:pStyle w:val="PA"/>
        <w:rPr>
          <w:b/>
        </w:rPr>
      </w:pPr>
      <w:r>
        <w:rPr>
          <w:b/>
        </w:rPr>
        <w:t>8568</w:t>
      </w:r>
      <w:r w:rsidR="003B1DCD" w:rsidRPr="003B1DCD">
        <w:rPr>
          <w:b/>
        </w:rPr>
        <w:t xml:space="preserve">. How does the investment income tax </w:t>
      </w:r>
      <w:r w:rsidR="00990D92">
        <w:rPr>
          <w:b/>
        </w:rPr>
        <w:t>effec</w:t>
      </w:r>
      <w:r w:rsidR="00D70705">
        <w:rPr>
          <w:b/>
        </w:rPr>
        <w:t>tively increase the tax rate for</w:t>
      </w:r>
      <w:r w:rsidR="00990D92">
        <w:rPr>
          <w:b/>
        </w:rPr>
        <w:t xml:space="preserve"> </w:t>
      </w:r>
      <w:r w:rsidR="003B1DCD" w:rsidRPr="003B1DCD">
        <w:rPr>
          <w:b/>
        </w:rPr>
        <w:t>capital gains and dividends?</w:t>
      </w:r>
    </w:p>
    <w:p w:rsidR="0003025A" w:rsidRDefault="0003025A" w:rsidP="00B611F0">
      <w:pPr>
        <w:pStyle w:val="PA"/>
        <w:rPr>
          <w:b/>
        </w:rPr>
      </w:pPr>
      <w:r>
        <w:t>The 3.8</w:t>
      </w:r>
      <w:r w:rsidR="000B2495">
        <w:t xml:space="preserve">% net </w:t>
      </w:r>
      <w:r>
        <w:t xml:space="preserve">investment income tax is </w:t>
      </w:r>
      <w:r w:rsidR="000B2495">
        <w:t>a surtax</w:t>
      </w:r>
      <w:r>
        <w:t xml:space="preserve">, which means it </w:t>
      </w:r>
      <w:r w:rsidR="00814A4B">
        <w:t xml:space="preserve">is imposed </w:t>
      </w:r>
      <w:r w:rsidR="000B2495">
        <w:t xml:space="preserve">independently </w:t>
      </w:r>
      <w:r w:rsidR="00990D92">
        <w:t xml:space="preserve">on </w:t>
      </w:r>
      <w:r w:rsidR="00814A4B">
        <w:t xml:space="preserve">net investment </w:t>
      </w:r>
      <w:r w:rsidR="00990D92">
        <w:t xml:space="preserve">income that is also subject to </w:t>
      </w:r>
      <w:r w:rsidR="00C73FBD">
        <w:t xml:space="preserve">any </w:t>
      </w:r>
      <w:r w:rsidR="00990D92">
        <w:t xml:space="preserve">other </w:t>
      </w:r>
      <w:r w:rsidR="00814A4B">
        <w:t xml:space="preserve">applicable income </w:t>
      </w:r>
      <w:r w:rsidR="00990D92">
        <w:t>tax rate</w:t>
      </w:r>
      <w:r w:rsidR="000B2495">
        <w:t xml:space="preserve">.  </w:t>
      </w:r>
      <w:r w:rsidR="00C73FBD">
        <w:t>To this point</w:t>
      </w:r>
      <w:r w:rsidR="000B2495">
        <w:t>, the capital gains and dividend tax rate for taxpayers in the 39.6% tax bracket is 20%.  However, if the taxpayer is also subject to the net investment i</w:t>
      </w:r>
      <w:r w:rsidR="00990D92">
        <w:t xml:space="preserve">ncome tax, there is an additional </w:t>
      </w:r>
      <w:r w:rsidR="000B2495">
        <w:t xml:space="preserve">3.8% </w:t>
      </w:r>
      <w:r w:rsidR="00990D92">
        <w:t xml:space="preserve">tax </w:t>
      </w:r>
      <w:r w:rsidR="00E74015">
        <w:t xml:space="preserve">imposed on </w:t>
      </w:r>
      <w:r w:rsidR="000B2495">
        <w:t xml:space="preserve">those same capital gains and dividends.  Thus, adding the two tax rates together, the </w:t>
      </w:r>
      <w:r w:rsidR="00990D92">
        <w:t xml:space="preserve">overall </w:t>
      </w:r>
      <w:r w:rsidR="000B2495">
        <w:t xml:space="preserve">effective tax rate </w:t>
      </w:r>
      <w:r w:rsidR="00990D92">
        <w:t xml:space="preserve">for capital gain and dividends </w:t>
      </w:r>
      <w:r w:rsidR="00C73FBD">
        <w:t xml:space="preserve">for those taxpayers </w:t>
      </w:r>
      <w:r w:rsidR="000B2495">
        <w:t>is 23.8% (20% plus 3.8%).</w:t>
      </w:r>
      <w:r w:rsidR="00A02913">
        <w:t xml:space="preserve"> </w:t>
      </w:r>
    </w:p>
    <w:p w:rsidR="00433E4A" w:rsidRPr="0034604E" w:rsidRDefault="000B2495" w:rsidP="003B1DCD">
      <w:pPr>
        <w:pStyle w:val="PA"/>
        <w:rPr>
          <w:rFonts w:ascii="Perpetua" w:eastAsia="MS Mincho" w:hAnsi="Perpetua"/>
          <w:b/>
          <w:szCs w:val="24"/>
        </w:rPr>
      </w:pPr>
      <w:r>
        <w:t xml:space="preserve">For taxpayers who are not in the 39.6% tax bracket, </w:t>
      </w:r>
      <w:r w:rsidR="0003025A">
        <w:t xml:space="preserve">the capital gains and dividend tax rate </w:t>
      </w:r>
      <w:r>
        <w:t xml:space="preserve">is only 15%.  However, it is possible that such taxpayers </w:t>
      </w:r>
      <w:r w:rsidR="0003025A">
        <w:t xml:space="preserve">with </w:t>
      </w:r>
      <w:r>
        <w:t xml:space="preserve">modified </w:t>
      </w:r>
      <w:r w:rsidR="0003025A">
        <w:t xml:space="preserve">adjusted gross income that exceeds the threshold levels for the </w:t>
      </w:r>
      <w:r w:rsidR="00814A4B">
        <w:t xml:space="preserve">net </w:t>
      </w:r>
      <w:r w:rsidR="0003025A">
        <w:t xml:space="preserve">investment income tax (see </w:t>
      </w:r>
      <w:r w:rsidR="00C945AB">
        <w:t>Q 85</w:t>
      </w:r>
      <w:r w:rsidR="00424FBB">
        <w:t>61</w:t>
      </w:r>
      <w:r w:rsidR="0003025A">
        <w:t>)</w:t>
      </w:r>
      <w:r>
        <w:t xml:space="preserve"> may also be subject to the net investment income tax.  Adding the 15% regular income tax capital gain and dividend rate to the 3.8% net investment income tax rate, the effective rate of such taxpayers would be 18.8% (15% plus 3.8%).</w:t>
      </w:r>
      <w:r w:rsidR="00433E4A" w:rsidRPr="0034604E">
        <w:rPr>
          <w:rFonts w:ascii="Perpetua" w:eastAsia="MS Mincho" w:hAnsi="Perpetua"/>
          <w:b/>
          <w:szCs w:val="24"/>
        </w:rPr>
        <w:t xml:space="preserve"> </w:t>
      </w:r>
    </w:p>
    <w:p w:rsidR="00A75F0C" w:rsidRPr="00A75F0C" w:rsidRDefault="00A75F0C" w:rsidP="00A75F0C">
      <w:pPr>
        <w:pStyle w:val="PA"/>
        <w:rPr>
          <w:b/>
        </w:rPr>
      </w:pPr>
      <w:r>
        <w:rPr>
          <w:b/>
        </w:rPr>
        <w:t>8570.02</w:t>
      </w:r>
      <w:r w:rsidRPr="00A75F0C">
        <w:rPr>
          <w:b/>
        </w:rPr>
        <w:t xml:space="preserve"> Can federal income tax credits be used to offset net investment income tax liability?</w:t>
      </w:r>
    </w:p>
    <w:p w:rsidR="00ED38D2" w:rsidRDefault="00E74015" w:rsidP="00A75F0C">
      <w:pPr>
        <w:pStyle w:val="PA"/>
      </w:pPr>
      <w:r>
        <w:t xml:space="preserve">Although Federal income tax credits set forth in Subtitle A of the IRC can offset any tax liability, the final regulations state that income tax credits </w:t>
      </w:r>
      <w:r w:rsidR="00B1749F">
        <w:t xml:space="preserve">are </w:t>
      </w:r>
      <w:r>
        <w:t>allowed only against regular income tax (Chapter 1 of Subtitle A)</w:t>
      </w:r>
      <w:r w:rsidR="00D70705">
        <w:t xml:space="preserve"> and</w:t>
      </w:r>
      <w:r>
        <w:t xml:space="preserve"> may not reduce net investment income tax.</w:t>
      </w:r>
      <w:r w:rsidR="00ED38D2" w:rsidRPr="003B1DCD">
        <w:rPr>
          <w:vertAlign w:val="superscript"/>
        </w:rPr>
        <w:footnoteReference w:id="1"/>
      </w:r>
      <w:r>
        <w:t xml:space="preserve">  </w:t>
      </w:r>
      <w:r w:rsidR="00ED38D2" w:rsidRPr="003B1DCD">
        <w:t xml:space="preserve">Examples of </w:t>
      </w:r>
      <w:r w:rsidR="00ED38D2">
        <w:t>this type of tax credit include the foreign income tax credit</w:t>
      </w:r>
      <w:r w:rsidR="00ED38D2" w:rsidRPr="003B1DCD">
        <w:t xml:space="preserve"> and the general business tax credit.</w:t>
      </w:r>
      <w:r w:rsidR="00ED38D2" w:rsidRPr="003B1DCD">
        <w:rPr>
          <w:vertAlign w:val="superscript"/>
        </w:rPr>
        <w:footnoteReference w:id="2"/>
      </w:r>
      <w:r w:rsidR="00ED38D2">
        <w:t xml:space="preserve">  </w:t>
      </w:r>
    </w:p>
    <w:p w:rsidR="00A75F0C" w:rsidRPr="003B1DCD" w:rsidRDefault="002F2F47" w:rsidP="00A75F0C">
      <w:pPr>
        <w:pStyle w:val="PA"/>
      </w:pPr>
      <w:r>
        <w:t xml:space="preserve">The denial of tax credits as an offset of the net investment income tax </w:t>
      </w:r>
      <w:r w:rsidR="00C73FBD">
        <w:t xml:space="preserve">is reflected by the sequence of reporting </w:t>
      </w:r>
      <w:r w:rsidR="00B1749F">
        <w:t xml:space="preserve">tax and </w:t>
      </w:r>
      <w:r>
        <w:t xml:space="preserve">tax </w:t>
      </w:r>
      <w:r w:rsidR="00B1749F">
        <w:t xml:space="preserve">credits </w:t>
      </w:r>
      <w:r w:rsidR="00C73FBD">
        <w:t>on Form 1040.  To this point</w:t>
      </w:r>
      <w:r w:rsidR="00ED38D2">
        <w:t xml:space="preserve">, regular income tax is reported on line 46 of Form 1040.  All tax credits </w:t>
      </w:r>
      <w:r>
        <w:t xml:space="preserve">reducing </w:t>
      </w:r>
      <w:r w:rsidR="00ED38D2">
        <w:t xml:space="preserve">that regular income tax are taken on </w:t>
      </w:r>
      <w:r w:rsidR="00B1749F">
        <w:t xml:space="preserve">the following </w:t>
      </w:r>
      <w:r w:rsidR="00ED38D2">
        <w:t xml:space="preserve">lines 47 – 53.  Beginning on line 56, the “other taxes” including the net investment income tax (reported on line 60) are reported.  So logistically, all tax credits </w:t>
      </w:r>
      <w:r>
        <w:t xml:space="preserve">that reduce </w:t>
      </w:r>
      <w:r w:rsidR="007A6053">
        <w:t xml:space="preserve">regular income tax are taken </w:t>
      </w:r>
      <w:r w:rsidR="007A6053">
        <w:rPr>
          <w:i/>
        </w:rPr>
        <w:t xml:space="preserve">before </w:t>
      </w:r>
      <w:r w:rsidR="007A6053">
        <w:t>the entry for the net investment income tax.  Moreover, none of those credits are refundable credits (meaning the credits can only reduce the regular tax to zero</w:t>
      </w:r>
      <w:r w:rsidR="00C73FBD">
        <w:t xml:space="preserve"> and not generate a refundable overpayment).  Thus, </w:t>
      </w:r>
      <w:r w:rsidR="007A6053">
        <w:t xml:space="preserve">they </w:t>
      </w:r>
      <w:r>
        <w:t xml:space="preserve">are of no consequence with regard to </w:t>
      </w:r>
      <w:r w:rsidR="007A6053">
        <w:t>the net investment income tax</w:t>
      </w:r>
      <w:r w:rsidR="00C73FBD">
        <w:t xml:space="preserve"> reported on line 60</w:t>
      </w:r>
      <w:r w:rsidR="007A6053">
        <w:t>.</w:t>
      </w:r>
      <w:r w:rsidR="00542F3F" w:rsidRPr="003B1DCD">
        <w:t xml:space="preserve"> </w:t>
      </w:r>
    </w:p>
    <w:p w:rsidR="00433E4A" w:rsidRPr="003B1DCD" w:rsidRDefault="00A75F0C" w:rsidP="00A75F0C">
      <w:pPr>
        <w:pStyle w:val="PA"/>
        <w:rPr>
          <w:b/>
        </w:rPr>
      </w:pPr>
      <w:r w:rsidRPr="00A75F0C">
        <w:rPr>
          <w:b/>
        </w:rPr>
        <w:t xml:space="preserve"> </w:t>
      </w:r>
      <w:r>
        <w:rPr>
          <w:b/>
        </w:rPr>
        <w:t>8570.03</w:t>
      </w:r>
      <w:r w:rsidR="00433E4A" w:rsidRPr="00433E4A">
        <w:rPr>
          <w:b/>
        </w:rPr>
        <w:t xml:space="preserve"> What</w:t>
      </w:r>
      <w:r w:rsidR="007A6053">
        <w:rPr>
          <w:b/>
        </w:rPr>
        <w:t xml:space="preserve"> form is used to report net investment income tax?</w:t>
      </w:r>
    </w:p>
    <w:p w:rsidR="00433E4A" w:rsidRPr="00433E4A" w:rsidRDefault="007A6053" w:rsidP="00752EC2">
      <w:pPr>
        <w:pStyle w:val="PA"/>
      </w:pPr>
      <w:r>
        <w:t>As mentioned above, net investment income tax is reported on line 60 of Form 1040.  On For</w:t>
      </w:r>
      <w:r w:rsidR="00433E4A" w:rsidRPr="00433E4A">
        <w:t>m 8960</w:t>
      </w:r>
      <w:r>
        <w:t xml:space="preserve"> (attached to Form 1040), the taxpayer computes the tax.  In addition to reporting all the taxpayer’s net investment income, amounts reported on Form 8814 </w:t>
      </w:r>
      <w:r w:rsidR="00752EC2">
        <w:t>(Parents’ Election to Report Child’s Interest and Dividends) are also included.</w:t>
      </w:r>
    </w:p>
    <w:p w:rsidR="00433E4A" w:rsidRPr="00433E4A" w:rsidRDefault="00D70705" w:rsidP="00433E4A">
      <w:pPr>
        <w:pStyle w:val="PA"/>
      </w:pPr>
      <w:r w:rsidRPr="00D70705">
        <w:rPr>
          <w:b/>
        </w:rPr>
        <w:lastRenderedPageBreak/>
        <w:t>Planning Point:</w:t>
      </w:r>
      <w:r>
        <w:t xml:space="preserve">  </w:t>
      </w:r>
      <w:r w:rsidR="00752EC2">
        <w:t xml:space="preserve">Similar to regular income tax or self-employment tax, </w:t>
      </w:r>
      <w:r w:rsidR="00C73FBD">
        <w:t>i</w:t>
      </w:r>
      <w:r w:rsidR="00433E4A" w:rsidRPr="00433E4A">
        <w:t xml:space="preserve">ndividuals who expect to be liable for the </w:t>
      </w:r>
      <w:r w:rsidR="00752EC2">
        <w:t xml:space="preserve">net </w:t>
      </w:r>
      <w:r w:rsidR="00433E4A" w:rsidRPr="00433E4A">
        <w:t xml:space="preserve">investment income tax may either make estimated tax payments or request </w:t>
      </w:r>
      <w:r w:rsidR="00752EC2">
        <w:t xml:space="preserve">their employer to withhold additional amounts </w:t>
      </w:r>
      <w:r w:rsidR="00433E4A" w:rsidRPr="00433E4A">
        <w:t>to avoid being subject to penalties for underpayment</w:t>
      </w:r>
      <w:r w:rsidR="00752EC2">
        <w:t xml:space="preserve"> of taxes</w:t>
      </w:r>
      <w:r w:rsidR="00433E4A" w:rsidRPr="00433E4A">
        <w:t>.</w:t>
      </w:r>
      <w:r w:rsidR="00433E4A" w:rsidRPr="00433E4A">
        <w:rPr>
          <w:vertAlign w:val="superscript"/>
        </w:rPr>
        <w:footnoteReference w:id="3"/>
      </w:r>
    </w:p>
    <w:p w:rsidR="0003025A" w:rsidRDefault="0003025A" w:rsidP="00B611F0">
      <w:pPr>
        <w:pStyle w:val="PA"/>
        <w:rPr>
          <w:b/>
        </w:rPr>
      </w:pPr>
      <w:bookmarkStart w:id="0" w:name="_GoBack"/>
      <w:bookmarkEnd w:id="0"/>
    </w:p>
    <w:p w:rsidR="00B611F0" w:rsidRPr="00B611F0" w:rsidRDefault="00B611F0" w:rsidP="00B611F0"/>
    <w:sectPr w:rsidR="00B611F0" w:rsidRPr="00B611F0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39" w:rsidRDefault="00122B39" w:rsidP="00536B05">
      <w:r>
        <w:separator/>
      </w:r>
    </w:p>
  </w:endnote>
  <w:endnote w:type="continuationSeparator" w:id="0">
    <w:p w:rsidR="00122B39" w:rsidRDefault="00122B39" w:rsidP="005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Cambria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39" w:rsidRDefault="00122B39" w:rsidP="00536B05">
      <w:r>
        <w:separator/>
      </w:r>
    </w:p>
  </w:footnote>
  <w:footnote w:type="continuationSeparator" w:id="0">
    <w:p w:rsidR="00122B39" w:rsidRDefault="00122B39" w:rsidP="00536B05">
      <w:r>
        <w:continuationSeparator/>
      </w:r>
    </w:p>
  </w:footnote>
  <w:footnote w:id="1">
    <w:p w:rsidR="00ED38D2" w:rsidRPr="00744BF8" w:rsidRDefault="00ED38D2" w:rsidP="00ED38D2">
      <w:pPr>
        <w:pStyle w:val="FootnoteText"/>
        <w:rPr>
          <w:rFonts w:ascii="Perpetua" w:hAnsi="Perpetua"/>
          <w:sz w:val="16"/>
          <w:szCs w:val="16"/>
        </w:rPr>
      </w:pPr>
      <w:r w:rsidRPr="00744BF8">
        <w:rPr>
          <w:rStyle w:val="FootnoteReference"/>
          <w:rFonts w:ascii="Perpetua" w:hAnsi="Perpetua"/>
          <w:sz w:val="16"/>
          <w:szCs w:val="16"/>
        </w:rPr>
        <w:footnoteRef/>
      </w:r>
      <w:r w:rsidRPr="00744BF8">
        <w:rPr>
          <w:rFonts w:ascii="Perpetua" w:hAnsi="Perpetua"/>
          <w:sz w:val="16"/>
          <w:szCs w:val="16"/>
        </w:rPr>
        <w:t xml:space="preserve"> Treas. Reg. </w:t>
      </w:r>
      <w:r w:rsidRPr="00744BF8">
        <w:rPr>
          <w:rFonts w:ascii="Perpetua" w:hAnsi="Perpetua"/>
          <w:color w:val="000000"/>
          <w:sz w:val="16"/>
          <w:szCs w:val="16"/>
        </w:rPr>
        <w:t>§</w:t>
      </w:r>
      <w:r w:rsidRPr="00744BF8">
        <w:rPr>
          <w:rFonts w:ascii="Perpetua" w:hAnsi="Perpetua"/>
          <w:sz w:val="16"/>
          <w:szCs w:val="16"/>
        </w:rPr>
        <w:t>1.1411-1(e).</w:t>
      </w:r>
    </w:p>
  </w:footnote>
  <w:footnote w:id="2">
    <w:p w:rsidR="00ED38D2" w:rsidRDefault="00ED38D2" w:rsidP="00ED38D2">
      <w:pPr>
        <w:pStyle w:val="FootnoteText"/>
      </w:pPr>
      <w:r w:rsidRPr="00744BF8">
        <w:rPr>
          <w:rStyle w:val="FootnoteReference"/>
          <w:rFonts w:ascii="Perpetua" w:hAnsi="Perpetua"/>
          <w:sz w:val="16"/>
          <w:szCs w:val="16"/>
        </w:rPr>
        <w:footnoteRef/>
      </w:r>
      <w:r w:rsidRPr="00744BF8">
        <w:rPr>
          <w:rFonts w:ascii="Perpetua" w:hAnsi="Perpetua"/>
          <w:sz w:val="16"/>
          <w:szCs w:val="16"/>
        </w:rPr>
        <w:t xml:space="preserve"> See IRC </w:t>
      </w:r>
      <w:proofErr w:type="spellStart"/>
      <w:r w:rsidRPr="00744BF8">
        <w:rPr>
          <w:rFonts w:ascii="Perpetua" w:hAnsi="Perpetua"/>
          <w:sz w:val="16"/>
          <w:szCs w:val="16"/>
        </w:rPr>
        <w:t>Secs</w:t>
      </w:r>
      <w:proofErr w:type="spellEnd"/>
      <w:r w:rsidRPr="00744BF8">
        <w:rPr>
          <w:rFonts w:ascii="Perpetua" w:hAnsi="Perpetua"/>
          <w:sz w:val="16"/>
          <w:szCs w:val="16"/>
        </w:rPr>
        <w:t>. 27, 901, 38.</w:t>
      </w:r>
    </w:p>
  </w:footnote>
  <w:footnote w:id="3">
    <w:p w:rsidR="00433E4A" w:rsidRPr="00744BF8" w:rsidRDefault="00433E4A" w:rsidP="00433E4A">
      <w:pPr>
        <w:pStyle w:val="FootnoteText"/>
        <w:rPr>
          <w:rFonts w:ascii="Perpetua" w:hAnsi="Perpetua"/>
          <w:sz w:val="16"/>
          <w:szCs w:val="16"/>
        </w:rPr>
      </w:pPr>
      <w:r w:rsidRPr="00744BF8">
        <w:rPr>
          <w:rStyle w:val="FootnoteReference"/>
          <w:rFonts w:ascii="Perpetua" w:hAnsi="Perpetua"/>
          <w:sz w:val="16"/>
          <w:szCs w:val="16"/>
        </w:rPr>
        <w:footnoteRef/>
      </w:r>
      <w:r w:rsidRPr="00744BF8">
        <w:rPr>
          <w:rFonts w:ascii="Perpetua" w:hAnsi="Perpetua"/>
          <w:sz w:val="16"/>
          <w:szCs w:val="16"/>
        </w:rPr>
        <w:t xml:space="preserve"> IRS Q&amp;A on the Net Investment Income Tax, available at: </w:t>
      </w:r>
      <w:hyperlink r:id="rId1" w:history="1">
        <w:r w:rsidRPr="00744BF8">
          <w:rPr>
            <w:rStyle w:val="Hyperlink"/>
            <w:rFonts w:ascii="Perpetua" w:hAnsi="Perpetua"/>
            <w:sz w:val="16"/>
            <w:szCs w:val="16"/>
          </w:rPr>
          <w:t>http://www.irs.gov/uac/Newsroom/Net-Investment-Income-Tax-FAQs</w:t>
        </w:r>
      </w:hyperlink>
      <w:r>
        <w:rPr>
          <w:rFonts w:ascii="Perpetua" w:hAnsi="Perpetua"/>
          <w:sz w:val="16"/>
          <w:szCs w:val="16"/>
        </w:rPr>
        <w:t xml:space="preserve"> (last accessed April 25</w:t>
      </w:r>
      <w:r w:rsidRPr="00744BF8">
        <w:rPr>
          <w:rFonts w:ascii="Perpetua" w:hAnsi="Perpetua"/>
          <w:sz w:val="16"/>
          <w:szCs w:val="16"/>
        </w:rPr>
        <w:t>, 2014).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B42CE"/>
    <w:multiLevelType w:val="hybridMultilevel"/>
    <w:tmpl w:val="BF06F940"/>
    <w:lvl w:ilvl="0" w:tplc="60ECB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B76D9"/>
    <w:multiLevelType w:val="hybridMultilevel"/>
    <w:tmpl w:val="45F2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CC4"/>
    <w:multiLevelType w:val="hybridMultilevel"/>
    <w:tmpl w:val="B5FE802C"/>
    <w:lvl w:ilvl="0" w:tplc="1D187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3BC110BE"/>
    <w:multiLevelType w:val="hybridMultilevel"/>
    <w:tmpl w:val="9AE02338"/>
    <w:lvl w:ilvl="0" w:tplc="A9B40ADA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084466"/>
    <w:multiLevelType w:val="hybridMultilevel"/>
    <w:tmpl w:val="20E2C94C"/>
    <w:lvl w:ilvl="0" w:tplc="1C4AC2D0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7F1EEF"/>
    <w:multiLevelType w:val="hybridMultilevel"/>
    <w:tmpl w:val="AE080146"/>
    <w:lvl w:ilvl="0" w:tplc="D3725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592209"/>
    <w:multiLevelType w:val="hybridMultilevel"/>
    <w:tmpl w:val="601CAE42"/>
    <w:lvl w:ilvl="0" w:tplc="E9261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7"/>
  </w:num>
  <w:num w:numId="10">
    <w:abstractNumId w:val="17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ED"/>
    <w:rsid w:val="00012D94"/>
    <w:rsid w:val="000201BC"/>
    <w:rsid w:val="00025E46"/>
    <w:rsid w:val="0003025A"/>
    <w:rsid w:val="00060618"/>
    <w:rsid w:val="00065361"/>
    <w:rsid w:val="00094E50"/>
    <w:rsid w:val="000A37F8"/>
    <w:rsid w:val="000B2495"/>
    <w:rsid w:val="000C1C63"/>
    <w:rsid w:val="000D179D"/>
    <w:rsid w:val="000D7E02"/>
    <w:rsid w:val="00100BAD"/>
    <w:rsid w:val="00114A17"/>
    <w:rsid w:val="00114F7E"/>
    <w:rsid w:val="0011643A"/>
    <w:rsid w:val="00122B39"/>
    <w:rsid w:val="00133EA9"/>
    <w:rsid w:val="00165EB2"/>
    <w:rsid w:val="00166A3D"/>
    <w:rsid w:val="001A5CC6"/>
    <w:rsid w:val="001C2D8B"/>
    <w:rsid w:val="001D533C"/>
    <w:rsid w:val="001E59F3"/>
    <w:rsid w:val="001F52F4"/>
    <w:rsid w:val="00236EBA"/>
    <w:rsid w:val="00257104"/>
    <w:rsid w:val="00267E98"/>
    <w:rsid w:val="00271A21"/>
    <w:rsid w:val="00282D04"/>
    <w:rsid w:val="0028552C"/>
    <w:rsid w:val="00296983"/>
    <w:rsid w:val="002B3FE0"/>
    <w:rsid w:val="002C7FE6"/>
    <w:rsid w:val="002F2F47"/>
    <w:rsid w:val="0030052F"/>
    <w:rsid w:val="00307615"/>
    <w:rsid w:val="003136E3"/>
    <w:rsid w:val="00317415"/>
    <w:rsid w:val="0034604E"/>
    <w:rsid w:val="00365BC3"/>
    <w:rsid w:val="003B1DCD"/>
    <w:rsid w:val="003F5AA4"/>
    <w:rsid w:val="00424FBB"/>
    <w:rsid w:val="00433E4A"/>
    <w:rsid w:val="00437CBE"/>
    <w:rsid w:val="00455D1D"/>
    <w:rsid w:val="004A3D37"/>
    <w:rsid w:val="004A4C0D"/>
    <w:rsid w:val="004A7339"/>
    <w:rsid w:val="004B1350"/>
    <w:rsid w:val="004F1F2A"/>
    <w:rsid w:val="004F6C3F"/>
    <w:rsid w:val="00516BDA"/>
    <w:rsid w:val="00536354"/>
    <w:rsid w:val="00536B05"/>
    <w:rsid w:val="00542F3F"/>
    <w:rsid w:val="0055218C"/>
    <w:rsid w:val="0055609B"/>
    <w:rsid w:val="0059765D"/>
    <w:rsid w:val="005C50ED"/>
    <w:rsid w:val="005F747A"/>
    <w:rsid w:val="005F7C9B"/>
    <w:rsid w:val="00623E77"/>
    <w:rsid w:val="006656BE"/>
    <w:rsid w:val="006A2941"/>
    <w:rsid w:val="006B29BA"/>
    <w:rsid w:val="006F4200"/>
    <w:rsid w:val="006F4885"/>
    <w:rsid w:val="006F5764"/>
    <w:rsid w:val="00746177"/>
    <w:rsid w:val="00752EC2"/>
    <w:rsid w:val="00773041"/>
    <w:rsid w:val="00777AF6"/>
    <w:rsid w:val="007948D7"/>
    <w:rsid w:val="007A6053"/>
    <w:rsid w:val="007B0BC4"/>
    <w:rsid w:val="007C1E0C"/>
    <w:rsid w:val="007C6582"/>
    <w:rsid w:val="007D73C8"/>
    <w:rsid w:val="007D7788"/>
    <w:rsid w:val="007F000B"/>
    <w:rsid w:val="00801263"/>
    <w:rsid w:val="00805D15"/>
    <w:rsid w:val="00814A4B"/>
    <w:rsid w:val="0081513E"/>
    <w:rsid w:val="00853ACB"/>
    <w:rsid w:val="00856358"/>
    <w:rsid w:val="008B16D5"/>
    <w:rsid w:val="008B183A"/>
    <w:rsid w:val="00917D5C"/>
    <w:rsid w:val="0093676A"/>
    <w:rsid w:val="00990D92"/>
    <w:rsid w:val="00994A42"/>
    <w:rsid w:val="009B2364"/>
    <w:rsid w:val="009C518D"/>
    <w:rsid w:val="00A02913"/>
    <w:rsid w:val="00A02AF1"/>
    <w:rsid w:val="00A06D94"/>
    <w:rsid w:val="00A153DC"/>
    <w:rsid w:val="00A22ABD"/>
    <w:rsid w:val="00A43D8E"/>
    <w:rsid w:val="00A56136"/>
    <w:rsid w:val="00A75F0C"/>
    <w:rsid w:val="00A804B9"/>
    <w:rsid w:val="00A922D5"/>
    <w:rsid w:val="00B1749F"/>
    <w:rsid w:val="00B611F0"/>
    <w:rsid w:val="00B952C4"/>
    <w:rsid w:val="00BA5395"/>
    <w:rsid w:val="00BE5482"/>
    <w:rsid w:val="00C00ED3"/>
    <w:rsid w:val="00C07C9D"/>
    <w:rsid w:val="00C107DC"/>
    <w:rsid w:val="00C40220"/>
    <w:rsid w:val="00C7171A"/>
    <w:rsid w:val="00C73FBD"/>
    <w:rsid w:val="00C945AB"/>
    <w:rsid w:val="00CB5DE6"/>
    <w:rsid w:val="00CB78BE"/>
    <w:rsid w:val="00CC4C5B"/>
    <w:rsid w:val="00D0255A"/>
    <w:rsid w:val="00D279A1"/>
    <w:rsid w:val="00D27F33"/>
    <w:rsid w:val="00D34A75"/>
    <w:rsid w:val="00D35137"/>
    <w:rsid w:val="00D63101"/>
    <w:rsid w:val="00D655FB"/>
    <w:rsid w:val="00D70705"/>
    <w:rsid w:val="00D81626"/>
    <w:rsid w:val="00D97308"/>
    <w:rsid w:val="00DA027F"/>
    <w:rsid w:val="00DB03AF"/>
    <w:rsid w:val="00DB5924"/>
    <w:rsid w:val="00DD2422"/>
    <w:rsid w:val="00DF18F4"/>
    <w:rsid w:val="00E019D6"/>
    <w:rsid w:val="00E604DB"/>
    <w:rsid w:val="00E64400"/>
    <w:rsid w:val="00E74015"/>
    <w:rsid w:val="00E76CBA"/>
    <w:rsid w:val="00E8050C"/>
    <w:rsid w:val="00E90801"/>
    <w:rsid w:val="00E94F6A"/>
    <w:rsid w:val="00EA088C"/>
    <w:rsid w:val="00ED38D2"/>
    <w:rsid w:val="00EE7BE5"/>
    <w:rsid w:val="00EF384A"/>
    <w:rsid w:val="00F13C82"/>
    <w:rsid w:val="00F22DA6"/>
    <w:rsid w:val="00F241E3"/>
    <w:rsid w:val="00F43D0A"/>
    <w:rsid w:val="00F54F88"/>
    <w:rsid w:val="00F5790C"/>
    <w:rsid w:val="00F77101"/>
    <w:rsid w:val="00F97395"/>
    <w:rsid w:val="00F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805D15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805D1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05D1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05D1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805D15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805D15"/>
    <w:rPr>
      <w:vertAlign w:val="superscript"/>
    </w:rPr>
  </w:style>
  <w:style w:type="paragraph" w:customStyle="1" w:styleId="PA">
    <w:name w:val="PA"/>
    <w:next w:val="Normal"/>
    <w:link w:val="PAChar"/>
    <w:rsid w:val="00805D15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805D15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05D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805D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805D15"/>
    <w:pPr>
      <w:spacing w:before="144"/>
      <w:jc w:val="both"/>
    </w:pPr>
    <w:rPr>
      <w:noProof/>
    </w:rPr>
  </w:style>
  <w:style w:type="paragraph" w:customStyle="1" w:styleId="PB">
    <w:name w:val="PB"/>
    <w:rsid w:val="00805D15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805D15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805D15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805D15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805D15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805D15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805D15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805D15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805D15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805D15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805D15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805D15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805D15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805D15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805D15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805D15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805D15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805D15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805D15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80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805D15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805D15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805D15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805D15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805D15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805D15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805D15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805D15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805D15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805D15"/>
    <w:rPr>
      <w:rFonts w:ascii="Perpetua Std" w:hAnsi="Perpetua Std"/>
    </w:rPr>
  </w:style>
  <w:style w:type="paragraph" w:styleId="NoSpacing">
    <w:name w:val="No Spacing"/>
    <w:qFormat/>
    <w:rsid w:val="00805D15"/>
    <w:rPr>
      <w:rFonts w:ascii="Perpetua" w:hAnsi="Perpetua"/>
    </w:rPr>
  </w:style>
  <w:style w:type="paragraph" w:customStyle="1" w:styleId="PCA">
    <w:name w:val="PCA"/>
    <w:rsid w:val="00805D15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805D15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805D15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805D15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805D1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05D1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05D1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805D15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805D15"/>
    <w:rPr>
      <w:vertAlign w:val="superscript"/>
    </w:rPr>
  </w:style>
  <w:style w:type="paragraph" w:customStyle="1" w:styleId="PA">
    <w:name w:val="PA"/>
    <w:next w:val="Normal"/>
    <w:link w:val="PAChar"/>
    <w:rsid w:val="00805D15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805D15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05D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805D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805D15"/>
    <w:pPr>
      <w:spacing w:before="144"/>
      <w:jc w:val="both"/>
    </w:pPr>
    <w:rPr>
      <w:noProof/>
    </w:rPr>
  </w:style>
  <w:style w:type="paragraph" w:customStyle="1" w:styleId="PB">
    <w:name w:val="PB"/>
    <w:rsid w:val="00805D15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805D15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805D15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805D15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805D15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805D15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805D15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805D15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805D15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805D15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805D15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805D15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805D15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805D15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805D15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805D15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805D15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805D15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805D15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80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805D15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805D15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805D15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805D15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805D15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805D15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805D15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805D15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805D15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805D15"/>
    <w:rPr>
      <w:rFonts w:ascii="Perpetua Std" w:hAnsi="Perpetua Std"/>
    </w:rPr>
  </w:style>
  <w:style w:type="paragraph" w:styleId="NoSpacing">
    <w:name w:val="No Spacing"/>
    <w:qFormat/>
    <w:rsid w:val="00805D15"/>
    <w:rPr>
      <w:rFonts w:ascii="Perpetua" w:hAnsi="Perpetua"/>
    </w:rPr>
  </w:style>
  <w:style w:type="paragraph" w:customStyle="1" w:styleId="PCA">
    <w:name w:val="PCA"/>
    <w:rsid w:val="00805D15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805D15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805D15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s.gov/uac/Newsroom/Net-Investment-Income-Tax-FAQ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8570. How does the investment income tax interact with taxes on capital gains and dividends?</vt:lpstr>
    </vt:vector>
  </TitlesOfParts>
  <Company>Summit Business Media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8570. How does the investment income tax interact with taxes on capital gains and dividends?</dc:title>
  <dc:creator>Alexis Long</dc:creator>
  <cp:lastModifiedBy>rcline</cp:lastModifiedBy>
  <cp:revision>2</cp:revision>
  <dcterms:created xsi:type="dcterms:W3CDTF">2014-07-08T20:16:00Z</dcterms:created>
  <dcterms:modified xsi:type="dcterms:W3CDTF">2014-07-08T20:16:00Z</dcterms:modified>
</cp:coreProperties>
</file>