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5" w:rsidRPr="00B60E16" w:rsidRDefault="008111A5" w:rsidP="00B611F0">
      <w:pPr>
        <w:pStyle w:val="PA"/>
        <w:rPr>
          <w:b/>
        </w:rPr>
      </w:pPr>
      <w:r w:rsidRPr="00B60E16">
        <w:rPr>
          <w:b/>
        </w:rPr>
        <w:t xml:space="preserve">8566.  How does a taxpayer determine whether income is </w:t>
      </w:r>
      <w:r w:rsidR="0031103A">
        <w:rPr>
          <w:b/>
        </w:rPr>
        <w:t xml:space="preserve">derived from the taxpayer’s trade or business and, if so, </w:t>
      </w:r>
      <w:r w:rsidRPr="00B60E16">
        <w:rPr>
          <w:b/>
        </w:rPr>
        <w:t>excluded from net investment income</w:t>
      </w:r>
      <w:r w:rsidR="0031103A">
        <w:rPr>
          <w:b/>
        </w:rPr>
        <w:t>?</w:t>
      </w:r>
      <w:bookmarkStart w:id="0" w:name="_GoBack"/>
      <w:bookmarkEnd w:id="0"/>
    </w:p>
    <w:p w:rsidR="00E65F51" w:rsidRDefault="00E65F51" w:rsidP="00B611F0">
      <w:pPr>
        <w:pStyle w:val="PA"/>
      </w:pPr>
      <w:r>
        <w:t xml:space="preserve">The </w:t>
      </w:r>
      <w:r w:rsidR="001D7CBC">
        <w:t xml:space="preserve">test for determining whether </w:t>
      </w:r>
      <w:r w:rsidR="0093676A">
        <w:t>interest, dividends, annuities, royalties and rents</w:t>
      </w:r>
      <w:r w:rsidR="00455D1D">
        <w:t xml:space="preserve"> </w:t>
      </w:r>
      <w:r w:rsidR="005F15B9">
        <w:t xml:space="preserve">otherwise </w:t>
      </w:r>
      <w:r>
        <w:t>included as net investment income pursuant to IRC Section 1411(c)(1)(A)(</w:t>
      </w:r>
      <w:proofErr w:type="spellStart"/>
      <w:r>
        <w:t>i</w:t>
      </w:r>
      <w:proofErr w:type="spellEnd"/>
      <w:r>
        <w:t>)</w:t>
      </w:r>
      <w:r w:rsidR="001D7CBC">
        <w:t xml:space="preserve"> are excluded from net investment income is different from the test to determine whether net </w:t>
      </w:r>
      <w:r>
        <w:t xml:space="preserve">investment income </w:t>
      </w:r>
      <w:r w:rsidR="001D7CBC">
        <w:t xml:space="preserve">otherwise </w:t>
      </w:r>
      <w:r>
        <w:t>included pursuant to IRC Sections 1411(c)(1)(A)(ii) and (iii)</w:t>
      </w:r>
      <w:r w:rsidR="00210EF2">
        <w:t xml:space="preserve"> are similarly</w:t>
      </w:r>
      <w:r w:rsidR="001D7CBC">
        <w:t xml:space="preserve"> excluded</w:t>
      </w:r>
      <w:r>
        <w:t xml:space="preserve">.  </w:t>
      </w:r>
    </w:p>
    <w:p w:rsidR="00E65F51" w:rsidRDefault="00210EF2" w:rsidP="00E65F51">
      <w:pPr>
        <w:pStyle w:val="PA"/>
      </w:pPr>
      <w:r>
        <w:t xml:space="preserve">As to </w:t>
      </w:r>
      <w:r w:rsidR="00E65F51">
        <w:t>IRC Section 1411(c)(1)(A)(</w:t>
      </w:r>
      <w:proofErr w:type="spellStart"/>
      <w:r w:rsidR="00E65F51">
        <w:t>i</w:t>
      </w:r>
      <w:proofErr w:type="spellEnd"/>
      <w:r w:rsidR="00E65F51">
        <w:t>) net investment income</w:t>
      </w:r>
      <w:r w:rsidR="003C1EFF">
        <w:t>, i.e., the traditional types of investment income</w:t>
      </w:r>
      <w:r w:rsidR="00E65F51">
        <w:t xml:space="preserve">, </w:t>
      </w:r>
      <w:r w:rsidR="008A3EE4">
        <w:t xml:space="preserve">the exclusion applies if such income </w:t>
      </w:r>
      <w:r w:rsidR="00E65F51">
        <w:t xml:space="preserve">is derived in the “ordinary course” of a trade or business within the meaning of Treasury Regulation Section </w:t>
      </w:r>
      <w:r w:rsidR="00E65F51" w:rsidRPr="00AE1176">
        <w:t>1.469–2T</w:t>
      </w:r>
      <w:r w:rsidR="00E65F51">
        <w:t xml:space="preserve">(c)(3)(ii).  </w:t>
      </w:r>
      <w:r>
        <w:t>This means the i</w:t>
      </w:r>
      <w:r w:rsidR="002035AB">
        <w:t>ncome is the type the trade or business is designed to generate.  T</w:t>
      </w:r>
      <w:r w:rsidR="00E65F51">
        <w:t xml:space="preserve">he following </w:t>
      </w:r>
      <w:r w:rsidR="0087612F">
        <w:t xml:space="preserve">are examples of </w:t>
      </w:r>
      <w:r w:rsidR="001837CF">
        <w:t xml:space="preserve">such </w:t>
      </w:r>
      <w:r w:rsidR="00E65F51">
        <w:t xml:space="preserve">income: </w:t>
      </w:r>
    </w:p>
    <w:p w:rsidR="00E65F51" w:rsidRDefault="00E65F51" w:rsidP="00E65F51">
      <w:pPr>
        <w:pStyle w:val="PA"/>
        <w:numPr>
          <w:ilvl w:val="0"/>
          <w:numId w:val="18"/>
        </w:numPr>
      </w:pPr>
      <w:r>
        <w:t xml:space="preserve">Interest income on loans and investments made in the ordinary course of a trade or business of lending money; </w:t>
      </w:r>
    </w:p>
    <w:p w:rsidR="00E65F51" w:rsidRDefault="00E65F51" w:rsidP="00E65F51">
      <w:pPr>
        <w:pStyle w:val="PA"/>
        <w:numPr>
          <w:ilvl w:val="0"/>
          <w:numId w:val="18"/>
        </w:numPr>
      </w:pPr>
      <w:r>
        <w:t xml:space="preserve">Interest on accounts receivable arising from the performance of services or the sale of property in the ordinary course of a trade or business of performing such services or selling such property, but only if credit is customarily offered to customers of the business; </w:t>
      </w:r>
    </w:p>
    <w:p w:rsidR="00E65F51" w:rsidRDefault="00E65F51" w:rsidP="00E65F51">
      <w:pPr>
        <w:pStyle w:val="PA"/>
        <w:numPr>
          <w:ilvl w:val="0"/>
          <w:numId w:val="18"/>
        </w:numPr>
      </w:pPr>
      <w:r>
        <w:t xml:space="preserve">Income from investments made in the ordinary course of a trade or business of furnishing insurance or annuity contracts or reinsuring risks underwritten by insurance companies; </w:t>
      </w:r>
    </w:p>
    <w:p w:rsidR="00E65F51" w:rsidRDefault="00E65F51" w:rsidP="00E65F51">
      <w:pPr>
        <w:pStyle w:val="PA"/>
        <w:numPr>
          <w:ilvl w:val="0"/>
          <w:numId w:val="18"/>
        </w:numPr>
      </w:pPr>
      <w:r>
        <w:t xml:space="preserve">Income or gain derived in the ordinary course of an activity of trading or dealing in any property if such activity constitutes a trade or business; </w:t>
      </w:r>
    </w:p>
    <w:p w:rsidR="00E65F51" w:rsidRDefault="00E65F51" w:rsidP="00E65F51">
      <w:pPr>
        <w:pStyle w:val="PA"/>
        <w:numPr>
          <w:ilvl w:val="0"/>
          <w:numId w:val="18"/>
        </w:numPr>
      </w:pPr>
      <w:r>
        <w:t>Royalties derived by the taxpayer in the ordinary course of a trade or business of licensing intangible property.</w:t>
      </w:r>
      <w:r>
        <w:rPr>
          <w:rStyle w:val="FootnoteReference"/>
        </w:rPr>
        <w:footnoteReference w:id="1"/>
      </w:r>
      <w:r>
        <w:t xml:space="preserve">  </w:t>
      </w:r>
    </w:p>
    <w:p w:rsidR="0087612F" w:rsidRDefault="00210EF2" w:rsidP="00E65F51">
      <w:pPr>
        <w:pStyle w:val="PA"/>
      </w:pPr>
      <w:r>
        <w:t xml:space="preserve">The common denominator in </w:t>
      </w:r>
      <w:r w:rsidR="001837CF">
        <w:t xml:space="preserve">these examples </w:t>
      </w:r>
      <w:r>
        <w:t>i</w:t>
      </w:r>
      <w:r w:rsidR="001837CF">
        <w:t xml:space="preserve">s the nexus between the trade or business and the income generated.  For example, interest income </w:t>
      </w:r>
      <w:r w:rsidR="001D7CBC">
        <w:t xml:space="preserve">on loans </w:t>
      </w:r>
      <w:r w:rsidR="001837CF">
        <w:t xml:space="preserve">is the type of income a bank is designed to generate.  </w:t>
      </w:r>
      <w:r w:rsidR="0087612F">
        <w:t>Conversely, interest or dividend income derived from invested working capital for future use in the</w:t>
      </w:r>
      <w:r w:rsidR="001D7CBC">
        <w:t xml:space="preserve"> taxpayer’s trade or business is not th</w:t>
      </w:r>
      <w:r>
        <w:t xml:space="preserve">at type of income; and, thus is </w:t>
      </w:r>
      <w:r w:rsidR="0087612F">
        <w:t>treated as net investment income.</w:t>
      </w:r>
      <w:r w:rsidR="0087612F">
        <w:rPr>
          <w:rStyle w:val="FootnoteReference"/>
        </w:rPr>
        <w:footnoteReference w:id="2"/>
      </w:r>
      <w:r w:rsidR="007C07EA">
        <w:t xml:space="preserve">  Moreover, under no circumstances is any income derived from trading in financial instruments or commodities ever</w:t>
      </w:r>
      <w:r w:rsidR="00BF03BC">
        <w:t xml:space="preserve"> be</w:t>
      </w:r>
      <w:r w:rsidR="007C07EA">
        <w:t xml:space="preserve"> excluded from net investment income.</w:t>
      </w:r>
      <w:r w:rsidR="007C07EA" w:rsidRPr="00EE7BE5">
        <w:rPr>
          <w:rStyle w:val="FootnoteReference"/>
          <w:color w:val="auto"/>
        </w:rPr>
        <w:footnoteReference w:id="3"/>
      </w:r>
    </w:p>
    <w:p w:rsidR="007C07EA" w:rsidRDefault="00FD66C9" w:rsidP="001D7CBC">
      <w:pPr>
        <w:pStyle w:val="PA"/>
        <w:ind w:firstLine="0"/>
      </w:pPr>
      <w:r>
        <w:t xml:space="preserve">     </w:t>
      </w:r>
      <w:r w:rsidR="00210EF2">
        <w:t>As to income d</w:t>
      </w:r>
      <w:r w:rsidR="007C07EA">
        <w:t xml:space="preserve">erived in a trade or business </w:t>
      </w:r>
      <w:r w:rsidR="00210EF2">
        <w:t xml:space="preserve">that is not treated as net investment income pursuant to </w:t>
      </w:r>
      <w:r w:rsidR="007C07EA">
        <w:t>IRC Section</w:t>
      </w:r>
      <w:r w:rsidR="00210EF2">
        <w:t>s</w:t>
      </w:r>
      <w:r w:rsidR="001D7CBC">
        <w:t xml:space="preserve"> </w:t>
      </w:r>
      <w:r w:rsidR="007C07EA">
        <w:t>1411(c</w:t>
      </w:r>
      <w:proofErr w:type="gramStart"/>
      <w:r w:rsidR="007C07EA">
        <w:t>)(</w:t>
      </w:r>
      <w:proofErr w:type="gramEnd"/>
      <w:r w:rsidR="007C07EA">
        <w:t xml:space="preserve">1)(A)(ii) and (iii), </w:t>
      </w:r>
      <w:r w:rsidR="0087612F">
        <w:t>the</w:t>
      </w:r>
      <w:r w:rsidR="007C07EA">
        <w:t xml:space="preserve">re is a much looser test for the application of the exclusion.  </w:t>
      </w:r>
      <w:r w:rsidR="000B4D6F">
        <w:t xml:space="preserve">That test is the same for both sections.  </w:t>
      </w:r>
      <w:r w:rsidR="001D7CBC">
        <w:t xml:space="preserve">As discussed in Q </w:t>
      </w:r>
      <w:r w:rsidR="00167C85">
        <w:t>8560</w:t>
      </w:r>
      <w:r w:rsidR="001D7CBC">
        <w:t>, IRC Section 1411(c</w:t>
      </w:r>
      <w:proofErr w:type="gramStart"/>
      <w:r w:rsidR="001D7CBC">
        <w:t>)(</w:t>
      </w:r>
      <w:proofErr w:type="gramEnd"/>
      <w:r w:rsidR="001D7CBC">
        <w:t xml:space="preserve">1)(A)(ii) deals with </w:t>
      </w:r>
      <w:r w:rsidR="000B4D6F">
        <w:t xml:space="preserve">the </w:t>
      </w:r>
      <w:r w:rsidR="001D7CBC">
        <w:t xml:space="preserve">regular gross income </w:t>
      </w:r>
      <w:r w:rsidR="000B4D6F">
        <w:t xml:space="preserve">of </w:t>
      </w:r>
      <w:r w:rsidR="001D7CBC">
        <w:t xml:space="preserve">a trade or business.  </w:t>
      </w:r>
      <w:r w:rsidR="001D7CBC">
        <w:lastRenderedPageBreak/>
        <w:t>Conversely, IRC Section 1</w:t>
      </w:r>
      <w:r w:rsidR="007C07EA">
        <w:t>411(c</w:t>
      </w:r>
      <w:proofErr w:type="gramStart"/>
      <w:r w:rsidR="007C07EA">
        <w:t>)(</w:t>
      </w:r>
      <w:proofErr w:type="gramEnd"/>
      <w:r w:rsidR="007C07EA">
        <w:t>1)(A)(i</w:t>
      </w:r>
      <w:r w:rsidR="001D7CBC">
        <w:t>ii</w:t>
      </w:r>
      <w:r w:rsidR="007C07EA">
        <w:t xml:space="preserve">) </w:t>
      </w:r>
      <w:r>
        <w:t xml:space="preserve">deals with net gain attributable to </w:t>
      </w:r>
      <w:r w:rsidR="000B4D6F">
        <w:t xml:space="preserve">the sale or exchange of </w:t>
      </w:r>
      <w:r>
        <w:t xml:space="preserve">property.  </w:t>
      </w:r>
    </w:p>
    <w:p w:rsidR="00F70A60" w:rsidRDefault="007C07EA" w:rsidP="00E65F51">
      <w:pPr>
        <w:pStyle w:val="PA"/>
      </w:pPr>
      <w:r>
        <w:t>Unlike the IRC Section 1411(c</w:t>
      </w:r>
      <w:proofErr w:type="gramStart"/>
      <w:r>
        <w:t>)(</w:t>
      </w:r>
      <w:proofErr w:type="gramEnd"/>
      <w:r>
        <w:t>1)(A)(</w:t>
      </w:r>
      <w:proofErr w:type="spellStart"/>
      <w:r>
        <w:t>i</w:t>
      </w:r>
      <w:proofErr w:type="spellEnd"/>
      <w:r>
        <w:t>) exclusion</w:t>
      </w:r>
      <w:r w:rsidR="000B4D6F">
        <w:t xml:space="preserve">, there is no requirement that the income must be of the type that the trade or business is designed to generate.  Instead, to qualify </w:t>
      </w:r>
      <w:r w:rsidR="00AA4452">
        <w:t xml:space="preserve">for the exception, the income must be derived from a trade or business </w:t>
      </w:r>
      <w:r w:rsidR="00FD66C9">
        <w:t xml:space="preserve">in which the taxpayer materially participates (non-passive) </w:t>
      </w:r>
      <w:r w:rsidR="00AA4452">
        <w:t xml:space="preserve">and </w:t>
      </w:r>
      <w:r w:rsidR="00FD66C9">
        <w:t xml:space="preserve">under no circumstances </w:t>
      </w:r>
      <w:r w:rsidR="00AA4452">
        <w:t xml:space="preserve">is </w:t>
      </w:r>
      <w:r w:rsidR="00BF03BC">
        <w:t xml:space="preserve">the </w:t>
      </w:r>
      <w:r w:rsidR="00AA4452">
        <w:t xml:space="preserve">income derived from </w:t>
      </w:r>
      <w:r w:rsidR="00236EBA">
        <w:t>trading in financial instruments or commodities.</w:t>
      </w:r>
      <w:r w:rsidR="00236EBA" w:rsidRPr="00EE7BE5">
        <w:rPr>
          <w:rStyle w:val="FootnoteReference"/>
          <w:color w:val="auto"/>
        </w:rPr>
        <w:footnoteReference w:id="4"/>
      </w:r>
      <w:r w:rsidR="00A02913">
        <w:t xml:space="preserve"> </w:t>
      </w:r>
      <w:r w:rsidR="00AA4452">
        <w:t xml:space="preserve">  </w:t>
      </w:r>
      <w:r w:rsidR="00EA387D">
        <w:t xml:space="preserve">Stated differently, </w:t>
      </w:r>
      <w:r w:rsidR="000B4D6F">
        <w:t xml:space="preserve">pursuant to </w:t>
      </w:r>
      <w:r w:rsidR="00EA387D">
        <w:t>IRC Section 1411(c</w:t>
      </w:r>
      <w:proofErr w:type="gramStart"/>
      <w:r w:rsidR="00EA387D">
        <w:t>)(</w:t>
      </w:r>
      <w:proofErr w:type="gramEnd"/>
      <w:r w:rsidR="00EA387D">
        <w:t>1)(A)(ii)</w:t>
      </w:r>
      <w:r w:rsidR="000B4D6F">
        <w:t>, net investment income includes</w:t>
      </w:r>
      <w:r w:rsidR="00EA387D">
        <w:t xml:space="preserve"> all income derived from a trade or business that is passive with respect to the taxpayer.  </w:t>
      </w:r>
      <w:r w:rsidR="000B4D6F">
        <w:t xml:space="preserve">However, if the trade or business is non-passive with respect to the taxpayer, the income is excluded from net investment income.  </w:t>
      </w:r>
      <w:r w:rsidR="00E952A8">
        <w:t>For a discussion regarding determining whether an activity is passive or non-passive, see Q 8567.</w:t>
      </w:r>
    </w:p>
    <w:p w:rsidR="003C1EFF" w:rsidRDefault="003D28A4" w:rsidP="00167C85">
      <w:pPr>
        <w:pStyle w:val="PC"/>
        <w:ind w:left="0" w:firstLine="0"/>
      </w:pPr>
      <w:r>
        <w:t xml:space="preserve">     </w:t>
      </w:r>
      <w:r w:rsidR="00F70A60">
        <w:t xml:space="preserve">As mentioned above, the same test is used to determine whether net gain attributable to disposition </w:t>
      </w:r>
      <w:r w:rsidR="001837CF">
        <w:t xml:space="preserve">of </w:t>
      </w:r>
      <w:r>
        <w:t>property</w:t>
      </w:r>
      <w:r w:rsidR="001837CF">
        <w:t xml:space="preserve"> (sale or exchange)</w:t>
      </w:r>
      <w:r>
        <w:t xml:space="preserve"> other</w:t>
      </w:r>
      <w:r w:rsidR="00F70A60">
        <w:t>wise included in net investment income pursuant to IRC Section 1411(c</w:t>
      </w:r>
      <w:proofErr w:type="gramStart"/>
      <w:r w:rsidR="00F70A60">
        <w:t>)(</w:t>
      </w:r>
      <w:proofErr w:type="gramEnd"/>
      <w:r w:rsidR="00F70A60">
        <w:t>1)(A)(iii) is excluded from net investment income.  In applying this test, the net gain is excluded</w:t>
      </w:r>
      <w:r w:rsidR="00BF03BC">
        <w:t xml:space="preserve"> </w:t>
      </w:r>
      <w:r w:rsidR="00167C85">
        <w:t>o</w:t>
      </w:r>
      <w:r w:rsidR="00F70A60">
        <w:t xml:space="preserve">nly if the </w:t>
      </w:r>
      <w:r w:rsidR="009D4FE8">
        <w:t xml:space="preserve">disposed of </w:t>
      </w:r>
      <w:r w:rsidR="00F70A60">
        <w:t>pro</w:t>
      </w:r>
      <w:r w:rsidR="001837CF">
        <w:t>perty</w:t>
      </w:r>
      <w:r w:rsidR="00EA387D">
        <w:t xml:space="preserve"> is held in a trade or business</w:t>
      </w:r>
      <w:r w:rsidR="00E952A8">
        <w:t xml:space="preserve"> which</w:t>
      </w:r>
      <w:r w:rsidR="00EA387D">
        <w:t xml:space="preserve"> is non-passive with respect to the </w:t>
      </w:r>
      <w:r w:rsidR="00E952A8">
        <w:t xml:space="preserve">taxpayer </w:t>
      </w:r>
      <w:r w:rsidR="001837CF">
        <w:t>and is not derived from a business trading in financial instruments or commodities</w:t>
      </w:r>
      <w:r w:rsidR="00F70A60">
        <w:t>.</w:t>
      </w:r>
      <w:r w:rsidR="009D4FE8">
        <w:t xml:space="preserve">  Thus, the net gain from the disposition of property held by a trade or business that is passive with respect to the taxpayer would be included in net investment income.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23"/>
        <w:gridCol w:w="2790"/>
      </w:tblGrid>
      <w:tr w:rsidR="009D0FBB" w:rsidRPr="003E39C6" w:rsidTr="003E39C6">
        <w:trPr>
          <w:jc w:val="center"/>
        </w:trPr>
        <w:tc>
          <w:tcPr>
            <w:tcW w:w="7564" w:type="dxa"/>
            <w:gridSpan w:val="3"/>
            <w:shd w:val="clear" w:color="auto" w:fill="auto"/>
          </w:tcPr>
          <w:p w:rsidR="009D0FBB" w:rsidRPr="003E39C6" w:rsidRDefault="003C1EFF" w:rsidP="003E39C6">
            <w:pPr>
              <w:pStyle w:val="PA"/>
              <w:ind w:firstLine="0"/>
              <w:jc w:val="left"/>
              <w:rPr>
                <w:b/>
              </w:rPr>
            </w:pPr>
            <w:r>
              <w:br w:type="page"/>
            </w:r>
            <w:r w:rsidR="009D0FBB" w:rsidRPr="003E39C6">
              <w:rPr>
                <w:b/>
              </w:rPr>
              <w:t>Net Investment Income Exclusion for Income Derived in the Taxpayer’s Trade or Business</w:t>
            </w:r>
          </w:p>
        </w:tc>
      </w:tr>
      <w:tr w:rsidR="003E39C6" w:rsidRPr="003E39C6" w:rsidTr="003E39C6">
        <w:trPr>
          <w:jc w:val="center"/>
        </w:trPr>
        <w:tc>
          <w:tcPr>
            <w:tcW w:w="1951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Included as Net Investment Income</w:t>
            </w:r>
          </w:p>
        </w:tc>
        <w:tc>
          <w:tcPr>
            <w:tcW w:w="2790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Excluded from Net Investment Income</w:t>
            </w:r>
          </w:p>
        </w:tc>
      </w:tr>
      <w:tr w:rsidR="003E39C6" w:rsidRPr="003E39C6" w:rsidTr="003E39C6">
        <w:trPr>
          <w:jc w:val="center"/>
        </w:trPr>
        <w:tc>
          <w:tcPr>
            <w:tcW w:w="1951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IRC Section 1411(c)(1)(A)(</w:t>
            </w:r>
            <w:proofErr w:type="spellStart"/>
            <w:r w:rsidRPr="003E39C6">
              <w:rPr>
                <w:b/>
              </w:rPr>
              <w:t>i</w:t>
            </w:r>
            <w:proofErr w:type="spellEnd"/>
            <w:r w:rsidRPr="003E39C6">
              <w:rPr>
                <w:b/>
              </w:rPr>
              <w:t>) Interest, Dividends, Annuities, Rents and Royalties</w:t>
            </w:r>
          </w:p>
        </w:tc>
        <w:tc>
          <w:tcPr>
            <w:tcW w:w="2823" w:type="dxa"/>
            <w:shd w:val="clear" w:color="auto" w:fill="auto"/>
          </w:tcPr>
          <w:p w:rsidR="009D0FBB" w:rsidRPr="003E39C6" w:rsidRDefault="00167C85" w:rsidP="00167C85">
            <w:pPr>
              <w:pStyle w:val="PA"/>
              <w:ind w:firstLine="0"/>
              <w:jc w:val="left"/>
              <w:rPr>
                <w:b/>
              </w:rPr>
            </w:pPr>
            <w:r>
              <w:rPr>
                <w:b/>
              </w:rPr>
              <w:t>Traditional Investment Income</w:t>
            </w:r>
          </w:p>
        </w:tc>
        <w:tc>
          <w:tcPr>
            <w:tcW w:w="2790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The type of income the business was designed to generate</w:t>
            </w:r>
            <w:r w:rsidR="00167C85">
              <w:rPr>
                <w:b/>
              </w:rPr>
              <w:t>, i.e., interest income earned by a bank.</w:t>
            </w:r>
          </w:p>
        </w:tc>
      </w:tr>
      <w:tr w:rsidR="003E39C6" w:rsidRPr="003E39C6" w:rsidTr="003E39C6">
        <w:trPr>
          <w:jc w:val="center"/>
        </w:trPr>
        <w:tc>
          <w:tcPr>
            <w:tcW w:w="1951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IRC Section 1411(c)(1)(A)(ii)</w:t>
            </w:r>
          </w:p>
          <w:p w:rsidR="009D0FBB" w:rsidRPr="003E39C6" w:rsidRDefault="009D0FBB" w:rsidP="003E39C6">
            <w:pPr>
              <w:rPr>
                <w:b/>
                <w:sz w:val="24"/>
                <w:szCs w:val="24"/>
              </w:rPr>
            </w:pPr>
            <w:r w:rsidRPr="003E39C6">
              <w:rPr>
                <w:b/>
                <w:sz w:val="24"/>
                <w:szCs w:val="24"/>
              </w:rPr>
              <w:t>Gross Income from a Trade or Business</w:t>
            </w:r>
          </w:p>
        </w:tc>
        <w:tc>
          <w:tcPr>
            <w:tcW w:w="2823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Income derived from a trade or business that is passive with respect to the taxpayer or derived from a business trading in financial instruments or commodities.</w:t>
            </w:r>
            <w:r w:rsidR="00167C85">
              <w:rPr>
                <w:b/>
              </w:rPr>
              <w:t xml:space="preserve">  Also includes income from an activity that does not arise to the level of a </w:t>
            </w:r>
            <w:r w:rsidR="00167C85">
              <w:rPr>
                <w:b/>
              </w:rPr>
              <w:lastRenderedPageBreak/>
              <w:t>trade or business.</w:t>
            </w:r>
          </w:p>
        </w:tc>
        <w:tc>
          <w:tcPr>
            <w:tcW w:w="2790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lastRenderedPageBreak/>
              <w:t>Income derived from a trade or business that is non-passive with respect to the taxpayer other than income derived from a business trading in financial instruments or commodities.</w:t>
            </w:r>
          </w:p>
        </w:tc>
      </w:tr>
      <w:tr w:rsidR="003E39C6" w:rsidRPr="003E39C6" w:rsidTr="003E39C6">
        <w:trPr>
          <w:jc w:val="center"/>
        </w:trPr>
        <w:tc>
          <w:tcPr>
            <w:tcW w:w="1951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lastRenderedPageBreak/>
              <w:t>IRC Section 1411(c)(1)(A)(iii)</w:t>
            </w:r>
          </w:p>
          <w:p w:rsidR="009D0FBB" w:rsidRPr="003E39C6" w:rsidRDefault="009D0FBB" w:rsidP="003E39C6">
            <w:pPr>
              <w:rPr>
                <w:b/>
                <w:sz w:val="24"/>
                <w:szCs w:val="24"/>
              </w:rPr>
            </w:pPr>
            <w:r w:rsidRPr="003E39C6">
              <w:rPr>
                <w:b/>
                <w:sz w:val="24"/>
                <w:szCs w:val="24"/>
              </w:rPr>
              <w:t>Net Gain from the Disposition of Property Held in a Trade or Business</w:t>
            </w:r>
          </w:p>
        </w:tc>
        <w:tc>
          <w:tcPr>
            <w:tcW w:w="2823" w:type="dxa"/>
            <w:shd w:val="clear" w:color="auto" w:fill="auto"/>
          </w:tcPr>
          <w:p w:rsidR="009D0FBB" w:rsidRPr="003E39C6" w:rsidRDefault="0031103A" w:rsidP="003E39C6">
            <w:pPr>
              <w:pStyle w:val="PA"/>
              <w:ind w:firstLine="0"/>
              <w:jc w:val="left"/>
              <w:rPr>
                <w:b/>
              </w:rPr>
            </w:pPr>
            <w:r>
              <w:rPr>
                <w:b/>
              </w:rPr>
              <w:t>The underlying</w:t>
            </w:r>
            <w:r w:rsidR="009D0FBB" w:rsidRPr="003E39C6">
              <w:rPr>
                <w:b/>
              </w:rPr>
              <w:t xml:space="preserve"> trade or business is passive with respect to the taxpayer or is a business trading in financial instruments or commodities.</w:t>
            </w:r>
          </w:p>
        </w:tc>
        <w:tc>
          <w:tcPr>
            <w:tcW w:w="2790" w:type="dxa"/>
            <w:shd w:val="clear" w:color="auto" w:fill="auto"/>
          </w:tcPr>
          <w:p w:rsidR="009D0FBB" w:rsidRPr="003E39C6" w:rsidRDefault="009D0FBB" w:rsidP="003E39C6">
            <w:pPr>
              <w:pStyle w:val="PA"/>
              <w:ind w:firstLine="0"/>
              <w:jc w:val="left"/>
              <w:rPr>
                <w:b/>
              </w:rPr>
            </w:pPr>
            <w:r w:rsidRPr="003E39C6">
              <w:rPr>
                <w:b/>
              </w:rPr>
              <w:t>The u</w:t>
            </w:r>
            <w:r w:rsidR="0031103A">
              <w:rPr>
                <w:b/>
              </w:rPr>
              <w:t>nderlying trade or business</w:t>
            </w:r>
            <w:r w:rsidRPr="003E39C6">
              <w:rPr>
                <w:b/>
              </w:rPr>
              <w:t xml:space="preserve"> is non-passive with respect to the taxpayer and is not a business trading in financial instruments or commodities.</w:t>
            </w:r>
          </w:p>
        </w:tc>
      </w:tr>
    </w:tbl>
    <w:p w:rsidR="0093676A" w:rsidRPr="0093676A" w:rsidRDefault="0093676A" w:rsidP="009D0FBB">
      <w:pPr>
        <w:pStyle w:val="PA"/>
        <w:jc w:val="left"/>
        <w:rPr>
          <w:b/>
        </w:rPr>
      </w:pPr>
    </w:p>
    <w:p w:rsidR="00B611F0" w:rsidRDefault="00B611F0" w:rsidP="009D0FBB"/>
    <w:p w:rsidR="00BF5C9F" w:rsidRPr="00B611F0" w:rsidRDefault="00BF5C9F" w:rsidP="00B611F0"/>
    <w:sectPr w:rsidR="00BF5C9F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83" w:rsidRDefault="00201983" w:rsidP="00536B05">
      <w:r>
        <w:separator/>
      </w:r>
    </w:p>
  </w:endnote>
  <w:endnote w:type="continuationSeparator" w:id="0">
    <w:p w:rsidR="00201983" w:rsidRDefault="00201983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Cambri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83" w:rsidRDefault="00201983" w:rsidP="00536B05">
      <w:r>
        <w:separator/>
      </w:r>
    </w:p>
  </w:footnote>
  <w:footnote w:type="continuationSeparator" w:id="0">
    <w:p w:rsidR="00201983" w:rsidRDefault="00201983" w:rsidP="00536B05">
      <w:r>
        <w:continuationSeparator/>
      </w:r>
    </w:p>
  </w:footnote>
  <w:footnote w:id="1">
    <w:p w:rsidR="00E65F51" w:rsidRDefault="00E65F51" w:rsidP="00E65F51">
      <w:pPr>
        <w:pStyle w:val="FootnoteText"/>
      </w:pPr>
      <w:r>
        <w:rPr>
          <w:rStyle w:val="FootnoteReference"/>
        </w:rPr>
        <w:footnoteRef/>
      </w:r>
      <w:r>
        <w:t xml:space="preserve">      </w:t>
      </w:r>
      <w:r w:rsidRPr="00B60E16">
        <w:rPr>
          <w:sz w:val="16"/>
          <w:szCs w:val="16"/>
        </w:rPr>
        <w:t xml:space="preserve">Treas. </w:t>
      </w:r>
      <w:proofErr w:type="spellStart"/>
      <w:r w:rsidRPr="00B60E16">
        <w:rPr>
          <w:sz w:val="16"/>
          <w:szCs w:val="16"/>
        </w:rPr>
        <w:t>Regs</w:t>
      </w:r>
      <w:proofErr w:type="spellEnd"/>
      <w:r w:rsidRPr="00B60E16">
        <w:rPr>
          <w:sz w:val="16"/>
          <w:szCs w:val="16"/>
        </w:rPr>
        <w:t>. §1.469-2T(c</w:t>
      </w:r>
      <w:proofErr w:type="gramStart"/>
      <w:r w:rsidRPr="00B60E16">
        <w:rPr>
          <w:sz w:val="16"/>
          <w:szCs w:val="16"/>
        </w:rPr>
        <w:t>)(</w:t>
      </w:r>
      <w:proofErr w:type="gramEnd"/>
      <w:r w:rsidRPr="00B60E16">
        <w:rPr>
          <w:sz w:val="16"/>
          <w:szCs w:val="16"/>
        </w:rPr>
        <w:t>3)(ii); 1.1411-6.</w:t>
      </w:r>
    </w:p>
  </w:footnote>
  <w:footnote w:id="2">
    <w:p w:rsidR="0087612F" w:rsidRDefault="0087612F" w:rsidP="0087612F">
      <w:pPr>
        <w:pStyle w:val="FootnoteText"/>
      </w:pPr>
      <w:r>
        <w:rPr>
          <w:rStyle w:val="FootnoteReference"/>
        </w:rPr>
        <w:footnoteRef/>
      </w:r>
      <w:r>
        <w:t xml:space="preserve">      </w:t>
      </w:r>
      <w:r w:rsidR="002016F8">
        <w:t xml:space="preserve"> </w:t>
      </w:r>
      <w:r>
        <w:rPr>
          <w:sz w:val="16"/>
          <w:szCs w:val="16"/>
        </w:rPr>
        <w:t>IRC Section 1411(c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3).</w:t>
      </w:r>
    </w:p>
  </w:footnote>
  <w:footnote w:id="3">
    <w:p w:rsidR="007C07EA" w:rsidRPr="00B611F0" w:rsidRDefault="007C07EA" w:rsidP="007C07EA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>IRC Sec. 1411(c</w:t>
      </w:r>
      <w:proofErr w:type="gramStart"/>
      <w:r w:rsidRPr="00B611F0">
        <w:t>)(</w:t>
      </w:r>
      <w:proofErr w:type="gramEnd"/>
      <w:r w:rsidRPr="00B611F0">
        <w:t>2).</w:t>
      </w:r>
    </w:p>
  </w:footnote>
  <w:footnote w:id="4">
    <w:p w:rsidR="00A122E1" w:rsidRPr="00B611F0" w:rsidRDefault="00A122E1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>IRC Sec. 1411(c</w:t>
      </w:r>
      <w:proofErr w:type="gramStart"/>
      <w:r w:rsidRPr="00B611F0">
        <w:t>)(</w:t>
      </w:r>
      <w:proofErr w:type="gramEnd"/>
      <w:r w:rsidRPr="00B611F0">
        <w:t>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3377"/>
    <w:multiLevelType w:val="hybridMultilevel"/>
    <w:tmpl w:val="1114A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68C766A1"/>
    <w:multiLevelType w:val="multilevel"/>
    <w:tmpl w:val="AC46786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0774F3"/>
    <w:multiLevelType w:val="hybridMultilevel"/>
    <w:tmpl w:val="0F3E0B8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9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18"/>
  </w:num>
  <w:num w:numId="17">
    <w:abstractNumId w:val="9"/>
  </w:num>
  <w:num w:numId="18">
    <w:abstractNumId w:val="1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12D94"/>
    <w:rsid w:val="00025E46"/>
    <w:rsid w:val="0003025A"/>
    <w:rsid w:val="00060618"/>
    <w:rsid w:val="00065361"/>
    <w:rsid w:val="00070110"/>
    <w:rsid w:val="00094E50"/>
    <w:rsid w:val="000A37F8"/>
    <w:rsid w:val="000B4D6F"/>
    <w:rsid w:val="000C1C63"/>
    <w:rsid w:val="000D179D"/>
    <w:rsid w:val="000D7E02"/>
    <w:rsid w:val="000F4C6B"/>
    <w:rsid w:val="00114A17"/>
    <w:rsid w:val="00114F7E"/>
    <w:rsid w:val="0011643A"/>
    <w:rsid w:val="00133EA9"/>
    <w:rsid w:val="00166A3D"/>
    <w:rsid w:val="00167C85"/>
    <w:rsid w:val="00171349"/>
    <w:rsid w:val="001837CF"/>
    <w:rsid w:val="001A5CC6"/>
    <w:rsid w:val="001C2D8B"/>
    <w:rsid w:val="001D533C"/>
    <w:rsid w:val="001D7CBC"/>
    <w:rsid w:val="001E59F3"/>
    <w:rsid w:val="001F52F4"/>
    <w:rsid w:val="002016F8"/>
    <w:rsid w:val="00201983"/>
    <w:rsid w:val="002035AB"/>
    <w:rsid w:val="00210EF2"/>
    <w:rsid w:val="00236EBA"/>
    <w:rsid w:val="00257104"/>
    <w:rsid w:val="00267E98"/>
    <w:rsid w:val="00271A21"/>
    <w:rsid w:val="0028114F"/>
    <w:rsid w:val="00282D04"/>
    <w:rsid w:val="0028552C"/>
    <w:rsid w:val="00296983"/>
    <w:rsid w:val="002B3FE0"/>
    <w:rsid w:val="002B5F1D"/>
    <w:rsid w:val="002C7FE6"/>
    <w:rsid w:val="002D2DF0"/>
    <w:rsid w:val="002D36E2"/>
    <w:rsid w:val="00307615"/>
    <w:rsid w:val="0031103A"/>
    <w:rsid w:val="003136E3"/>
    <w:rsid w:val="00317415"/>
    <w:rsid w:val="00341503"/>
    <w:rsid w:val="00365BC3"/>
    <w:rsid w:val="003C1EFF"/>
    <w:rsid w:val="003D28A4"/>
    <w:rsid w:val="003E39C6"/>
    <w:rsid w:val="003F5AA4"/>
    <w:rsid w:val="004040A1"/>
    <w:rsid w:val="00424FBB"/>
    <w:rsid w:val="00437CBE"/>
    <w:rsid w:val="00455D1D"/>
    <w:rsid w:val="004A4C0D"/>
    <w:rsid w:val="004A7339"/>
    <w:rsid w:val="004B1350"/>
    <w:rsid w:val="004F1F2A"/>
    <w:rsid w:val="004F6C3F"/>
    <w:rsid w:val="00516BDA"/>
    <w:rsid w:val="00536354"/>
    <w:rsid w:val="00536B05"/>
    <w:rsid w:val="0055218C"/>
    <w:rsid w:val="0055609B"/>
    <w:rsid w:val="0059765D"/>
    <w:rsid w:val="005C50ED"/>
    <w:rsid w:val="005F15B9"/>
    <w:rsid w:val="005F747A"/>
    <w:rsid w:val="005F7C9B"/>
    <w:rsid w:val="00623E77"/>
    <w:rsid w:val="006656BE"/>
    <w:rsid w:val="006A2941"/>
    <w:rsid w:val="006B29BA"/>
    <w:rsid w:val="006F4200"/>
    <w:rsid w:val="006F4885"/>
    <w:rsid w:val="00746177"/>
    <w:rsid w:val="00777AF6"/>
    <w:rsid w:val="007948D7"/>
    <w:rsid w:val="007A2C96"/>
    <w:rsid w:val="007B0BC4"/>
    <w:rsid w:val="007C07EA"/>
    <w:rsid w:val="007C1E0C"/>
    <w:rsid w:val="007C4480"/>
    <w:rsid w:val="007C6582"/>
    <w:rsid w:val="007D73C8"/>
    <w:rsid w:val="007D7788"/>
    <w:rsid w:val="007E3F89"/>
    <w:rsid w:val="007F000B"/>
    <w:rsid w:val="00801263"/>
    <w:rsid w:val="008111A5"/>
    <w:rsid w:val="008519CF"/>
    <w:rsid w:val="00853ACB"/>
    <w:rsid w:val="00856358"/>
    <w:rsid w:val="00871C56"/>
    <w:rsid w:val="0087612F"/>
    <w:rsid w:val="008A3EE4"/>
    <w:rsid w:val="008B16D5"/>
    <w:rsid w:val="008B183A"/>
    <w:rsid w:val="00917D5C"/>
    <w:rsid w:val="0093676A"/>
    <w:rsid w:val="0095513B"/>
    <w:rsid w:val="00994A42"/>
    <w:rsid w:val="009B2364"/>
    <w:rsid w:val="009D0FBB"/>
    <w:rsid w:val="009D4FE8"/>
    <w:rsid w:val="00A02913"/>
    <w:rsid w:val="00A02AF1"/>
    <w:rsid w:val="00A06D94"/>
    <w:rsid w:val="00A122E1"/>
    <w:rsid w:val="00A153DC"/>
    <w:rsid w:val="00A22ABD"/>
    <w:rsid w:val="00A43D8E"/>
    <w:rsid w:val="00A56136"/>
    <w:rsid w:val="00A804B9"/>
    <w:rsid w:val="00A922D5"/>
    <w:rsid w:val="00AA4452"/>
    <w:rsid w:val="00AE1176"/>
    <w:rsid w:val="00B60E16"/>
    <w:rsid w:val="00B611F0"/>
    <w:rsid w:val="00B63F9D"/>
    <w:rsid w:val="00B952C4"/>
    <w:rsid w:val="00BA5395"/>
    <w:rsid w:val="00BE5482"/>
    <w:rsid w:val="00BF03BC"/>
    <w:rsid w:val="00BF5C9F"/>
    <w:rsid w:val="00C00ED3"/>
    <w:rsid w:val="00C107DC"/>
    <w:rsid w:val="00C22F60"/>
    <w:rsid w:val="00C43D65"/>
    <w:rsid w:val="00C7171A"/>
    <w:rsid w:val="00C945AB"/>
    <w:rsid w:val="00CB5DE6"/>
    <w:rsid w:val="00D0255A"/>
    <w:rsid w:val="00D279A1"/>
    <w:rsid w:val="00D34A75"/>
    <w:rsid w:val="00D63101"/>
    <w:rsid w:val="00D655FB"/>
    <w:rsid w:val="00D73646"/>
    <w:rsid w:val="00D81626"/>
    <w:rsid w:val="00D97308"/>
    <w:rsid w:val="00DD2422"/>
    <w:rsid w:val="00DD244E"/>
    <w:rsid w:val="00DF18F4"/>
    <w:rsid w:val="00E019D6"/>
    <w:rsid w:val="00E604DB"/>
    <w:rsid w:val="00E64400"/>
    <w:rsid w:val="00E65F51"/>
    <w:rsid w:val="00E8050C"/>
    <w:rsid w:val="00E94F6A"/>
    <w:rsid w:val="00E952A8"/>
    <w:rsid w:val="00EA088C"/>
    <w:rsid w:val="00EA387D"/>
    <w:rsid w:val="00EE7BE5"/>
    <w:rsid w:val="00EF384A"/>
    <w:rsid w:val="00F014A3"/>
    <w:rsid w:val="00F22DA6"/>
    <w:rsid w:val="00F43D0A"/>
    <w:rsid w:val="00F5790C"/>
    <w:rsid w:val="00F70A60"/>
    <w:rsid w:val="00F77101"/>
    <w:rsid w:val="00F97395"/>
    <w:rsid w:val="00FB0B06"/>
    <w:rsid w:val="00FD66C9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341503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415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150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4150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41503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341503"/>
    <w:rPr>
      <w:vertAlign w:val="superscript"/>
    </w:rPr>
  </w:style>
  <w:style w:type="paragraph" w:customStyle="1" w:styleId="PA">
    <w:name w:val="PA"/>
    <w:next w:val="Normal"/>
    <w:link w:val="PAChar"/>
    <w:rsid w:val="00341503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341503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415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3415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341503"/>
    <w:pPr>
      <w:spacing w:before="144"/>
      <w:jc w:val="both"/>
    </w:pPr>
    <w:rPr>
      <w:noProof/>
    </w:rPr>
  </w:style>
  <w:style w:type="paragraph" w:customStyle="1" w:styleId="PB">
    <w:name w:val="PB"/>
    <w:rsid w:val="00341503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341503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341503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41503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341503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41503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41503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41503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41503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41503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41503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41503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41503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341503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41503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341503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341503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341503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341503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34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341503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41503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41503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41503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41503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41503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41503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41503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41503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41503"/>
    <w:rPr>
      <w:rFonts w:ascii="Perpetua Std" w:hAnsi="Perpetua Std"/>
    </w:rPr>
  </w:style>
  <w:style w:type="paragraph" w:styleId="NoSpacing">
    <w:name w:val="No Spacing"/>
    <w:qFormat/>
    <w:rsid w:val="00341503"/>
    <w:rPr>
      <w:rFonts w:ascii="Perpetua" w:hAnsi="Perpetua"/>
    </w:rPr>
  </w:style>
  <w:style w:type="paragraph" w:customStyle="1" w:styleId="PCA">
    <w:name w:val="PCA"/>
    <w:rsid w:val="00341503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41503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41503"/>
    <w:rPr>
      <w:rFonts w:ascii="Perpetua Std" w:eastAsia="MS Mincho" w:hAnsi="Perpetua Std"/>
      <w:color w:val="000000"/>
      <w:sz w:val="22"/>
    </w:rPr>
  </w:style>
  <w:style w:type="character" w:styleId="EndnoteReference">
    <w:name w:val="endnote reference"/>
    <w:rsid w:val="00AA44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341503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415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150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4150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41503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341503"/>
    <w:rPr>
      <w:vertAlign w:val="superscript"/>
    </w:rPr>
  </w:style>
  <w:style w:type="paragraph" w:customStyle="1" w:styleId="PA">
    <w:name w:val="PA"/>
    <w:next w:val="Normal"/>
    <w:link w:val="PAChar"/>
    <w:rsid w:val="00341503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341503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415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3415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341503"/>
    <w:pPr>
      <w:spacing w:before="144"/>
      <w:jc w:val="both"/>
    </w:pPr>
    <w:rPr>
      <w:noProof/>
    </w:rPr>
  </w:style>
  <w:style w:type="paragraph" w:customStyle="1" w:styleId="PB">
    <w:name w:val="PB"/>
    <w:rsid w:val="00341503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341503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341503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41503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341503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41503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41503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41503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41503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41503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41503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41503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41503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341503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41503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341503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341503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341503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341503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34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341503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41503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41503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41503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41503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41503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41503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41503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41503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41503"/>
    <w:rPr>
      <w:rFonts w:ascii="Perpetua Std" w:hAnsi="Perpetua Std"/>
    </w:rPr>
  </w:style>
  <w:style w:type="paragraph" w:styleId="NoSpacing">
    <w:name w:val="No Spacing"/>
    <w:qFormat/>
    <w:rsid w:val="00341503"/>
    <w:rPr>
      <w:rFonts w:ascii="Perpetua" w:hAnsi="Perpetua"/>
    </w:rPr>
  </w:style>
  <w:style w:type="paragraph" w:customStyle="1" w:styleId="PCA">
    <w:name w:val="PCA"/>
    <w:rsid w:val="00341503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41503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41503"/>
    <w:rPr>
      <w:rFonts w:ascii="Perpetua Std" w:eastAsia="MS Mincho" w:hAnsi="Perpetua Std"/>
      <w:color w:val="000000"/>
      <w:sz w:val="22"/>
    </w:rPr>
  </w:style>
  <w:style w:type="character" w:styleId="EndnoteReference">
    <w:name w:val="endnote reference"/>
    <w:rsid w:val="00AA4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8566. How does a taxpayer determine whether income is excluded from net investment income based on the exception for income realized in the ordinary course of the taxpayer’s trade or business?</vt:lpstr>
    </vt:vector>
  </TitlesOfParts>
  <Company>Summit Business Media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8566. How does a taxpayer determine whether income is excluded from net investment income based on the exception for income realized in the ordinary course of the taxpayer’s trade or business?</dc:title>
  <dc:creator>Alexis Long</dc:creator>
  <cp:lastModifiedBy>rcline</cp:lastModifiedBy>
  <cp:revision>2</cp:revision>
  <cp:lastPrinted>2014-06-19T23:37:00Z</cp:lastPrinted>
  <dcterms:created xsi:type="dcterms:W3CDTF">2014-07-08T18:15:00Z</dcterms:created>
  <dcterms:modified xsi:type="dcterms:W3CDTF">2014-07-08T18:15:00Z</dcterms:modified>
</cp:coreProperties>
</file>