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CD" w:rsidRPr="008059CD" w:rsidRDefault="008059CD" w:rsidP="00B611F0">
      <w:pPr>
        <w:pStyle w:val="PA"/>
        <w:rPr>
          <w:b/>
        </w:rPr>
      </w:pPr>
      <w:r w:rsidRPr="008059CD">
        <w:rPr>
          <w:b/>
        </w:rPr>
        <w:t xml:space="preserve">8565.  How does gain on </w:t>
      </w:r>
      <w:r w:rsidR="00F401E5">
        <w:rPr>
          <w:b/>
        </w:rPr>
        <w:t>the sale of a taxpayer’s principal</w:t>
      </w:r>
      <w:r w:rsidRPr="008059CD">
        <w:rPr>
          <w:b/>
        </w:rPr>
        <w:t xml:space="preserve"> residence impact the determination of whether the taxpayer is subject to the investment income tax?</w:t>
      </w:r>
      <w:r w:rsidR="00F401E5">
        <w:rPr>
          <w:b/>
        </w:rPr>
        <w:t xml:space="preserve">  Also, is any or all of the gain subject to net investment income tax?</w:t>
      </w:r>
    </w:p>
    <w:p w:rsidR="00D279A1" w:rsidRDefault="00F401E5" w:rsidP="000C0AF4">
      <w:pPr>
        <w:pStyle w:val="PA"/>
        <w:rPr>
          <w:b/>
        </w:rPr>
      </w:pPr>
      <w:r>
        <w:t xml:space="preserve">The sale of a taxpayer’s principal residence is potentially includible in net investment income </w:t>
      </w:r>
      <w:r w:rsidR="00C22946">
        <w:t xml:space="preserve">as net gain from the sale of </w:t>
      </w:r>
      <w:r w:rsidR="00DD2DF1">
        <w:t>p</w:t>
      </w:r>
      <w:r w:rsidR="00C22946">
        <w:t>roperty.</w:t>
      </w:r>
      <w:r w:rsidR="00C22946">
        <w:rPr>
          <w:rStyle w:val="FootnoteReference"/>
        </w:rPr>
        <w:footnoteReference w:id="1"/>
      </w:r>
      <w:r w:rsidR="00C22946">
        <w:t xml:space="preserve">  However, </w:t>
      </w:r>
      <w:r w:rsidR="00722A83">
        <w:t xml:space="preserve">for </w:t>
      </w:r>
      <w:r w:rsidR="000C0AF4">
        <w:t>income tax purposes, a</w:t>
      </w:r>
      <w:r w:rsidR="000C0AF4" w:rsidRPr="00437CBE">
        <w:t xml:space="preserve"> single taxpayer exclude</w:t>
      </w:r>
      <w:r w:rsidR="00DD2DF1">
        <w:t>s</w:t>
      </w:r>
      <w:r w:rsidR="000C0AF4" w:rsidRPr="00437CBE">
        <w:t xml:space="preserve"> the first $250,000 of capital gain </w:t>
      </w:r>
      <w:r w:rsidR="009C7D59">
        <w:t xml:space="preserve">realized from </w:t>
      </w:r>
      <w:r w:rsidR="000C0AF4">
        <w:t xml:space="preserve">the sale </w:t>
      </w:r>
      <w:r w:rsidR="0098555E">
        <w:t>of a</w:t>
      </w:r>
      <w:r w:rsidR="000C0AF4">
        <w:t xml:space="preserve"> principal residence </w:t>
      </w:r>
      <w:r w:rsidR="000C0AF4" w:rsidRPr="00437CBE">
        <w:t xml:space="preserve">from </w:t>
      </w:r>
      <w:r w:rsidR="000C0AF4">
        <w:t>gross income</w:t>
      </w:r>
      <w:r w:rsidR="000C0AF4" w:rsidRPr="00437CBE">
        <w:t xml:space="preserve"> ($500,000 for a</w:t>
      </w:r>
      <w:r w:rsidR="000C0AF4">
        <w:t xml:space="preserve"> married couple filing jointly).</w:t>
      </w:r>
      <w:r w:rsidR="000C0AF4" w:rsidRPr="00EE7BE5">
        <w:rPr>
          <w:rStyle w:val="FootnoteReference"/>
          <w:color w:val="auto"/>
        </w:rPr>
        <w:footnoteReference w:id="2"/>
      </w:r>
      <w:r w:rsidR="000C0AF4">
        <w:t xml:space="preserve">  Since only amounts included in gross income for regular income tax purposes are included in net investment inc</w:t>
      </w:r>
      <w:r w:rsidR="0098555E">
        <w:t>ome, the same amount of gain</w:t>
      </w:r>
      <w:bookmarkStart w:id="0" w:name="_GoBack"/>
      <w:bookmarkEnd w:id="0"/>
      <w:r w:rsidR="000C0AF4">
        <w:t xml:space="preserve"> excluded from gross income is similarly excluded from net investment income.</w:t>
      </w:r>
      <w:r w:rsidR="000C0AF4" w:rsidRPr="00EE7BE5">
        <w:rPr>
          <w:rStyle w:val="FootnoteReference"/>
          <w:color w:val="auto"/>
        </w:rPr>
        <w:footnoteReference w:id="3"/>
      </w:r>
      <w:r w:rsidR="0027530A">
        <w:t xml:space="preserve">  </w:t>
      </w:r>
      <w:r w:rsidR="00722A83">
        <w:t xml:space="preserve">Consequently, </w:t>
      </w:r>
      <w:r w:rsidR="0027530A">
        <w:t>the portion of the gain from the sale of a principal residence that is included in gross income is also included in net investment income.</w:t>
      </w:r>
      <w:r w:rsidR="0027530A" w:rsidRPr="00EE7BE5">
        <w:rPr>
          <w:rStyle w:val="FootnoteReference"/>
          <w:color w:val="auto"/>
        </w:rPr>
        <w:footnoteReference w:id="4"/>
      </w:r>
    </w:p>
    <w:p w:rsidR="00437CBE" w:rsidRDefault="007C1E0C" w:rsidP="00B611F0">
      <w:pPr>
        <w:pStyle w:val="PN"/>
        <w:rPr>
          <w:rFonts w:hint="eastAsia"/>
          <w:sz w:val="24"/>
          <w:szCs w:val="24"/>
        </w:rPr>
      </w:pPr>
      <w:r w:rsidRPr="00C22946">
        <w:rPr>
          <w:i/>
          <w:sz w:val="24"/>
          <w:szCs w:val="24"/>
        </w:rPr>
        <w:t>Example:</w:t>
      </w:r>
      <w:r w:rsidRPr="00C22946">
        <w:rPr>
          <w:sz w:val="24"/>
          <w:szCs w:val="24"/>
        </w:rPr>
        <w:t xml:space="preserve"> In 2000, Dave and Janice purchased</w:t>
      </w:r>
      <w:r w:rsidR="00437CBE" w:rsidRPr="00C22946">
        <w:rPr>
          <w:sz w:val="24"/>
          <w:szCs w:val="24"/>
        </w:rPr>
        <w:t xml:space="preserve"> a </w:t>
      </w:r>
      <w:r w:rsidR="0027530A" w:rsidRPr="00C22946">
        <w:rPr>
          <w:sz w:val="24"/>
          <w:szCs w:val="24"/>
        </w:rPr>
        <w:t xml:space="preserve">principal residence </w:t>
      </w:r>
      <w:r w:rsidR="00437CBE" w:rsidRPr="00C22946">
        <w:rPr>
          <w:sz w:val="24"/>
          <w:szCs w:val="24"/>
        </w:rPr>
        <w:t>for $100,000</w:t>
      </w:r>
      <w:r w:rsidR="009B2364" w:rsidRPr="00C22946">
        <w:rPr>
          <w:sz w:val="24"/>
          <w:szCs w:val="24"/>
        </w:rPr>
        <w:t>.</w:t>
      </w:r>
      <w:r w:rsidR="00A02913" w:rsidRPr="00C22946">
        <w:rPr>
          <w:sz w:val="24"/>
          <w:szCs w:val="24"/>
        </w:rPr>
        <w:t xml:space="preserve"> </w:t>
      </w:r>
      <w:r w:rsidRPr="00C22946">
        <w:rPr>
          <w:sz w:val="24"/>
          <w:szCs w:val="24"/>
        </w:rPr>
        <w:t xml:space="preserve">In </w:t>
      </w:r>
      <w:r w:rsidR="001C4A69" w:rsidRPr="00C22946">
        <w:rPr>
          <w:sz w:val="24"/>
          <w:szCs w:val="24"/>
        </w:rPr>
        <w:t>2014</w:t>
      </w:r>
      <w:r w:rsidRPr="00C22946">
        <w:rPr>
          <w:sz w:val="24"/>
          <w:szCs w:val="24"/>
        </w:rPr>
        <w:t>, they sell the</w:t>
      </w:r>
      <w:r w:rsidR="0027530A" w:rsidRPr="00C22946">
        <w:rPr>
          <w:sz w:val="24"/>
          <w:szCs w:val="24"/>
        </w:rPr>
        <w:t xml:space="preserve">ir residence for </w:t>
      </w:r>
      <w:r w:rsidR="00437CBE" w:rsidRPr="00C22946">
        <w:rPr>
          <w:sz w:val="24"/>
          <w:szCs w:val="24"/>
        </w:rPr>
        <w:t>$700,000</w:t>
      </w:r>
      <w:r w:rsidR="0027530A" w:rsidRPr="00C22946">
        <w:rPr>
          <w:sz w:val="24"/>
          <w:szCs w:val="24"/>
        </w:rPr>
        <w:t xml:space="preserve"> realizing a </w:t>
      </w:r>
      <w:r w:rsidR="00D279A1" w:rsidRPr="00C22946">
        <w:rPr>
          <w:sz w:val="24"/>
          <w:szCs w:val="24"/>
        </w:rPr>
        <w:t xml:space="preserve">total </w:t>
      </w:r>
      <w:r w:rsidR="00437CBE" w:rsidRPr="00C22946">
        <w:rPr>
          <w:sz w:val="24"/>
          <w:szCs w:val="24"/>
        </w:rPr>
        <w:t xml:space="preserve">gain </w:t>
      </w:r>
      <w:r w:rsidR="0027530A" w:rsidRPr="00C22946">
        <w:rPr>
          <w:sz w:val="24"/>
          <w:szCs w:val="24"/>
        </w:rPr>
        <w:t xml:space="preserve">of </w:t>
      </w:r>
      <w:r w:rsidR="00437CBE" w:rsidRPr="00C22946">
        <w:rPr>
          <w:sz w:val="24"/>
          <w:szCs w:val="24"/>
        </w:rPr>
        <w:t>$600,000.</w:t>
      </w:r>
      <w:r w:rsidR="00A02913" w:rsidRPr="00C22946">
        <w:rPr>
          <w:sz w:val="24"/>
          <w:szCs w:val="24"/>
        </w:rPr>
        <w:t xml:space="preserve"> </w:t>
      </w:r>
      <w:r w:rsidR="0027530A" w:rsidRPr="00C22946">
        <w:rPr>
          <w:sz w:val="24"/>
          <w:szCs w:val="24"/>
        </w:rPr>
        <w:t xml:space="preserve">Pursuant to IRC Section 121, </w:t>
      </w:r>
      <w:r w:rsidR="00437CBE" w:rsidRPr="00C22946">
        <w:rPr>
          <w:sz w:val="24"/>
          <w:szCs w:val="24"/>
        </w:rPr>
        <w:t>$500,000</w:t>
      </w:r>
      <w:r w:rsidR="009B2364" w:rsidRPr="00C22946">
        <w:rPr>
          <w:sz w:val="24"/>
          <w:szCs w:val="24"/>
        </w:rPr>
        <w:t xml:space="preserve"> of the gain </w:t>
      </w:r>
      <w:r w:rsidR="0027530A" w:rsidRPr="00C22946">
        <w:rPr>
          <w:sz w:val="24"/>
          <w:szCs w:val="24"/>
        </w:rPr>
        <w:t xml:space="preserve">is excluded from gross income and from net investment income.  However, $100,000 of the gain (the amount exceeding the $500,000 exclusion) </w:t>
      </w:r>
      <w:r w:rsidR="00807897">
        <w:rPr>
          <w:sz w:val="24"/>
          <w:szCs w:val="24"/>
        </w:rPr>
        <w:t>is</w:t>
      </w:r>
      <w:r w:rsidR="0027530A" w:rsidRPr="00C22946">
        <w:rPr>
          <w:sz w:val="24"/>
          <w:szCs w:val="24"/>
        </w:rPr>
        <w:t xml:space="preserve"> includible in gross income and </w:t>
      </w:r>
      <w:r w:rsidR="00722A83">
        <w:rPr>
          <w:sz w:val="24"/>
          <w:szCs w:val="24"/>
        </w:rPr>
        <w:t xml:space="preserve">in </w:t>
      </w:r>
      <w:r w:rsidR="0027530A" w:rsidRPr="00C22946">
        <w:rPr>
          <w:sz w:val="24"/>
          <w:szCs w:val="24"/>
        </w:rPr>
        <w:t>net investment income.</w:t>
      </w:r>
      <w:r w:rsidR="00C22946">
        <w:rPr>
          <w:sz w:val="24"/>
          <w:szCs w:val="24"/>
        </w:rPr>
        <w:t xml:space="preserve">  In addition, Dave and Janice have dividend and interest income of $200,000.  Their AGI is $425,000.  </w:t>
      </w:r>
    </w:p>
    <w:p w:rsidR="00C22946" w:rsidRDefault="00C22946" w:rsidP="00C22946">
      <w:pPr>
        <w:pStyle w:val="PN"/>
        <w:ind w:left="0" w:firstLine="0"/>
        <w:rPr>
          <w:rFonts w:hint="eastAsia"/>
          <w:sz w:val="24"/>
          <w:szCs w:val="24"/>
        </w:rPr>
      </w:pPr>
      <w:r>
        <w:rPr>
          <w:sz w:val="24"/>
          <w:szCs w:val="24"/>
        </w:rPr>
        <w:t>Applying the formula (see Q 8559), the 3.8% net investment tax is imposed on the lesser of:</w:t>
      </w:r>
    </w:p>
    <w:p w:rsidR="00C22946" w:rsidRDefault="00C22946" w:rsidP="00C22946">
      <w:pPr>
        <w:pStyle w:val="PN"/>
        <w:numPr>
          <w:ilvl w:val="0"/>
          <w:numId w:val="18"/>
        </w:numPr>
        <w:rPr>
          <w:rFonts w:hint="eastAsia"/>
          <w:sz w:val="24"/>
          <w:szCs w:val="24"/>
        </w:rPr>
      </w:pPr>
      <w:r>
        <w:rPr>
          <w:sz w:val="24"/>
          <w:szCs w:val="24"/>
        </w:rPr>
        <w:t>Net investment income of  $200,000 (interest and dividends) plus $100,000 (taxable gain on sale of principal residence), a total of $300,000; or</w:t>
      </w:r>
    </w:p>
    <w:p w:rsidR="00807897" w:rsidRDefault="00C22946" w:rsidP="00807897">
      <w:pPr>
        <w:pStyle w:val="PN"/>
        <w:numPr>
          <w:ilvl w:val="0"/>
          <w:numId w:val="18"/>
        </w:numPr>
        <w:rPr>
          <w:rFonts w:hint="eastAsia"/>
          <w:sz w:val="24"/>
          <w:szCs w:val="24"/>
        </w:rPr>
      </w:pPr>
      <w:r>
        <w:rPr>
          <w:sz w:val="24"/>
          <w:szCs w:val="24"/>
        </w:rPr>
        <w:t>The excess of (</w:t>
      </w:r>
      <w:proofErr w:type="spellStart"/>
      <w:r>
        <w:rPr>
          <w:sz w:val="24"/>
          <w:szCs w:val="24"/>
        </w:rPr>
        <w:t>i</w:t>
      </w:r>
      <w:proofErr w:type="spellEnd"/>
      <w:r>
        <w:rPr>
          <w:sz w:val="24"/>
          <w:szCs w:val="24"/>
        </w:rPr>
        <w:t>) AGI of $4</w:t>
      </w:r>
      <w:r w:rsidR="00807897">
        <w:rPr>
          <w:sz w:val="24"/>
          <w:szCs w:val="24"/>
        </w:rPr>
        <w:t>25</w:t>
      </w:r>
      <w:r>
        <w:rPr>
          <w:sz w:val="24"/>
          <w:szCs w:val="24"/>
        </w:rPr>
        <w:t>,000 over (ii) the applicable threshold amount of $250,000</w:t>
      </w:r>
      <w:r w:rsidR="00807897">
        <w:rPr>
          <w:sz w:val="24"/>
          <w:szCs w:val="24"/>
        </w:rPr>
        <w:t xml:space="preserve"> (married couple filing jointly)</w:t>
      </w:r>
      <w:r>
        <w:rPr>
          <w:sz w:val="24"/>
          <w:szCs w:val="24"/>
        </w:rPr>
        <w:t>, or $1</w:t>
      </w:r>
      <w:r w:rsidR="00807897">
        <w:rPr>
          <w:sz w:val="24"/>
          <w:szCs w:val="24"/>
        </w:rPr>
        <w:t>75,000.</w:t>
      </w:r>
    </w:p>
    <w:p w:rsidR="00807897" w:rsidRPr="00807897" w:rsidRDefault="00807897" w:rsidP="00807897">
      <w:pPr>
        <w:pStyle w:val="PN"/>
        <w:ind w:left="0" w:firstLine="0"/>
        <w:rPr>
          <w:rFonts w:hint="eastAsia"/>
          <w:sz w:val="24"/>
          <w:szCs w:val="24"/>
        </w:rPr>
      </w:pPr>
      <w:r>
        <w:rPr>
          <w:sz w:val="24"/>
          <w:szCs w:val="24"/>
        </w:rPr>
        <w:t xml:space="preserve">  As illustrated in this example, the taxpayers’ net investment income includes the interest and dividend income of $200,000 plus only $100,000 of the $600,000 gain from the sale of their principal residence.  Th</w:t>
      </w:r>
      <w:r w:rsidR="00722A83">
        <w:rPr>
          <w:sz w:val="24"/>
          <w:szCs w:val="24"/>
        </w:rPr>
        <w:t xml:space="preserve">e excluded gain of </w:t>
      </w:r>
      <w:r>
        <w:rPr>
          <w:sz w:val="24"/>
          <w:szCs w:val="24"/>
        </w:rPr>
        <w:t xml:space="preserve">$500,000 </w:t>
      </w:r>
      <w:r w:rsidR="00722A83">
        <w:rPr>
          <w:sz w:val="24"/>
          <w:szCs w:val="24"/>
        </w:rPr>
        <w:t xml:space="preserve">pursuant to </w:t>
      </w:r>
      <w:r>
        <w:rPr>
          <w:sz w:val="24"/>
          <w:szCs w:val="24"/>
        </w:rPr>
        <w:t>IRC Section 121</w:t>
      </w:r>
      <w:r w:rsidR="00722A83">
        <w:rPr>
          <w:sz w:val="24"/>
          <w:szCs w:val="24"/>
        </w:rPr>
        <w:t xml:space="preserve"> does not factor in</w:t>
      </w:r>
      <w:r w:rsidR="00DD2DF1">
        <w:rPr>
          <w:sz w:val="24"/>
          <w:szCs w:val="24"/>
        </w:rPr>
        <w:t>to</w:t>
      </w:r>
      <w:r w:rsidR="00722A83">
        <w:rPr>
          <w:sz w:val="24"/>
          <w:szCs w:val="24"/>
        </w:rPr>
        <w:t xml:space="preserve"> the computation</w:t>
      </w:r>
      <w:r>
        <w:rPr>
          <w:sz w:val="24"/>
          <w:szCs w:val="24"/>
        </w:rPr>
        <w:t xml:space="preserve">.  In other words, the amount of gain included in gross income is also the amount of gain treated as net investment income.  Thus, because the excess of AGI over the applicable threshold amount </w:t>
      </w:r>
      <w:r w:rsidR="00722A83">
        <w:rPr>
          <w:sz w:val="24"/>
          <w:szCs w:val="24"/>
        </w:rPr>
        <w:t xml:space="preserve">($175.000) </w:t>
      </w:r>
      <w:r>
        <w:rPr>
          <w:sz w:val="24"/>
          <w:szCs w:val="24"/>
        </w:rPr>
        <w:t>is less than the taxpayers’ net investment income</w:t>
      </w:r>
      <w:r w:rsidR="00722A83">
        <w:rPr>
          <w:sz w:val="24"/>
          <w:szCs w:val="24"/>
        </w:rPr>
        <w:t xml:space="preserve"> ($300,000)</w:t>
      </w:r>
      <w:r>
        <w:rPr>
          <w:sz w:val="24"/>
          <w:szCs w:val="24"/>
        </w:rPr>
        <w:t xml:space="preserve">, the 3.8% tax is imposed on the lesser amount. </w:t>
      </w:r>
    </w:p>
    <w:p w:rsidR="00B611F0" w:rsidRPr="00B611F0" w:rsidRDefault="00B611F0" w:rsidP="00B611F0"/>
    <w:sectPr w:rsidR="00B611F0" w:rsidRPr="00B611F0"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D33" w:rsidRDefault="00654D33" w:rsidP="00536B05">
      <w:r>
        <w:separator/>
      </w:r>
    </w:p>
  </w:endnote>
  <w:endnote w:type="continuationSeparator" w:id="0">
    <w:p w:rsidR="00654D33" w:rsidRDefault="00654D33" w:rsidP="005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LT Std">
    <w:altName w:val="Cambria"/>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D33" w:rsidRDefault="00654D33" w:rsidP="00536B05">
      <w:r>
        <w:separator/>
      </w:r>
    </w:p>
  </w:footnote>
  <w:footnote w:type="continuationSeparator" w:id="0">
    <w:p w:rsidR="00654D33" w:rsidRDefault="00654D33" w:rsidP="00536B05">
      <w:r>
        <w:continuationSeparator/>
      </w:r>
    </w:p>
  </w:footnote>
  <w:footnote w:id="1">
    <w:p w:rsidR="00C22946" w:rsidRDefault="00C22946">
      <w:pPr>
        <w:pStyle w:val="FootnoteText"/>
      </w:pPr>
      <w:r>
        <w:rPr>
          <w:rStyle w:val="FootnoteReference"/>
        </w:rPr>
        <w:footnoteRef/>
      </w:r>
      <w:r>
        <w:t xml:space="preserve">      IRC Sec. 1411(c</w:t>
      </w:r>
      <w:proofErr w:type="gramStart"/>
      <w:r>
        <w:t>)(</w:t>
      </w:r>
      <w:proofErr w:type="gramEnd"/>
      <w:r>
        <w:t>1)(A)(iii).  It is treated as investment income because it is not property held in a trade or business in which the taxpayer materially participates.</w:t>
      </w:r>
    </w:p>
  </w:footnote>
  <w:footnote w:id="2">
    <w:p w:rsidR="000C0AF4" w:rsidRPr="00B611F0" w:rsidRDefault="000C0AF4" w:rsidP="000C0AF4">
      <w:pPr>
        <w:pStyle w:val="PQ"/>
      </w:pPr>
      <w:r w:rsidRPr="00B611F0">
        <w:rPr>
          <w:rStyle w:val="FootnoteReference"/>
          <w:vertAlign w:val="baseline"/>
        </w:rPr>
        <w:footnoteRef/>
      </w:r>
      <w:r>
        <w:t>.</w:t>
      </w:r>
      <w:r>
        <w:tab/>
      </w:r>
      <w:r w:rsidRPr="00B611F0">
        <w:t xml:space="preserve">IRC Sec. </w:t>
      </w:r>
      <w:proofErr w:type="gramStart"/>
      <w:r w:rsidRPr="00B611F0">
        <w:t>121(a</w:t>
      </w:r>
      <w:proofErr w:type="gramEnd"/>
      <w:r w:rsidRPr="00B611F0">
        <w:t>).</w:t>
      </w:r>
    </w:p>
  </w:footnote>
  <w:footnote w:id="3">
    <w:p w:rsidR="000C0AF4" w:rsidRPr="00B611F0" w:rsidRDefault="000C0AF4" w:rsidP="000C0AF4">
      <w:pPr>
        <w:pStyle w:val="PQ"/>
      </w:pPr>
      <w:r w:rsidRPr="00B611F0">
        <w:rPr>
          <w:rStyle w:val="FootnoteReference"/>
          <w:vertAlign w:val="baseline"/>
        </w:rPr>
        <w:footnoteRef/>
      </w:r>
      <w:r>
        <w:t>.</w:t>
      </w:r>
      <w:r>
        <w:tab/>
      </w:r>
      <w:r w:rsidRPr="00B611F0">
        <w:t xml:space="preserve">Treas. Reg. </w:t>
      </w:r>
      <w:r w:rsidRPr="007B0BC4">
        <w:t>§</w:t>
      </w:r>
      <w:r>
        <w:t>1.1411-1(d</w:t>
      </w:r>
      <w:proofErr w:type="gramStart"/>
      <w:r>
        <w:t>)(</w:t>
      </w:r>
      <w:proofErr w:type="gramEnd"/>
      <w:r>
        <w:t>4)(</w:t>
      </w:r>
      <w:proofErr w:type="spellStart"/>
      <w:r>
        <w:t>i</w:t>
      </w:r>
      <w:proofErr w:type="spellEnd"/>
      <w:r>
        <w:t>).</w:t>
      </w:r>
      <w:r w:rsidRPr="00B611F0">
        <w:t>.</w:t>
      </w:r>
    </w:p>
  </w:footnote>
  <w:footnote w:id="4">
    <w:p w:rsidR="0027530A" w:rsidRPr="00B611F0" w:rsidRDefault="0027530A" w:rsidP="0027530A">
      <w:pPr>
        <w:pStyle w:val="PQ"/>
      </w:pPr>
      <w:r w:rsidRPr="00B611F0">
        <w:rPr>
          <w:rStyle w:val="FootnoteReference"/>
          <w:vertAlign w:val="baseline"/>
        </w:rPr>
        <w:footnoteRef/>
      </w:r>
      <w:r>
        <w:t>.</w:t>
      </w:r>
      <w:r>
        <w:tab/>
        <w:t>IRC Section 1411(c</w:t>
      </w:r>
      <w:proofErr w:type="gramStart"/>
      <w:r>
        <w:t>)(</w:t>
      </w:r>
      <w:proofErr w:type="gramEnd"/>
      <w:r>
        <w:t>1)(A)(iii).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BB42CE"/>
    <w:multiLevelType w:val="hybridMultilevel"/>
    <w:tmpl w:val="BF06F940"/>
    <w:lvl w:ilvl="0" w:tplc="60EC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13ADF"/>
    <w:multiLevelType w:val="hybridMultilevel"/>
    <w:tmpl w:val="F96AFDE4"/>
    <w:lvl w:ilvl="0" w:tplc="86F84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0E0CC4"/>
    <w:multiLevelType w:val="hybridMultilevel"/>
    <w:tmpl w:val="B5FE802C"/>
    <w:lvl w:ilvl="0" w:tplc="1D187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3BC110BE"/>
    <w:multiLevelType w:val="hybridMultilevel"/>
    <w:tmpl w:val="9AE02338"/>
    <w:lvl w:ilvl="0" w:tplc="A9B40A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084466"/>
    <w:multiLevelType w:val="hybridMultilevel"/>
    <w:tmpl w:val="20E2C94C"/>
    <w:lvl w:ilvl="0" w:tplc="1C4AC2D0">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1B2CBE"/>
    <w:multiLevelType w:val="singleLevel"/>
    <w:tmpl w:val="0409000F"/>
    <w:lvl w:ilvl="0">
      <w:start w:val="1"/>
      <w:numFmt w:val="decimal"/>
      <w:lvlText w:val="%1."/>
      <w:lvlJc w:val="left"/>
      <w:pPr>
        <w:tabs>
          <w:tab w:val="num" w:pos="360"/>
        </w:tabs>
        <w:ind w:left="360" w:hanging="360"/>
      </w:pPr>
    </w:lvl>
  </w:abstractNum>
  <w:abstractNum w:abstractNumId="12">
    <w:nsid w:val="597F1EEF"/>
    <w:multiLevelType w:val="hybridMultilevel"/>
    <w:tmpl w:val="AE080146"/>
    <w:lvl w:ilvl="0" w:tplc="D372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4">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5592209"/>
    <w:multiLevelType w:val="hybridMultilevel"/>
    <w:tmpl w:val="601CAE42"/>
    <w:lvl w:ilvl="0" w:tplc="E9261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0"/>
  </w:num>
  <w:num w:numId="2">
    <w:abstractNumId w:val="15"/>
  </w:num>
  <w:num w:numId="3">
    <w:abstractNumId w:val="5"/>
  </w:num>
  <w:num w:numId="4">
    <w:abstractNumId w:val="8"/>
  </w:num>
  <w:num w:numId="5">
    <w:abstractNumId w:val="12"/>
  </w:num>
  <w:num w:numId="6">
    <w:abstractNumId w:val="3"/>
  </w:num>
  <w:num w:numId="7">
    <w:abstractNumId w:val="13"/>
  </w:num>
  <w:num w:numId="8">
    <w:abstractNumId w:val="0"/>
  </w:num>
  <w:num w:numId="9">
    <w:abstractNumId w:val="7"/>
  </w:num>
  <w:num w:numId="10">
    <w:abstractNumId w:val="17"/>
  </w:num>
  <w:num w:numId="11">
    <w:abstractNumId w:val="6"/>
  </w:num>
  <w:num w:numId="12">
    <w:abstractNumId w:val="11"/>
  </w:num>
  <w:num w:numId="13">
    <w:abstractNumId w:val="1"/>
  </w:num>
  <w:num w:numId="14">
    <w:abstractNumId w:val="2"/>
  </w:num>
  <w:num w:numId="15">
    <w:abstractNumId w:val="14"/>
  </w:num>
  <w:num w:numId="16">
    <w:abstractNumId w:val="1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ED"/>
    <w:rsid w:val="00012D94"/>
    <w:rsid w:val="00025E46"/>
    <w:rsid w:val="0003025A"/>
    <w:rsid w:val="00044AB9"/>
    <w:rsid w:val="00060618"/>
    <w:rsid w:val="00065361"/>
    <w:rsid w:val="00094E50"/>
    <w:rsid w:val="000A37F8"/>
    <w:rsid w:val="000B6BE9"/>
    <w:rsid w:val="000C0AF4"/>
    <w:rsid w:val="000C1C63"/>
    <w:rsid w:val="000D179D"/>
    <w:rsid w:val="000D7E02"/>
    <w:rsid w:val="00114A17"/>
    <w:rsid w:val="00114F7E"/>
    <w:rsid w:val="0011643A"/>
    <w:rsid w:val="00133EA9"/>
    <w:rsid w:val="00166A3D"/>
    <w:rsid w:val="001A5CC6"/>
    <w:rsid w:val="001C2D8B"/>
    <w:rsid w:val="001C4A69"/>
    <w:rsid w:val="001D533C"/>
    <w:rsid w:val="001E59F3"/>
    <w:rsid w:val="001F52F4"/>
    <w:rsid w:val="00236EBA"/>
    <w:rsid w:val="00257104"/>
    <w:rsid w:val="00267E98"/>
    <w:rsid w:val="00271A21"/>
    <w:rsid w:val="0027530A"/>
    <w:rsid w:val="00282D04"/>
    <w:rsid w:val="0028552C"/>
    <w:rsid w:val="00296983"/>
    <w:rsid w:val="002B3FE0"/>
    <w:rsid w:val="002C7FE6"/>
    <w:rsid w:val="00307615"/>
    <w:rsid w:val="003136E3"/>
    <w:rsid w:val="00317415"/>
    <w:rsid w:val="00332E09"/>
    <w:rsid w:val="00365BC3"/>
    <w:rsid w:val="003F5AA4"/>
    <w:rsid w:val="00424FBB"/>
    <w:rsid w:val="0042598C"/>
    <w:rsid w:val="00437CBE"/>
    <w:rsid w:val="00455D1D"/>
    <w:rsid w:val="004A4C0D"/>
    <w:rsid w:val="004A7339"/>
    <w:rsid w:val="004B1350"/>
    <w:rsid w:val="004F1F2A"/>
    <w:rsid w:val="004F6C3F"/>
    <w:rsid w:val="00516BDA"/>
    <w:rsid w:val="00536354"/>
    <w:rsid w:val="00536B05"/>
    <w:rsid w:val="0055218C"/>
    <w:rsid w:val="0055609B"/>
    <w:rsid w:val="0059765D"/>
    <w:rsid w:val="005C50ED"/>
    <w:rsid w:val="005F747A"/>
    <w:rsid w:val="005F7C9B"/>
    <w:rsid w:val="00623DA5"/>
    <w:rsid w:val="00623E77"/>
    <w:rsid w:val="006302D5"/>
    <w:rsid w:val="00654D33"/>
    <w:rsid w:val="006656BE"/>
    <w:rsid w:val="006A2941"/>
    <w:rsid w:val="006B29BA"/>
    <w:rsid w:val="006F4200"/>
    <w:rsid w:val="006F4885"/>
    <w:rsid w:val="00722A83"/>
    <w:rsid w:val="00746177"/>
    <w:rsid w:val="00777AF6"/>
    <w:rsid w:val="007948D7"/>
    <w:rsid w:val="007B0BC4"/>
    <w:rsid w:val="007C1E0C"/>
    <w:rsid w:val="007C6582"/>
    <w:rsid w:val="007D73C8"/>
    <w:rsid w:val="007D7788"/>
    <w:rsid w:val="007F000B"/>
    <w:rsid w:val="008042A4"/>
    <w:rsid w:val="008059CD"/>
    <w:rsid w:val="00807897"/>
    <w:rsid w:val="00853ACB"/>
    <w:rsid w:val="00856358"/>
    <w:rsid w:val="008B16D5"/>
    <w:rsid w:val="008B183A"/>
    <w:rsid w:val="00917D5C"/>
    <w:rsid w:val="0093676A"/>
    <w:rsid w:val="0094622A"/>
    <w:rsid w:val="00960AD7"/>
    <w:rsid w:val="0098555E"/>
    <w:rsid w:val="00994A42"/>
    <w:rsid w:val="009B2364"/>
    <w:rsid w:val="009C7D59"/>
    <w:rsid w:val="00A02913"/>
    <w:rsid w:val="00A02AF1"/>
    <w:rsid w:val="00A06D94"/>
    <w:rsid w:val="00A153DC"/>
    <w:rsid w:val="00A22ABD"/>
    <w:rsid w:val="00A43D8E"/>
    <w:rsid w:val="00A56136"/>
    <w:rsid w:val="00A804B9"/>
    <w:rsid w:val="00A83098"/>
    <w:rsid w:val="00A922D5"/>
    <w:rsid w:val="00B611F0"/>
    <w:rsid w:val="00B952C4"/>
    <w:rsid w:val="00BA5395"/>
    <w:rsid w:val="00BB1B2E"/>
    <w:rsid w:val="00BE5482"/>
    <w:rsid w:val="00C00ED3"/>
    <w:rsid w:val="00C107DC"/>
    <w:rsid w:val="00C22946"/>
    <w:rsid w:val="00C46D9C"/>
    <w:rsid w:val="00C7171A"/>
    <w:rsid w:val="00C93D74"/>
    <w:rsid w:val="00C945AB"/>
    <w:rsid w:val="00CB5DE6"/>
    <w:rsid w:val="00D0255A"/>
    <w:rsid w:val="00D279A1"/>
    <w:rsid w:val="00D34A75"/>
    <w:rsid w:val="00D63101"/>
    <w:rsid w:val="00D655FB"/>
    <w:rsid w:val="00D81626"/>
    <w:rsid w:val="00D97308"/>
    <w:rsid w:val="00DD2422"/>
    <w:rsid w:val="00DD2DF1"/>
    <w:rsid w:val="00DF18F4"/>
    <w:rsid w:val="00E019D6"/>
    <w:rsid w:val="00E604DB"/>
    <w:rsid w:val="00E64400"/>
    <w:rsid w:val="00E8050C"/>
    <w:rsid w:val="00E94F6A"/>
    <w:rsid w:val="00EA088C"/>
    <w:rsid w:val="00EB7FBF"/>
    <w:rsid w:val="00ED74C0"/>
    <w:rsid w:val="00EE5848"/>
    <w:rsid w:val="00EE7BE5"/>
    <w:rsid w:val="00EF384A"/>
    <w:rsid w:val="00F22DA6"/>
    <w:rsid w:val="00F401E5"/>
    <w:rsid w:val="00F43D0A"/>
    <w:rsid w:val="00F5790C"/>
    <w:rsid w:val="00F77101"/>
    <w:rsid w:val="00F97395"/>
    <w:rsid w:val="00FE1161"/>
    <w:rsid w:val="00FF3AF6"/>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93D74"/>
    <w:rPr>
      <w:rFonts w:ascii="Perpetua Std" w:hAnsi="Perpetua Std"/>
    </w:rPr>
  </w:style>
  <w:style w:type="paragraph" w:styleId="Heading1">
    <w:name w:val="heading 1"/>
    <w:basedOn w:val="Normal"/>
    <w:next w:val="Normal"/>
    <w:link w:val="Heading1Char"/>
    <w:qFormat/>
    <w:rsid w:val="00C93D74"/>
    <w:pPr>
      <w:keepNext/>
      <w:outlineLvl w:val="0"/>
    </w:pPr>
    <w:rPr>
      <w:b/>
    </w:rPr>
  </w:style>
  <w:style w:type="paragraph" w:styleId="Heading2">
    <w:name w:val="heading 2"/>
    <w:basedOn w:val="Normal"/>
    <w:next w:val="Normal"/>
    <w:link w:val="Heading2Char"/>
    <w:qFormat/>
    <w:rsid w:val="00C93D74"/>
    <w:pPr>
      <w:keepNext/>
      <w:spacing w:before="240" w:after="60"/>
      <w:outlineLvl w:val="1"/>
    </w:pPr>
    <w:rPr>
      <w:rFonts w:ascii="Arial" w:hAnsi="Arial"/>
      <w:b/>
      <w:i/>
      <w:sz w:val="24"/>
    </w:rPr>
  </w:style>
  <w:style w:type="paragraph" w:styleId="Heading3">
    <w:name w:val="heading 3"/>
    <w:basedOn w:val="Normal"/>
    <w:next w:val="Normal"/>
    <w:link w:val="Heading3Char"/>
    <w:qFormat/>
    <w:rsid w:val="00C93D7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C93D74"/>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C93D74"/>
    <w:rPr>
      <w:vertAlign w:val="superscript"/>
    </w:rPr>
  </w:style>
  <w:style w:type="paragraph" w:customStyle="1" w:styleId="PA">
    <w:name w:val="PA"/>
    <w:next w:val="Normal"/>
    <w:link w:val="PAChar"/>
    <w:rsid w:val="00C93D74"/>
    <w:pPr>
      <w:spacing w:after="240"/>
      <w:ind w:firstLine="288"/>
      <w:jc w:val="both"/>
    </w:pPr>
    <w:rPr>
      <w:rFonts w:ascii="Perpetua Std" w:hAnsi="Perpetua Std"/>
      <w:color w:val="000000"/>
      <w:sz w:val="24"/>
    </w:rPr>
  </w:style>
  <w:style w:type="character" w:customStyle="1" w:styleId="PAChar">
    <w:name w:val="PA Char"/>
    <w:link w:val="PA"/>
    <w:rsid w:val="00C93D74"/>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C93D74"/>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C93D74"/>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C93D74"/>
    <w:pPr>
      <w:spacing w:before="144"/>
      <w:jc w:val="both"/>
    </w:pPr>
    <w:rPr>
      <w:noProof/>
    </w:rPr>
  </w:style>
  <w:style w:type="paragraph" w:customStyle="1" w:styleId="PB">
    <w:name w:val="PB"/>
    <w:rsid w:val="00C93D74"/>
    <w:pPr>
      <w:spacing w:after="240"/>
      <w:jc w:val="both"/>
    </w:pPr>
    <w:rPr>
      <w:rFonts w:ascii="Perpetua Std" w:hAnsi="Perpetua Std"/>
      <w:color w:val="000000"/>
      <w:sz w:val="24"/>
    </w:rPr>
  </w:style>
  <w:style w:type="paragraph" w:customStyle="1" w:styleId="PC">
    <w:name w:val="PC"/>
    <w:rsid w:val="00C93D74"/>
    <w:pPr>
      <w:tabs>
        <w:tab w:val="left" w:pos="720"/>
      </w:tabs>
      <w:spacing w:after="240"/>
      <w:ind w:left="720" w:hanging="360"/>
      <w:jc w:val="both"/>
    </w:pPr>
    <w:rPr>
      <w:rFonts w:ascii="Perpetua Std" w:hAnsi="Perpetua Std"/>
      <w:color w:val="000000"/>
      <w:sz w:val="24"/>
    </w:rPr>
  </w:style>
  <w:style w:type="paragraph" w:customStyle="1" w:styleId="PD">
    <w:name w:val="PD"/>
    <w:rsid w:val="00C93D74"/>
    <w:pPr>
      <w:spacing w:after="240"/>
      <w:ind w:left="720" w:firstLine="288"/>
      <w:jc w:val="both"/>
    </w:pPr>
    <w:rPr>
      <w:rFonts w:ascii="Perpetua Std" w:hAnsi="Perpetua Std"/>
      <w:color w:val="000000"/>
      <w:sz w:val="24"/>
    </w:rPr>
  </w:style>
  <w:style w:type="paragraph" w:customStyle="1" w:styleId="PE">
    <w:name w:val="PE"/>
    <w:rsid w:val="00C93D74"/>
    <w:pPr>
      <w:spacing w:after="240"/>
      <w:ind w:left="720"/>
      <w:jc w:val="both"/>
    </w:pPr>
    <w:rPr>
      <w:rFonts w:ascii="Perpetua Std" w:hAnsi="Perpetua Std"/>
      <w:color w:val="000000"/>
      <w:sz w:val="24"/>
    </w:rPr>
  </w:style>
  <w:style w:type="paragraph" w:customStyle="1" w:styleId="PF">
    <w:name w:val="PF"/>
    <w:rsid w:val="00C93D74"/>
    <w:pPr>
      <w:tabs>
        <w:tab w:val="left" w:pos="1080"/>
      </w:tabs>
      <w:spacing w:after="240"/>
      <w:ind w:left="1080" w:hanging="360"/>
      <w:jc w:val="both"/>
    </w:pPr>
    <w:rPr>
      <w:rFonts w:ascii="Perpetua Std" w:hAnsi="Perpetua Std"/>
      <w:color w:val="000000"/>
      <w:sz w:val="24"/>
    </w:rPr>
  </w:style>
  <w:style w:type="paragraph" w:customStyle="1" w:styleId="PG">
    <w:name w:val="PG"/>
    <w:rsid w:val="00C93D74"/>
    <w:pPr>
      <w:spacing w:after="240"/>
      <w:ind w:left="360"/>
      <w:jc w:val="both"/>
    </w:pPr>
    <w:rPr>
      <w:rFonts w:ascii="Perpetua Std" w:hAnsi="Perpetua Std"/>
      <w:color w:val="000000"/>
      <w:sz w:val="24"/>
    </w:rPr>
  </w:style>
  <w:style w:type="paragraph" w:customStyle="1" w:styleId="PH">
    <w:name w:val="PH"/>
    <w:rsid w:val="00C93D74"/>
    <w:pPr>
      <w:tabs>
        <w:tab w:val="left" w:pos="360"/>
      </w:tabs>
      <w:spacing w:after="240"/>
      <w:ind w:left="360" w:hanging="360"/>
      <w:jc w:val="both"/>
    </w:pPr>
    <w:rPr>
      <w:rFonts w:ascii="Perpetua Std" w:hAnsi="Perpetua Std"/>
      <w:color w:val="000000"/>
      <w:sz w:val="24"/>
    </w:rPr>
  </w:style>
  <w:style w:type="paragraph" w:customStyle="1" w:styleId="PI">
    <w:name w:val="PI"/>
    <w:rsid w:val="00C93D74"/>
    <w:pPr>
      <w:spacing w:after="240"/>
      <w:ind w:left="360" w:hanging="360"/>
      <w:jc w:val="both"/>
    </w:pPr>
    <w:rPr>
      <w:rFonts w:ascii="Perpetua Std" w:hAnsi="Perpetua Std"/>
      <w:color w:val="000000"/>
      <w:sz w:val="24"/>
    </w:rPr>
  </w:style>
  <w:style w:type="paragraph" w:customStyle="1" w:styleId="PK">
    <w:name w:val="PK"/>
    <w:rsid w:val="00C93D74"/>
    <w:pPr>
      <w:spacing w:after="240"/>
      <w:ind w:left="360" w:firstLine="288"/>
      <w:jc w:val="both"/>
    </w:pPr>
    <w:rPr>
      <w:rFonts w:ascii="Perpetua Std" w:hAnsi="Perpetua Std"/>
      <w:color w:val="000000"/>
      <w:sz w:val="24"/>
    </w:rPr>
  </w:style>
  <w:style w:type="paragraph" w:customStyle="1" w:styleId="PL">
    <w:name w:val="PL"/>
    <w:rsid w:val="00C93D74"/>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C93D74"/>
    <w:pPr>
      <w:spacing w:after="240"/>
      <w:ind w:left="432" w:right="432" w:firstLine="432"/>
      <w:jc w:val="both"/>
    </w:pPr>
    <w:rPr>
      <w:rFonts w:ascii="Minion Pro" w:hAnsi="Minion Pro"/>
    </w:rPr>
  </w:style>
  <w:style w:type="paragraph" w:customStyle="1" w:styleId="TOC">
    <w:name w:val="TOC"/>
    <w:autoRedefine/>
    <w:rsid w:val="00C93D74"/>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C93D74"/>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C93D74"/>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C93D74"/>
    <w:rPr>
      <w:rFonts w:ascii="Adobe Caslon Pro" w:hAnsi="Adobe Caslon Pro"/>
      <w:color w:val="000000"/>
      <w:sz w:val="14"/>
    </w:rPr>
  </w:style>
  <w:style w:type="paragraph" w:customStyle="1" w:styleId="HD">
    <w:name w:val="HD"/>
    <w:rsid w:val="00C93D74"/>
    <w:pPr>
      <w:suppressAutoHyphens/>
      <w:spacing w:before="120"/>
      <w:jc w:val="center"/>
    </w:pPr>
    <w:rPr>
      <w:rFonts w:ascii="Helvetica LT Std" w:hAnsi="Helvetica LT Std"/>
      <w:sz w:val="26"/>
      <w:szCs w:val="18"/>
    </w:rPr>
  </w:style>
  <w:style w:type="paragraph" w:customStyle="1" w:styleId="PP">
    <w:name w:val="PP"/>
    <w:rsid w:val="00C93D74"/>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C93D74"/>
    <w:pPr>
      <w:spacing w:before="120" w:after="120"/>
      <w:jc w:val="center"/>
    </w:pPr>
    <w:rPr>
      <w:rFonts w:ascii="Helvetica LT Std" w:hAnsi="Helvetica LT Std"/>
      <w:sz w:val="24"/>
    </w:rPr>
  </w:style>
  <w:style w:type="paragraph" w:customStyle="1" w:styleId="PN">
    <w:name w:val="PN"/>
    <w:rsid w:val="00C93D74"/>
    <w:pPr>
      <w:spacing w:after="240"/>
      <w:ind w:left="720" w:firstLine="288"/>
      <w:jc w:val="both"/>
    </w:pPr>
    <w:rPr>
      <w:rFonts w:ascii="Perpetua Std" w:eastAsia="MS Mincho" w:hAnsi="Perpetua Std"/>
      <w:color w:val="000000"/>
    </w:rPr>
  </w:style>
  <w:style w:type="table" w:styleId="TableGrid">
    <w:name w:val="Table Grid"/>
    <w:basedOn w:val="TableNormal"/>
    <w:rsid w:val="00C9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C93D74"/>
    <w:pPr>
      <w:spacing w:after="240"/>
      <w:jc w:val="center"/>
    </w:pPr>
    <w:rPr>
      <w:rFonts w:ascii="Helvetica LT Std" w:hAnsi="Helvetica LT Std"/>
      <w:b/>
      <w:caps/>
      <w:color w:val="000000"/>
      <w:sz w:val="36"/>
      <w:szCs w:val="32"/>
    </w:rPr>
  </w:style>
  <w:style w:type="paragraph" w:customStyle="1" w:styleId="HB">
    <w:name w:val="HB"/>
    <w:rsid w:val="00C93D74"/>
    <w:pPr>
      <w:spacing w:before="120" w:after="240"/>
      <w:jc w:val="center"/>
    </w:pPr>
    <w:rPr>
      <w:rFonts w:ascii="Helvetica LT Std" w:hAnsi="Helvetica LT Std"/>
      <w:b/>
      <w:color w:val="5F5F5F"/>
      <w:w w:val="105"/>
      <w:sz w:val="32"/>
    </w:rPr>
  </w:style>
  <w:style w:type="paragraph" w:customStyle="1" w:styleId="HC">
    <w:name w:val="HC"/>
    <w:autoRedefine/>
    <w:rsid w:val="00C93D74"/>
    <w:pPr>
      <w:tabs>
        <w:tab w:val="left" w:pos="284"/>
      </w:tabs>
      <w:spacing w:before="120" w:after="120"/>
      <w:jc w:val="center"/>
    </w:pPr>
    <w:rPr>
      <w:rFonts w:ascii="Helvetica LT Std" w:hAnsi="Helvetica LT Std"/>
      <w:b/>
      <w:color w:val="000000"/>
      <w:w w:val="110"/>
      <w:sz w:val="26"/>
    </w:rPr>
  </w:style>
  <w:style w:type="paragraph" w:customStyle="1" w:styleId="PR">
    <w:name w:val="PR"/>
    <w:rsid w:val="00C93D74"/>
    <w:pPr>
      <w:spacing w:after="240"/>
      <w:ind w:left="360" w:firstLine="288"/>
      <w:jc w:val="both"/>
    </w:pPr>
    <w:rPr>
      <w:rFonts w:ascii="Adobe Caslon Pro" w:hAnsi="Adobe Caslon Pro"/>
      <w:color w:val="000000"/>
      <w:sz w:val="14"/>
    </w:rPr>
  </w:style>
  <w:style w:type="paragraph" w:customStyle="1" w:styleId="PO">
    <w:name w:val="PO"/>
    <w:rsid w:val="00C93D74"/>
    <w:pPr>
      <w:spacing w:after="240"/>
      <w:jc w:val="both"/>
    </w:pPr>
    <w:rPr>
      <w:rFonts w:ascii="Perpetua Std" w:hAnsi="Perpetua Std"/>
      <w:color w:val="000000"/>
      <w:w w:val="95"/>
      <w:szCs w:val="16"/>
    </w:rPr>
  </w:style>
  <w:style w:type="paragraph" w:customStyle="1" w:styleId="GUIDEX">
    <w:name w:val="GUIDEX"/>
    <w:rsid w:val="00C93D74"/>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C93D74"/>
    <w:pPr>
      <w:tabs>
        <w:tab w:val="clear" w:pos="240"/>
        <w:tab w:val="clear" w:pos="480"/>
        <w:tab w:val="clear" w:pos="720"/>
        <w:tab w:val="right" w:pos="4680"/>
      </w:tabs>
    </w:pPr>
  </w:style>
  <w:style w:type="paragraph" w:customStyle="1" w:styleId="PCB">
    <w:name w:val="PCB"/>
    <w:autoRedefine/>
    <w:rsid w:val="00C93D74"/>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C93D74"/>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C93D74"/>
    <w:rPr>
      <w:rFonts w:ascii="Perpetua Std" w:hAnsi="Perpetua Std"/>
    </w:rPr>
  </w:style>
  <w:style w:type="paragraph" w:styleId="NoSpacing">
    <w:name w:val="No Spacing"/>
    <w:qFormat/>
    <w:rsid w:val="00C93D74"/>
    <w:rPr>
      <w:rFonts w:ascii="Perpetua" w:hAnsi="Perpetua"/>
    </w:rPr>
  </w:style>
  <w:style w:type="paragraph" w:customStyle="1" w:styleId="PCA">
    <w:name w:val="PCA"/>
    <w:rsid w:val="00C93D74"/>
    <w:pPr>
      <w:numPr>
        <w:numId w:val="16"/>
      </w:numPr>
      <w:tabs>
        <w:tab w:val="left" w:pos="720"/>
      </w:tabs>
      <w:spacing w:after="240"/>
      <w:jc w:val="both"/>
    </w:pPr>
    <w:rPr>
      <w:rFonts w:ascii="Perpetua Std" w:hAnsi="Perpetua Std"/>
      <w:sz w:val="24"/>
    </w:rPr>
  </w:style>
  <w:style w:type="paragraph" w:customStyle="1" w:styleId="PHB">
    <w:name w:val="PHB"/>
    <w:rsid w:val="00C93D74"/>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C93D74"/>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C93D74"/>
    <w:rPr>
      <w:rFonts w:ascii="Perpetua Std" w:hAnsi="Perpetua Std"/>
    </w:rPr>
  </w:style>
  <w:style w:type="paragraph" w:styleId="Heading1">
    <w:name w:val="heading 1"/>
    <w:basedOn w:val="Normal"/>
    <w:next w:val="Normal"/>
    <w:link w:val="Heading1Char"/>
    <w:qFormat/>
    <w:rsid w:val="00C93D74"/>
    <w:pPr>
      <w:keepNext/>
      <w:outlineLvl w:val="0"/>
    </w:pPr>
    <w:rPr>
      <w:b/>
    </w:rPr>
  </w:style>
  <w:style w:type="paragraph" w:styleId="Heading2">
    <w:name w:val="heading 2"/>
    <w:basedOn w:val="Normal"/>
    <w:next w:val="Normal"/>
    <w:link w:val="Heading2Char"/>
    <w:qFormat/>
    <w:rsid w:val="00C93D74"/>
    <w:pPr>
      <w:keepNext/>
      <w:spacing w:before="240" w:after="60"/>
      <w:outlineLvl w:val="1"/>
    </w:pPr>
    <w:rPr>
      <w:rFonts w:ascii="Arial" w:hAnsi="Arial"/>
      <w:b/>
      <w:i/>
      <w:sz w:val="24"/>
    </w:rPr>
  </w:style>
  <w:style w:type="paragraph" w:styleId="Heading3">
    <w:name w:val="heading 3"/>
    <w:basedOn w:val="Normal"/>
    <w:next w:val="Normal"/>
    <w:link w:val="Heading3Char"/>
    <w:qFormat/>
    <w:rsid w:val="00C93D7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C93D74"/>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C93D74"/>
    <w:rPr>
      <w:vertAlign w:val="superscript"/>
    </w:rPr>
  </w:style>
  <w:style w:type="paragraph" w:customStyle="1" w:styleId="PA">
    <w:name w:val="PA"/>
    <w:next w:val="Normal"/>
    <w:link w:val="PAChar"/>
    <w:rsid w:val="00C93D74"/>
    <w:pPr>
      <w:spacing w:after="240"/>
      <w:ind w:firstLine="288"/>
      <w:jc w:val="both"/>
    </w:pPr>
    <w:rPr>
      <w:rFonts w:ascii="Perpetua Std" w:hAnsi="Perpetua Std"/>
      <w:color w:val="000000"/>
      <w:sz w:val="24"/>
    </w:rPr>
  </w:style>
  <w:style w:type="character" w:customStyle="1" w:styleId="PAChar">
    <w:name w:val="PA Char"/>
    <w:link w:val="PA"/>
    <w:rsid w:val="00C93D74"/>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C93D74"/>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C93D74"/>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C93D74"/>
    <w:pPr>
      <w:spacing w:before="144"/>
      <w:jc w:val="both"/>
    </w:pPr>
    <w:rPr>
      <w:noProof/>
    </w:rPr>
  </w:style>
  <w:style w:type="paragraph" w:customStyle="1" w:styleId="PB">
    <w:name w:val="PB"/>
    <w:rsid w:val="00C93D74"/>
    <w:pPr>
      <w:spacing w:after="240"/>
      <w:jc w:val="both"/>
    </w:pPr>
    <w:rPr>
      <w:rFonts w:ascii="Perpetua Std" w:hAnsi="Perpetua Std"/>
      <w:color w:val="000000"/>
      <w:sz w:val="24"/>
    </w:rPr>
  </w:style>
  <w:style w:type="paragraph" w:customStyle="1" w:styleId="PC">
    <w:name w:val="PC"/>
    <w:rsid w:val="00C93D74"/>
    <w:pPr>
      <w:tabs>
        <w:tab w:val="left" w:pos="720"/>
      </w:tabs>
      <w:spacing w:after="240"/>
      <w:ind w:left="720" w:hanging="360"/>
      <w:jc w:val="both"/>
    </w:pPr>
    <w:rPr>
      <w:rFonts w:ascii="Perpetua Std" w:hAnsi="Perpetua Std"/>
      <w:color w:val="000000"/>
      <w:sz w:val="24"/>
    </w:rPr>
  </w:style>
  <w:style w:type="paragraph" w:customStyle="1" w:styleId="PD">
    <w:name w:val="PD"/>
    <w:rsid w:val="00C93D74"/>
    <w:pPr>
      <w:spacing w:after="240"/>
      <w:ind w:left="720" w:firstLine="288"/>
      <w:jc w:val="both"/>
    </w:pPr>
    <w:rPr>
      <w:rFonts w:ascii="Perpetua Std" w:hAnsi="Perpetua Std"/>
      <w:color w:val="000000"/>
      <w:sz w:val="24"/>
    </w:rPr>
  </w:style>
  <w:style w:type="paragraph" w:customStyle="1" w:styleId="PE">
    <w:name w:val="PE"/>
    <w:rsid w:val="00C93D74"/>
    <w:pPr>
      <w:spacing w:after="240"/>
      <w:ind w:left="720"/>
      <w:jc w:val="both"/>
    </w:pPr>
    <w:rPr>
      <w:rFonts w:ascii="Perpetua Std" w:hAnsi="Perpetua Std"/>
      <w:color w:val="000000"/>
      <w:sz w:val="24"/>
    </w:rPr>
  </w:style>
  <w:style w:type="paragraph" w:customStyle="1" w:styleId="PF">
    <w:name w:val="PF"/>
    <w:rsid w:val="00C93D74"/>
    <w:pPr>
      <w:tabs>
        <w:tab w:val="left" w:pos="1080"/>
      </w:tabs>
      <w:spacing w:after="240"/>
      <w:ind w:left="1080" w:hanging="360"/>
      <w:jc w:val="both"/>
    </w:pPr>
    <w:rPr>
      <w:rFonts w:ascii="Perpetua Std" w:hAnsi="Perpetua Std"/>
      <w:color w:val="000000"/>
      <w:sz w:val="24"/>
    </w:rPr>
  </w:style>
  <w:style w:type="paragraph" w:customStyle="1" w:styleId="PG">
    <w:name w:val="PG"/>
    <w:rsid w:val="00C93D74"/>
    <w:pPr>
      <w:spacing w:after="240"/>
      <w:ind w:left="360"/>
      <w:jc w:val="both"/>
    </w:pPr>
    <w:rPr>
      <w:rFonts w:ascii="Perpetua Std" w:hAnsi="Perpetua Std"/>
      <w:color w:val="000000"/>
      <w:sz w:val="24"/>
    </w:rPr>
  </w:style>
  <w:style w:type="paragraph" w:customStyle="1" w:styleId="PH">
    <w:name w:val="PH"/>
    <w:rsid w:val="00C93D74"/>
    <w:pPr>
      <w:tabs>
        <w:tab w:val="left" w:pos="360"/>
      </w:tabs>
      <w:spacing w:after="240"/>
      <w:ind w:left="360" w:hanging="360"/>
      <w:jc w:val="both"/>
    </w:pPr>
    <w:rPr>
      <w:rFonts w:ascii="Perpetua Std" w:hAnsi="Perpetua Std"/>
      <w:color w:val="000000"/>
      <w:sz w:val="24"/>
    </w:rPr>
  </w:style>
  <w:style w:type="paragraph" w:customStyle="1" w:styleId="PI">
    <w:name w:val="PI"/>
    <w:rsid w:val="00C93D74"/>
    <w:pPr>
      <w:spacing w:after="240"/>
      <w:ind w:left="360" w:hanging="360"/>
      <w:jc w:val="both"/>
    </w:pPr>
    <w:rPr>
      <w:rFonts w:ascii="Perpetua Std" w:hAnsi="Perpetua Std"/>
      <w:color w:val="000000"/>
      <w:sz w:val="24"/>
    </w:rPr>
  </w:style>
  <w:style w:type="paragraph" w:customStyle="1" w:styleId="PK">
    <w:name w:val="PK"/>
    <w:rsid w:val="00C93D74"/>
    <w:pPr>
      <w:spacing w:after="240"/>
      <w:ind w:left="360" w:firstLine="288"/>
      <w:jc w:val="both"/>
    </w:pPr>
    <w:rPr>
      <w:rFonts w:ascii="Perpetua Std" w:hAnsi="Perpetua Std"/>
      <w:color w:val="000000"/>
      <w:sz w:val="24"/>
    </w:rPr>
  </w:style>
  <w:style w:type="paragraph" w:customStyle="1" w:styleId="PL">
    <w:name w:val="PL"/>
    <w:rsid w:val="00C93D74"/>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C93D74"/>
    <w:pPr>
      <w:spacing w:after="240"/>
      <w:ind w:left="432" w:right="432" w:firstLine="432"/>
      <w:jc w:val="both"/>
    </w:pPr>
    <w:rPr>
      <w:rFonts w:ascii="Minion Pro" w:hAnsi="Minion Pro"/>
    </w:rPr>
  </w:style>
  <w:style w:type="paragraph" w:customStyle="1" w:styleId="TOC">
    <w:name w:val="TOC"/>
    <w:autoRedefine/>
    <w:rsid w:val="00C93D74"/>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C93D74"/>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C93D74"/>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C93D74"/>
    <w:rPr>
      <w:rFonts w:ascii="Adobe Caslon Pro" w:hAnsi="Adobe Caslon Pro"/>
      <w:color w:val="000000"/>
      <w:sz w:val="14"/>
    </w:rPr>
  </w:style>
  <w:style w:type="paragraph" w:customStyle="1" w:styleId="HD">
    <w:name w:val="HD"/>
    <w:rsid w:val="00C93D74"/>
    <w:pPr>
      <w:suppressAutoHyphens/>
      <w:spacing w:before="120"/>
      <w:jc w:val="center"/>
    </w:pPr>
    <w:rPr>
      <w:rFonts w:ascii="Helvetica LT Std" w:hAnsi="Helvetica LT Std"/>
      <w:sz w:val="26"/>
      <w:szCs w:val="18"/>
    </w:rPr>
  </w:style>
  <w:style w:type="paragraph" w:customStyle="1" w:styleId="PP">
    <w:name w:val="PP"/>
    <w:rsid w:val="00C93D74"/>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C93D74"/>
    <w:pPr>
      <w:spacing w:before="120" w:after="120"/>
      <w:jc w:val="center"/>
    </w:pPr>
    <w:rPr>
      <w:rFonts w:ascii="Helvetica LT Std" w:hAnsi="Helvetica LT Std"/>
      <w:sz w:val="24"/>
    </w:rPr>
  </w:style>
  <w:style w:type="paragraph" w:customStyle="1" w:styleId="PN">
    <w:name w:val="PN"/>
    <w:rsid w:val="00C93D74"/>
    <w:pPr>
      <w:spacing w:after="240"/>
      <w:ind w:left="720" w:firstLine="288"/>
      <w:jc w:val="both"/>
    </w:pPr>
    <w:rPr>
      <w:rFonts w:ascii="Perpetua Std" w:eastAsia="MS Mincho" w:hAnsi="Perpetua Std"/>
      <w:color w:val="000000"/>
    </w:rPr>
  </w:style>
  <w:style w:type="table" w:styleId="TableGrid">
    <w:name w:val="Table Grid"/>
    <w:basedOn w:val="TableNormal"/>
    <w:rsid w:val="00C93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C93D74"/>
    <w:pPr>
      <w:spacing w:after="240"/>
      <w:jc w:val="center"/>
    </w:pPr>
    <w:rPr>
      <w:rFonts w:ascii="Helvetica LT Std" w:hAnsi="Helvetica LT Std"/>
      <w:b/>
      <w:caps/>
      <w:color w:val="000000"/>
      <w:sz w:val="36"/>
      <w:szCs w:val="32"/>
    </w:rPr>
  </w:style>
  <w:style w:type="paragraph" w:customStyle="1" w:styleId="HB">
    <w:name w:val="HB"/>
    <w:rsid w:val="00C93D74"/>
    <w:pPr>
      <w:spacing w:before="120" w:after="240"/>
      <w:jc w:val="center"/>
    </w:pPr>
    <w:rPr>
      <w:rFonts w:ascii="Helvetica LT Std" w:hAnsi="Helvetica LT Std"/>
      <w:b/>
      <w:color w:val="5F5F5F"/>
      <w:w w:val="105"/>
      <w:sz w:val="32"/>
    </w:rPr>
  </w:style>
  <w:style w:type="paragraph" w:customStyle="1" w:styleId="HC">
    <w:name w:val="HC"/>
    <w:autoRedefine/>
    <w:rsid w:val="00C93D74"/>
    <w:pPr>
      <w:tabs>
        <w:tab w:val="left" w:pos="284"/>
      </w:tabs>
      <w:spacing w:before="120" w:after="120"/>
      <w:jc w:val="center"/>
    </w:pPr>
    <w:rPr>
      <w:rFonts w:ascii="Helvetica LT Std" w:hAnsi="Helvetica LT Std"/>
      <w:b/>
      <w:color w:val="000000"/>
      <w:w w:val="110"/>
      <w:sz w:val="26"/>
    </w:rPr>
  </w:style>
  <w:style w:type="paragraph" w:customStyle="1" w:styleId="PR">
    <w:name w:val="PR"/>
    <w:rsid w:val="00C93D74"/>
    <w:pPr>
      <w:spacing w:after="240"/>
      <w:ind w:left="360" w:firstLine="288"/>
      <w:jc w:val="both"/>
    </w:pPr>
    <w:rPr>
      <w:rFonts w:ascii="Adobe Caslon Pro" w:hAnsi="Adobe Caslon Pro"/>
      <w:color w:val="000000"/>
      <w:sz w:val="14"/>
    </w:rPr>
  </w:style>
  <w:style w:type="paragraph" w:customStyle="1" w:styleId="PO">
    <w:name w:val="PO"/>
    <w:rsid w:val="00C93D74"/>
    <w:pPr>
      <w:spacing w:after="240"/>
      <w:jc w:val="both"/>
    </w:pPr>
    <w:rPr>
      <w:rFonts w:ascii="Perpetua Std" w:hAnsi="Perpetua Std"/>
      <w:color w:val="000000"/>
      <w:w w:val="95"/>
      <w:szCs w:val="16"/>
    </w:rPr>
  </w:style>
  <w:style w:type="paragraph" w:customStyle="1" w:styleId="GUIDEX">
    <w:name w:val="GUIDEX"/>
    <w:rsid w:val="00C93D74"/>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C93D74"/>
    <w:pPr>
      <w:tabs>
        <w:tab w:val="clear" w:pos="240"/>
        <w:tab w:val="clear" w:pos="480"/>
        <w:tab w:val="clear" w:pos="720"/>
        <w:tab w:val="right" w:pos="4680"/>
      </w:tabs>
    </w:pPr>
  </w:style>
  <w:style w:type="paragraph" w:customStyle="1" w:styleId="PCB">
    <w:name w:val="PCB"/>
    <w:autoRedefine/>
    <w:rsid w:val="00C93D74"/>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C93D74"/>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C93D74"/>
    <w:rPr>
      <w:rFonts w:ascii="Perpetua Std" w:hAnsi="Perpetua Std"/>
    </w:rPr>
  </w:style>
  <w:style w:type="paragraph" w:styleId="NoSpacing">
    <w:name w:val="No Spacing"/>
    <w:qFormat/>
    <w:rsid w:val="00C93D74"/>
    <w:rPr>
      <w:rFonts w:ascii="Perpetua" w:hAnsi="Perpetua"/>
    </w:rPr>
  </w:style>
  <w:style w:type="paragraph" w:customStyle="1" w:styleId="PCA">
    <w:name w:val="PCA"/>
    <w:rsid w:val="00C93D74"/>
    <w:pPr>
      <w:numPr>
        <w:numId w:val="16"/>
      </w:numPr>
      <w:tabs>
        <w:tab w:val="left" w:pos="720"/>
      </w:tabs>
      <w:spacing w:after="240"/>
      <w:jc w:val="both"/>
    </w:pPr>
    <w:rPr>
      <w:rFonts w:ascii="Perpetua Std" w:hAnsi="Perpetua Std"/>
      <w:sz w:val="24"/>
    </w:rPr>
  </w:style>
  <w:style w:type="paragraph" w:customStyle="1" w:styleId="PHB">
    <w:name w:val="PHB"/>
    <w:rsid w:val="00C93D74"/>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C93D74"/>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191C-D1B7-42ED-8151-70C1900FB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8565. How does gain on the sale of a taxpayer’s primary residence impact the determination of whether the taxpayer is subject to the investment income tax?</vt:lpstr>
    </vt:vector>
  </TitlesOfParts>
  <Company>Summit Business Media</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8565. How does gain on the sale of a taxpayer’s primary residence impact the determination of whether the taxpayer is subject to the investment income tax?</dc:title>
  <dc:creator>Alexis Long</dc:creator>
  <cp:lastModifiedBy>rcline</cp:lastModifiedBy>
  <cp:revision>2</cp:revision>
  <dcterms:created xsi:type="dcterms:W3CDTF">2014-07-08T18:10:00Z</dcterms:created>
  <dcterms:modified xsi:type="dcterms:W3CDTF">2014-07-08T18:10:00Z</dcterms:modified>
</cp:coreProperties>
</file>