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4C" w:rsidRPr="00D4604C" w:rsidRDefault="00D4604C" w:rsidP="00255005">
      <w:pPr>
        <w:pStyle w:val="PA"/>
        <w:rPr>
          <w:b/>
          <w:sz w:val="28"/>
          <w:szCs w:val="28"/>
        </w:rPr>
      </w:pPr>
      <w:r w:rsidRPr="00D4604C">
        <w:rPr>
          <w:b/>
          <w:sz w:val="28"/>
          <w:szCs w:val="28"/>
        </w:rPr>
        <w:t>8556.  What is the netting process used to determine whether the taxpayer has a capital gain or loss?</w:t>
      </w:r>
    </w:p>
    <w:p w:rsidR="00A96188" w:rsidRDefault="00A96188" w:rsidP="00255005">
      <w:pPr>
        <w:pStyle w:val="PA"/>
      </w:pPr>
      <w:r>
        <w:t>The complex rules applicable to capital gains taxation essentially establish four different types of capital assets.</w:t>
      </w:r>
      <w:r w:rsidR="00816BFC">
        <w:t xml:space="preserve"> </w:t>
      </w:r>
      <w:r>
        <w:t>These groups of capital assets are</w:t>
      </w:r>
      <w:r w:rsidRPr="003E4481">
        <w:t xml:space="preserve">: </w:t>
      </w:r>
    </w:p>
    <w:p w:rsidR="00A96188" w:rsidRDefault="00A96188" w:rsidP="00255005">
      <w:pPr>
        <w:pStyle w:val="PC"/>
      </w:pPr>
      <w:r w:rsidRPr="003E4481">
        <w:t>(1)</w:t>
      </w:r>
      <w:r w:rsidR="00255005">
        <w:tab/>
      </w:r>
      <w:proofErr w:type="gramStart"/>
      <w:r w:rsidRPr="003E4481">
        <w:t>short-term</w:t>
      </w:r>
      <w:proofErr w:type="gramEnd"/>
      <w:r w:rsidRPr="003E4481">
        <w:t xml:space="preserve"> capital assets, with no special tax rate; </w:t>
      </w:r>
    </w:p>
    <w:p w:rsidR="00A96188" w:rsidRDefault="00A96188" w:rsidP="00255005">
      <w:pPr>
        <w:pStyle w:val="PC"/>
      </w:pPr>
      <w:r w:rsidRPr="003E4481">
        <w:t>(2)</w:t>
      </w:r>
      <w:r w:rsidR="00255005">
        <w:tab/>
      </w:r>
      <w:r w:rsidRPr="003E4481">
        <w:t xml:space="preserve">28 percent capital assets, generally consisting of collectibles gain or loss, and IRC Section 1202 gain; </w:t>
      </w:r>
    </w:p>
    <w:p w:rsidR="00A96188" w:rsidRDefault="00A96188" w:rsidP="00255005">
      <w:pPr>
        <w:pStyle w:val="PC"/>
      </w:pPr>
      <w:r w:rsidRPr="003E4481">
        <w:t>(3)</w:t>
      </w:r>
      <w:r w:rsidR="00255005">
        <w:tab/>
      </w:r>
      <w:r w:rsidRPr="003E4481">
        <w:t xml:space="preserve">25 percent capital assets, consisting of assets that generate unrecaptured IRC Section 1250 gain; and </w:t>
      </w:r>
    </w:p>
    <w:p w:rsidR="00A96188" w:rsidRPr="003E4481" w:rsidRDefault="00A96188" w:rsidP="00255005">
      <w:pPr>
        <w:pStyle w:val="PC"/>
      </w:pPr>
      <w:r w:rsidRPr="003E4481">
        <w:t>(4)</w:t>
      </w:r>
      <w:r w:rsidR="00255005">
        <w:tab/>
      </w:r>
      <w:r w:rsidR="00F53618">
        <w:t xml:space="preserve">all other long-term capital assets, which are taxed according to the taxpayer’s income tax bracket: </w:t>
      </w:r>
      <w:r w:rsidRPr="003E4481">
        <w:t>20 percent (39.6 percent income tax bracket</w:t>
      </w:r>
      <w:r>
        <w:t xml:space="preserve">), </w:t>
      </w:r>
      <w:r w:rsidR="00F53618">
        <w:t>15 percent (</w:t>
      </w:r>
      <w:r w:rsidRPr="003E4481">
        <w:t xml:space="preserve">25, 28, 33, or 35 percent </w:t>
      </w:r>
      <w:r>
        <w:t xml:space="preserve">income </w:t>
      </w:r>
      <w:r w:rsidRPr="003E4481">
        <w:t>tax brackets</w:t>
      </w:r>
      <w:r>
        <w:t xml:space="preserve">), and </w:t>
      </w:r>
      <w:r w:rsidRPr="003E4481">
        <w:t xml:space="preserve">0 percent capital assets for taxpayers in the 15 </w:t>
      </w:r>
      <w:r>
        <w:t xml:space="preserve">and </w:t>
      </w:r>
      <w:r w:rsidR="00F53618">
        <w:t>10 percent tax brackets</w:t>
      </w:r>
      <w:r w:rsidRPr="003E4481">
        <w:t>.</w:t>
      </w:r>
    </w:p>
    <w:p w:rsidR="00A96188" w:rsidRPr="003E4481" w:rsidRDefault="00A96188" w:rsidP="00255005">
      <w:pPr>
        <w:pStyle w:val="PA"/>
      </w:pPr>
      <w:r w:rsidRPr="003E4481">
        <w:t xml:space="preserve">Within each group, gains and losses </w:t>
      </w:r>
      <w:r>
        <w:t>must be</w:t>
      </w:r>
      <w:r w:rsidRPr="003E4481">
        <w:t xml:space="preserve"> netted. </w:t>
      </w:r>
      <w:r>
        <w:t>Generally, if, as a result of this process,</w:t>
      </w:r>
      <w:r w:rsidRPr="003E4481">
        <w:t xml:space="preserve"> there is a net loss from </w:t>
      </w:r>
      <w:r>
        <w:t>asset-group “</w:t>
      </w:r>
      <w:r w:rsidRPr="003E4481">
        <w:t>(1),</w:t>
      </w:r>
      <w:r>
        <w:t>”</w:t>
      </w:r>
      <w:r w:rsidRPr="003E4481">
        <w:t xml:space="preserve"> it is applied to reduce any net gain from </w:t>
      </w:r>
      <w:r>
        <w:t>groups “</w:t>
      </w:r>
      <w:r w:rsidRPr="003E4481">
        <w:t>(2),</w:t>
      </w:r>
      <w:r>
        <w:t>”</w:t>
      </w:r>
      <w:r w:rsidRPr="003E4481">
        <w:t xml:space="preserve"> </w:t>
      </w:r>
      <w:r>
        <w:t>“</w:t>
      </w:r>
      <w:r w:rsidRPr="003E4481">
        <w:t>(3),</w:t>
      </w:r>
      <w:r>
        <w:t>”</w:t>
      </w:r>
      <w:r w:rsidRPr="003E4481">
        <w:t xml:space="preserve"> or </w:t>
      </w:r>
      <w:r>
        <w:t>“</w:t>
      </w:r>
      <w:r w:rsidRPr="003E4481">
        <w:t>(4),</w:t>
      </w:r>
      <w:r>
        <w:t>”</w:t>
      </w:r>
      <w:r w:rsidRPr="003E4481">
        <w:t xml:space="preserve"> in that order. If there is a net loss from </w:t>
      </w:r>
      <w:r>
        <w:t>group “</w:t>
      </w:r>
      <w:r w:rsidRPr="003E4481">
        <w:t>(2)</w:t>
      </w:r>
      <w:r>
        <w:t>,”</w:t>
      </w:r>
      <w:r w:rsidRPr="003E4481">
        <w:t xml:space="preserve"> it is applied to reduce any net gain from </w:t>
      </w:r>
      <w:r>
        <w:t>groups “</w:t>
      </w:r>
      <w:r w:rsidRPr="003E4481">
        <w:t>(3)</w:t>
      </w:r>
      <w:r>
        <w:t>”</w:t>
      </w:r>
      <w:r w:rsidRPr="003E4481">
        <w:t xml:space="preserve"> or </w:t>
      </w:r>
      <w:r>
        <w:t>“</w:t>
      </w:r>
      <w:r w:rsidRPr="003E4481">
        <w:t>(4),</w:t>
      </w:r>
      <w:r>
        <w:t>”</w:t>
      </w:r>
      <w:r w:rsidRPr="003E4481">
        <w:t xml:space="preserve"> in that order. If there is a net loss from </w:t>
      </w:r>
      <w:r>
        <w:t>group “</w:t>
      </w:r>
      <w:r w:rsidRPr="003E4481">
        <w:t>(4),</w:t>
      </w:r>
      <w:r>
        <w:t>”</w:t>
      </w:r>
      <w:r w:rsidRPr="003E4481">
        <w:t xml:space="preserve"> it is applied to reduce any net gain from </w:t>
      </w:r>
      <w:r>
        <w:t>groups “</w:t>
      </w:r>
      <w:r w:rsidRPr="003E4481">
        <w:t>(2)</w:t>
      </w:r>
      <w:r>
        <w:t>”</w:t>
      </w:r>
      <w:r w:rsidRPr="003E4481">
        <w:t xml:space="preserve"> or </w:t>
      </w:r>
      <w:r>
        <w:t>“</w:t>
      </w:r>
      <w:r w:rsidRPr="003E4481">
        <w:t>(3),</w:t>
      </w:r>
      <w:r>
        <w:t>”</w:t>
      </w:r>
      <w:r w:rsidRPr="003E4481">
        <w:t xml:space="preserve"> in that order.</w:t>
      </w:r>
      <w:r w:rsidRPr="0074319B">
        <w:rPr>
          <w:vertAlign w:val="superscript"/>
        </w:rPr>
        <w:footnoteReference w:id="1"/>
      </w:r>
    </w:p>
    <w:p w:rsidR="00F53618" w:rsidRDefault="00A96188" w:rsidP="00255005">
      <w:pPr>
        <w:pStyle w:val="PA"/>
      </w:pPr>
      <w:r>
        <w:t xml:space="preserve">If net </w:t>
      </w:r>
      <w:r w:rsidR="00F53618">
        <w:t xml:space="preserve">capital </w:t>
      </w:r>
      <w:r>
        <w:t>losses result from the netting process described above</w:t>
      </w:r>
      <w:r w:rsidRPr="003E4481">
        <w:t>, up to $3,000 ($1,500 in the case of married individuals filing separately) of losses can be deducted against ordinary income.</w:t>
      </w:r>
      <w:r w:rsidRPr="0074319B">
        <w:rPr>
          <w:vertAlign w:val="superscript"/>
        </w:rPr>
        <w:footnoteReference w:id="2"/>
      </w:r>
      <w:r w:rsidR="00816BFC">
        <w:t xml:space="preserve"> </w:t>
      </w:r>
      <w:r>
        <w:t>Any losses that are deducted</w:t>
      </w:r>
      <w:r w:rsidRPr="003E4481">
        <w:t xml:space="preserve"> would be treated as reducing net loss from </w:t>
      </w:r>
      <w:r>
        <w:t>groups “</w:t>
      </w:r>
      <w:r w:rsidRPr="003E4481">
        <w:t>(1),</w:t>
      </w:r>
      <w:r>
        <w:t>”</w:t>
      </w:r>
      <w:r w:rsidRPr="003E4481">
        <w:t xml:space="preserve"> </w:t>
      </w:r>
      <w:r>
        <w:t>“</w:t>
      </w:r>
      <w:r w:rsidRPr="003E4481">
        <w:t>(2),</w:t>
      </w:r>
      <w:r>
        <w:t>”</w:t>
      </w:r>
      <w:r w:rsidRPr="003E4481">
        <w:t xml:space="preserve"> or </w:t>
      </w:r>
      <w:r>
        <w:t>“</w:t>
      </w:r>
      <w:r w:rsidRPr="003E4481">
        <w:t>(4),</w:t>
      </w:r>
      <w:r>
        <w:t>”</w:t>
      </w:r>
      <w:r w:rsidRPr="003E4481">
        <w:t xml:space="preserve"> in that order. </w:t>
      </w:r>
    </w:p>
    <w:p w:rsidR="00A1572A" w:rsidRDefault="00A96188" w:rsidP="00255005">
      <w:pPr>
        <w:pStyle w:val="PA"/>
        <w:rPr>
          <w:rFonts w:ascii="Times New Roman" w:hAnsi="Times New Roman"/>
          <w:szCs w:val="24"/>
        </w:rPr>
      </w:pPr>
      <w:r w:rsidRPr="003E4481">
        <w:t>If there are net gains, such gains would generally be taxed as described above</w:t>
      </w:r>
      <w:r w:rsidR="00AF5D01">
        <w:t xml:space="preserve"> and </w:t>
      </w:r>
      <w:r w:rsidR="00667644">
        <w:t xml:space="preserve">discussed </w:t>
      </w:r>
      <w:r w:rsidR="00AF5D01">
        <w:t>in Q</w:t>
      </w:r>
      <w:r w:rsidR="007F0BBA">
        <w:t xml:space="preserve"> </w:t>
      </w:r>
      <w:r w:rsidR="009C5F6E">
        <w:t>854</w:t>
      </w:r>
      <w:r w:rsidR="00AF5D01">
        <w:t>4 and Q</w:t>
      </w:r>
      <w:r w:rsidR="007F0BBA">
        <w:t xml:space="preserve"> </w:t>
      </w:r>
      <w:r w:rsidR="009C5F6E">
        <w:t>854</w:t>
      </w:r>
      <w:r w:rsidR="00AF5D01">
        <w:t>5</w:t>
      </w:r>
      <w:r w:rsidRPr="003E4481">
        <w:t>.</w:t>
      </w:r>
      <w:r w:rsidR="00A1572A" w:rsidRPr="00A1572A">
        <w:rPr>
          <w:rFonts w:ascii="Times New Roman" w:hAnsi="Times New Roman"/>
          <w:szCs w:val="24"/>
        </w:rPr>
        <w:t xml:space="preserve"> </w:t>
      </w:r>
    </w:p>
    <w:p w:rsidR="00A1572A" w:rsidRPr="00A1572A" w:rsidRDefault="00667644" w:rsidP="00255005">
      <w:pPr>
        <w:pStyle w:val="PA"/>
      </w:pPr>
      <w:r>
        <w:t>If the taxpayer has capital gains and capital losses from investment property as well as gains and losses from section 1231 business property (depreciable property used in a trade or business and held for more than one year), the latter gains and losses nett</w:t>
      </w:r>
      <w:r w:rsidR="00A1572A" w:rsidRPr="00A1572A">
        <w:t>ed against each other</w:t>
      </w:r>
      <w:r>
        <w:t>.  If the netting results in a net gain, the</w:t>
      </w:r>
      <w:r w:rsidR="00A1572A" w:rsidRPr="00A1572A">
        <w:t xml:space="preserve"> gain </w:t>
      </w:r>
      <w:r w:rsidR="00A1572A">
        <w:t>is treated as if it were a long-</w:t>
      </w:r>
      <w:r w:rsidR="00A1572A" w:rsidRPr="00A1572A">
        <w:t xml:space="preserve">term capital gain and included in the </w:t>
      </w:r>
      <w:r w:rsidR="00A1572A" w:rsidRPr="00A1572A">
        <w:rPr>
          <w:bCs/>
          <w:iCs/>
        </w:rPr>
        <w:t>netting</w:t>
      </w:r>
      <w:r w:rsidR="00A1572A" w:rsidRPr="00A1572A">
        <w:t xml:space="preserve"> process for capital gains</w:t>
      </w:r>
      <w:r w:rsidR="00397348">
        <w:t xml:space="preserve"> in group (4).  On the other hand, if the netting results in </w:t>
      </w:r>
      <w:r w:rsidR="00A1572A" w:rsidRPr="00A1572A">
        <w:t xml:space="preserve">a net loss from Section 1231 assets, this net loss is </w:t>
      </w:r>
      <w:r w:rsidR="00397348">
        <w:t>fully deductible as an ordinary loss and not subject to capital gain and loss netting.</w:t>
      </w:r>
    </w:p>
    <w:p w:rsidR="00A1572A" w:rsidRPr="00397348" w:rsidRDefault="00A1572A" w:rsidP="00397348">
      <w:pPr>
        <w:pStyle w:val="PN"/>
        <w:ind w:left="90"/>
        <w:rPr>
          <w:sz w:val="24"/>
          <w:szCs w:val="24"/>
        </w:rPr>
      </w:pPr>
      <w:r w:rsidRPr="00397348">
        <w:rPr>
          <w:i/>
          <w:iCs/>
          <w:sz w:val="24"/>
          <w:szCs w:val="24"/>
        </w:rPr>
        <w:t>Example</w:t>
      </w:r>
      <w:r w:rsidR="007F0BBA" w:rsidRPr="00397348">
        <w:rPr>
          <w:i/>
          <w:iCs/>
          <w:sz w:val="24"/>
          <w:szCs w:val="24"/>
        </w:rPr>
        <w:t>:</w:t>
      </w:r>
      <w:r w:rsidR="00255005" w:rsidRPr="00397348">
        <w:rPr>
          <w:i/>
          <w:iCs/>
          <w:sz w:val="24"/>
          <w:szCs w:val="24"/>
        </w:rPr>
        <w:t xml:space="preserve"> </w:t>
      </w:r>
      <w:r w:rsidRPr="00397348">
        <w:rPr>
          <w:sz w:val="24"/>
          <w:szCs w:val="24"/>
        </w:rPr>
        <w:t>Claire, an attorney, sol</w:t>
      </w:r>
      <w:r w:rsidR="00397348">
        <w:rPr>
          <w:sz w:val="24"/>
          <w:szCs w:val="24"/>
        </w:rPr>
        <w:t xml:space="preserve">d 500 shares of stock </w:t>
      </w:r>
      <w:r w:rsidRPr="00397348">
        <w:rPr>
          <w:sz w:val="24"/>
          <w:szCs w:val="24"/>
        </w:rPr>
        <w:t xml:space="preserve">gain </w:t>
      </w:r>
      <w:r w:rsidR="00397348">
        <w:rPr>
          <w:sz w:val="24"/>
          <w:szCs w:val="24"/>
        </w:rPr>
        <w:t xml:space="preserve">recognizing a </w:t>
      </w:r>
      <w:r w:rsidRPr="00397348">
        <w:rPr>
          <w:sz w:val="24"/>
          <w:szCs w:val="24"/>
        </w:rPr>
        <w:t>$1,500</w:t>
      </w:r>
      <w:r w:rsidR="00397348">
        <w:rPr>
          <w:sz w:val="24"/>
          <w:szCs w:val="24"/>
        </w:rPr>
        <w:t xml:space="preserve"> long-term capital gain </w:t>
      </w:r>
      <w:r w:rsidRPr="00397348">
        <w:rPr>
          <w:sz w:val="24"/>
          <w:szCs w:val="24"/>
        </w:rPr>
        <w:t xml:space="preserve">and 200 shares </w:t>
      </w:r>
      <w:r w:rsidR="00397348">
        <w:rPr>
          <w:sz w:val="24"/>
          <w:szCs w:val="24"/>
        </w:rPr>
        <w:t xml:space="preserve">of stock recognizing a </w:t>
      </w:r>
      <w:r w:rsidRPr="00397348">
        <w:rPr>
          <w:sz w:val="24"/>
          <w:szCs w:val="24"/>
        </w:rPr>
        <w:t>$300</w:t>
      </w:r>
      <w:r w:rsidR="00397348">
        <w:rPr>
          <w:sz w:val="24"/>
          <w:szCs w:val="24"/>
        </w:rPr>
        <w:t xml:space="preserve"> short-term capital gain</w:t>
      </w:r>
      <w:r w:rsidRPr="00397348">
        <w:rPr>
          <w:sz w:val="24"/>
          <w:szCs w:val="24"/>
        </w:rPr>
        <w:t xml:space="preserve">. In the same year she sold an oriental rug used in her home for the past 5 years at a loss of </w:t>
      </w:r>
      <w:r w:rsidRPr="00397348">
        <w:rPr>
          <w:sz w:val="24"/>
          <w:szCs w:val="24"/>
        </w:rPr>
        <w:lastRenderedPageBreak/>
        <w:t xml:space="preserve">$700 and a rental property, owned for 9 months, </w:t>
      </w:r>
      <w:r w:rsidR="00397348">
        <w:rPr>
          <w:sz w:val="24"/>
          <w:szCs w:val="24"/>
        </w:rPr>
        <w:t xml:space="preserve">for a short-term capital </w:t>
      </w:r>
      <w:r w:rsidRPr="00397348">
        <w:rPr>
          <w:sz w:val="24"/>
          <w:szCs w:val="24"/>
        </w:rPr>
        <w:t xml:space="preserve">loss of $5,000. From her office she sold a computer system </w:t>
      </w:r>
      <w:r w:rsidR="00397348">
        <w:rPr>
          <w:sz w:val="24"/>
          <w:szCs w:val="24"/>
        </w:rPr>
        <w:t xml:space="preserve">(a section 1231 asset) </w:t>
      </w:r>
      <w:r w:rsidRPr="00397348">
        <w:rPr>
          <w:sz w:val="24"/>
          <w:szCs w:val="24"/>
        </w:rPr>
        <w:t>at a loss of $1,200 and</w:t>
      </w:r>
      <w:r w:rsidR="003566BE" w:rsidRPr="00397348">
        <w:rPr>
          <w:sz w:val="24"/>
          <w:szCs w:val="24"/>
        </w:rPr>
        <w:t xml:space="preserve"> a</w:t>
      </w:r>
      <w:r w:rsidRPr="00397348">
        <w:rPr>
          <w:sz w:val="24"/>
          <w:szCs w:val="24"/>
        </w:rPr>
        <w:t xml:space="preserve"> set of law books</w:t>
      </w:r>
      <w:r w:rsidR="00397348">
        <w:rPr>
          <w:sz w:val="24"/>
          <w:szCs w:val="24"/>
        </w:rPr>
        <w:t xml:space="preserve"> (a section 1231 asset) </w:t>
      </w:r>
      <w:r w:rsidRPr="00397348">
        <w:rPr>
          <w:sz w:val="24"/>
          <w:szCs w:val="24"/>
        </w:rPr>
        <w:t xml:space="preserve">at a gain of $200. Both of these had been used in her practice for more than one year. </w:t>
      </w:r>
    </w:p>
    <w:p w:rsidR="00A1572A" w:rsidRPr="00A1572A" w:rsidRDefault="00A1572A" w:rsidP="00255005">
      <w:pPr>
        <w:pStyle w:val="PA"/>
      </w:pPr>
      <w:r>
        <w:t>Claire’s</w:t>
      </w:r>
      <w:r w:rsidRPr="00A1572A">
        <w:t xml:space="preserve"> various gains and losses ("G/L") must first be grouped according to the following column headings and a net total computed for each group: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770"/>
        <w:gridCol w:w="1710"/>
        <w:gridCol w:w="1891"/>
      </w:tblGrid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CA2508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b/>
                <w:bCs/>
                <w:sz w:val="24"/>
                <w:szCs w:val="24"/>
              </w:rPr>
              <w:t>Long-</w:t>
            </w:r>
            <w:r w:rsidR="00A1572A" w:rsidRPr="00255005">
              <w:rPr>
                <w:b/>
                <w:bCs/>
                <w:sz w:val="24"/>
                <w:szCs w:val="24"/>
              </w:rPr>
              <w:t>Term Capital G/L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CA2508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b/>
                <w:bCs/>
                <w:sz w:val="24"/>
                <w:szCs w:val="24"/>
              </w:rPr>
              <w:t>Short-</w:t>
            </w:r>
            <w:r w:rsidR="00A1572A" w:rsidRPr="00255005">
              <w:rPr>
                <w:b/>
                <w:bCs/>
                <w:sz w:val="24"/>
                <w:szCs w:val="24"/>
              </w:rPr>
              <w:t>Term Capital G/L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2D4314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b/>
                <w:bCs/>
                <w:sz w:val="24"/>
                <w:szCs w:val="24"/>
              </w:rPr>
              <w:t>IRC 1231 Business Assets</w:t>
            </w: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500 shares of stock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1,500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200 shares of stock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300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oriental rug *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---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---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---</w:t>
            </w: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rental property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(5,000)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computer</w:t>
            </w:r>
            <w:r w:rsidR="00816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(1,200)</w:t>
            </w: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law books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53374" w:rsidP="00255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200</w:t>
            </w: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816BFC" w:rsidP="00255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572A" w:rsidRPr="00255005">
              <w:rPr>
                <w:sz w:val="24"/>
                <w:szCs w:val="24"/>
              </w:rPr>
              <w:t>Net totals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1,500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(4,700)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pPr>
              <w:jc w:val="center"/>
              <w:rPr>
                <w:sz w:val="24"/>
                <w:szCs w:val="24"/>
              </w:rPr>
            </w:pPr>
            <w:r w:rsidRPr="00255005">
              <w:rPr>
                <w:sz w:val="24"/>
                <w:szCs w:val="24"/>
              </w:rPr>
              <w:t>(1,000)</w:t>
            </w:r>
          </w:p>
        </w:tc>
      </w:tr>
      <w:tr w:rsidR="00A1572A" w:rsidRPr="00255005" w:rsidTr="00CA2508">
        <w:trPr>
          <w:tblCellSpacing w:w="7" w:type="dxa"/>
          <w:jc w:val="center"/>
        </w:trPr>
        <w:tc>
          <w:tcPr>
            <w:tcW w:w="8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374" w:rsidRPr="00255005" w:rsidRDefault="00A1572A" w:rsidP="00255005">
            <w:r w:rsidRPr="00255005">
              <w:t>* No loss deduction is allowed for the oriental rug since it was held for personal use.</w:t>
            </w:r>
            <w:r w:rsidRPr="0074319B">
              <w:rPr>
                <w:rStyle w:val="FootnoteReference"/>
              </w:rPr>
              <w:footnoteReference w:id="3"/>
            </w:r>
          </w:p>
        </w:tc>
      </w:tr>
    </w:tbl>
    <w:p w:rsidR="00397348" w:rsidRDefault="00397348" w:rsidP="00255005">
      <w:pPr>
        <w:pStyle w:val="PA"/>
      </w:pPr>
    </w:p>
    <w:p w:rsidR="00F4296A" w:rsidRDefault="00397348" w:rsidP="00255005">
      <w:pPr>
        <w:pStyle w:val="PA"/>
      </w:pPr>
      <w:r>
        <w:t>Because the netting of the section 1231 assets resulted in a net $1,000, it is treated as a fully deductible ordinary loss and not subject to further netting.  Netting short-term capital gain against short-term capital loss results in a net short-term capital loss of $4,700.  That amount is netted against Claire’s net long-term gain of $1,500 resulting in a net short-term loss of $3,200.</w:t>
      </w:r>
      <w:r w:rsidR="002E34ED">
        <w:t xml:space="preserve">  Capital losses in excess of capital gains are deductible only to the extent of $3,000.  The remaining $200 capital loss i</w:t>
      </w:r>
      <w:r w:rsidR="00A1572A" w:rsidRPr="00A1572A">
        <w:t xml:space="preserve">s carried forward </w:t>
      </w:r>
      <w:r w:rsidR="002E34ED">
        <w:t xml:space="preserve">to subsequent tax years subject to the same rules.  </w:t>
      </w:r>
    </w:p>
    <w:p w:rsidR="008D4DB1" w:rsidRDefault="008D4DB1" w:rsidP="008D4DB1">
      <w:pPr>
        <w:pStyle w:val="PA"/>
        <w:rPr>
          <w:b/>
          <w:sz w:val="28"/>
          <w:szCs w:val="28"/>
        </w:rPr>
      </w:pPr>
      <w:proofErr w:type="gramStart"/>
      <w:r w:rsidRPr="00D4604C">
        <w:rPr>
          <w:b/>
          <w:sz w:val="28"/>
          <w:szCs w:val="28"/>
        </w:rPr>
        <w:t>8556.</w:t>
      </w:r>
      <w:r>
        <w:rPr>
          <w:b/>
          <w:sz w:val="28"/>
          <w:szCs w:val="28"/>
        </w:rPr>
        <w:t>02</w:t>
      </w:r>
      <w:r w:rsidRPr="00D4604C">
        <w:rPr>
          <w:b/>
          <w:sz w:val="28"/>
          <w:szCs w:val="28"/>
        </w:rPr>
        <w:t xml:space="preserve">  What</w:t>
      </w:r>
      <w:proofErr w:type="gramEnd"/>
      <w:r w:rsidRPr="00D4604C">
        <w:rPr>
          <w:b/>
          <w:sz w:val="28"/>
          <w:szCs w:val="28"/>
        </w:rPr>
        <w:t xml:space="preserve"> is</w:t>
      </w:r>
      <w:r w:rsidR="005A0572">
        <w:rPr>
          <w:b/>
          <w:sz w:val="28"/>
          <w:szCs w:val="28"/>
        </w:rPr>
        <w:t xml:space="preserve"> the</w:t>
      </w:r>
      <w:r w:rsidRPr="00D46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tax significance of short-term capital gain</w:t>
      </w:r>
      <w:r w:rsidRPr="00D4604C">
        <w:rPr>
          <w:b/>
          <w:sz w:val="28"/>
          <w:szCs w:val="28"/>
        </w:rPr>
        <w:t>?</w:t>
      </w:r>
    </w:p>
    <w:p w:rsidR="008D4DB1" w:rsidRDefault="008D4DB1" w:rsidP="008D4DB1"/>
    <w:p w:rsidR="008D4DB1" w:rsidRPr="008D4DB1" w:rsidRDefault="008D4DB1" w:rsidP="008D4DB1">
      <w:pPr>
        <w:rPr>
          <w:sz w:val="24"/>
          <w:szCs w:val="24"/>
        </w:rPr>
      </w:pPr>
      <w:r>
        <w:rPr>
          <w:sz w:val="24"/>
          <w:szCs w:val="24"/>
        </w:rPr>
        <w:t xml:space="preserve">   Although as discussed in Q</w:t>
      </w:r>
      <w:r w:rsidR="005A057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8556 above, like long-term capital gain, short-term capital gain is netted against capital losses, net short-term capital gain is </w:t>
      </w:r>
      <w:r>
        <w:rPr>
          <w:i/>
          <w:sz w:val="24"/>
          <w:szCs w:val="24"/>
        </w:rPr>
        <w:t xml:space="preserve">not </w:t>
      </w:r>
      <w:r>
        <w:rPr>
          <w:sz w:val="24"/>
          <w:szCs w:val="24"/>
        </w:rPr>
        <w:t>subject to the preferential capital gains rates.  Instead, such gain is taxed as ordinary income (up to 39.6%).</w:t>
      </w:r>
    </w:p>
    <w:p w:rsidR="008D4DB1" w:rsidRPr="008D4DB1" w:rsidRDefault="008D4DB1" w:rsidP="008D4DB1"/>
    <w:sectPr w:rsidR="008D4DB1" w:rsidRPr="008D4DB1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25" w:rsidRDefault="000B6425" w:rsidP="00F4296A">
      <w:r>
        <w:separator/>
      </w:r>
    </w:p>
  </w:endnote>
  <w:endnote w:type="continuationSeparator" w:id="0">
    <w:p w:rsidR="000B6425" w:rsidRDefault="000B6425" w:rsidP="00F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25" w:rsidRDefault="000B6425" w:rsidP="00F4296A">
      <w:r>
        <w:separator/>
      </w:r>
    </w:p>
  </w:footnote>
  <w:footnote w:type="continuationSeparator" w:id="0">
    <w:p w:rsidR="000B6425" w:rsidRDefault="000B6425" w:rsidP="00F4296A">
      <w:r>
        <w:continuationSeparator/>
      </w:r>
    </w:p>
  </w:footnote>
  <w:footnote w:id="1">
    <w:p w:rsidR="003566BE" w:rsidRPr="00C85CD9" w:rsidRDefault="003566BE" w:rsidP="0074319B">
      <w:pPr>
        <w:pStyle w:val="PQ"/>
      </w:pPr>
      <w:r w:rsidRPr="00C85CD9">
        <w:footnoteRef/>
      </w:r>
      <w:r w:rsidR="00144D20">
        <w:t>.</w:t>
      </w:r>
      <w:r w:rsidR="00144D20">
        <w:tab/>
      </w:r>
      <w:r w:rsidR="0074319B" w:rsidRPr="00C85CD9">
        <w:t>IRC Sec. 1(h</w:t>
      </w:r>
      <w:proofErr w:type="gramStart"/>
      <w:r w:rsidR="0074319B" w:rsidRPr="00C85CD9">
        <w:t>)(</w:t>
      </w:r>
      <w:proofErr w:type="gramEnd"/>
      <w:r w:rsidR="0074319B" w:rsidRPr="00C85CD9">
        <w:t>1)</w:t>
      </w:r>
      <w:r w:rsidR="0074319B">
        <w:t>, as amended by ATRA</w:t>
      </w:r>
      <w:r w:rsidR="0074319B" w:rsidRPr="00C85CD9">
        <w:t>; Notice 97-59, 1997-2 CB 309.</w:t>
      </w:r>
    </w:p>
  </w:footnote>
  <w:footnote w:id="2">
    <w:p w:rsidR="003566BE" w:rsidRPr="00C85CD9" w:rsidRDefault="003566BE" w:rsidP="0074319B">
      <w:pPr>
        <w:pStyle w:val="PQ"/>
      </w:pPr>
      <w:r w:rsidRPr="00C85CD9">
        <w:footnoteRef/>
      </w:r>
      <w:r w:rsidR="00144D20">
        <w:t>.</w:t>
      </w:r>
      <w:r w:rsidR="00144D20">
        <w:tab/>
      </w:r>
      <w:r w:rsidR="0074319B" w:rsidRPr="00C85CD9">
        <w:t xml:space="preserve">IRC Sec. </w:t>
      </w:r>
      <w:proofErr w:type="gramStart"/>
      <w:r w:rsidR="0074319B" w:rsidRPr="00C85CD9">
        <w:t>1211(b</w:t>
      </w:r>
      <w:proofErr w:type="gramEnd"/>
      <w:r w:rsidR="0074319B" w:rsidRPr="00C85CD9">
        <w:t>).</w:t>
      </w:r>
    </w:p>
  </w:footnote>
  <w:footnote w:id="3">
    <w:p w:rsidR="003566BE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>
        <w:t>IRC Sec. 165.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64AA"/>
    <w:rsid w:val="000A22B1"/>
    <w:rsid w:val="000A53C2"/>
    <w:rsid w:val="000B6425"/>
    <w:rsid w:val="000C1776"/>
    <w:rsid w:val="000F4FD7"/>
    <w:rsid w:val="001018D5"/>
    <w:rsid w:val="00135C9D"/>
    <w:rsid w:val="001409E2"/>
    <w:rsid w:val="00144D20"/>
    <w:rsid w:val="0016358E"/>
    <w:rsid w:val="00170900"/>
    <w:rsid w:val="001A5E2D"/>
    <w:rsid w:val="001C40E6"/>
    <w:rsid w:val="001E64C8"/>
    <w:rsid w:val="001F52F4"/>
    <w:rsid w:val="001F73A2"/>
    <w:rsid w:val="00215C3D"/>
    <w:rsid w:val="00255005"/>
    <w:rsid w:val="00271A21"/>
    <w:rsid w:val="00291B69"/>
    <w:rsid w:val="002D4314"/>
    <w:rsid w:val="002E22EE"/>
    <w:rsid w:val="002E34ED"/>
    <w:rsid w:val="00307DB9"/>
    <w:rsid w:val="003566BE"/>
    <w:rsid w:val="00366114"/>
    <w:rsid w:val="00397348"/>
    <w:rsid w:val="003C2E36"/>
    <w:rsid w:val="004120E2"/>
    <w:rsid w:val="00442416"/>
    <w:rsid w:val="00453AA6"/>
    <w:rsid w:val="00475112"/>
    <w:rsid w:val="00491DE8"/>
    <w:rsid w:val="00494472"/>
    <w:rsid w:val="004B69F3"/>
    <w:rsid w:val="004D5C3E"/>
    <w:rsid w:val="004F216D"/>
    <w:rsid w:val="004F7166"/>
    <w:rsid w:val="00523FFD"/>
    <w:rsid w:val="00525224"/>
    <w:rsid w:val="0055012A"/>
    <w:rsid w:val="00592B92"/>
    <w:rsid w:val="005963EF"/>
    <w:rsid w:val="005A0572"/>
    <w:rsid w:val="005D0931"/>
    <w:rsid w:val="006370D0"/>
    <w:rsid w:val="006451B3"/>
    <w:rsid w:val="00661960"/>
    <w:rsid w:val="00667644"/>
    <w:rsid w:val="00672E58"/>
    <w:rsid w:val="00672FCA"/>
    <w:rsid w:val="0067311C"/>
    <w:rsid w:val="006767EC"/>
    <w:rsid w:val="006D7FA7"/>
    <w:rsid w:val="006F6498"/>
    <w:rsid w:val="00713384"/>
    <w:rsid w:val="00715A46"/>
    <w:rsid w:val="007202C3"/>
    <w:rsid w:val="0074319B"/>
    <w:rsid w:val="007B49AE"/>
    <w:rsid w:val="007B5E18"/>
    <w:rsid w:val="007C495E"/>
    <w:rsid w:val="007D5C29"/>
    <w:rsid w:val="007F0BBA"/>
    <w:rsid w:val="007F4511"/>
    <w:rsid w:val="00816BFC"/>
    <w:rsid w:val="0083397D"/>
    <w:rsid w:val="00835B27"/>
    <w:rsid w:val="00871A99"/>
    <w:rsid w:val="00893227"/>
    <w:rsid w:val="008B16D5"/>
    <w:rsid w:val="008C20FB"/>
    <w:rsid w:val="008D3707"/>
    <w:rsid w:val="008D4DB1"/>
    <w:rsid w:val="008D6FC8"/>
    <w:rsid w:val="0092753D"/>
    <w:rsid w:val="009336B8"/>
    <w:rsid w:val="009934EF"/>
    <w:rsid w:val="009C5F6E"/>
    <w:rsid w:val="00A02AF1"/>
    <w:rsid w:val="00A1572A"/>
    <w:rsid w:val="00A20C49"/>
    <w:rsid w:val="00A53374"/>
    <w:rsid w:val="00A540B7"/>
    <w:rsid w:val="00A96188"/>
    <w:rsid w:val="00AE4D8A"/>
    <w:rsid w:val="00AF488D"/>
    <w:rsid w:val="00AF5D01"/>
    <w:rsid w:val="00B31555"/>
    <w:rsid w:val="00B7149F"/>
    <w:rsid w:val="00B74EBD"/>
    <w:rsid w:val="00B86944"/>
    <w:rsid w:val="00BC0EC2"/>
    <w:rsid w:val="00BF3D51"/>
    <w:rsid w:val="00C15AB8"/>
    <w:rsid w:val="00C82361"/>
    <w:rsid w:val="00C9177D"/>
    <w:rsid w:val="00C979CC"/>
    <w:rsid w:val="00CA2508"/>
    <w:rsid w:val="00CD3D7E"/>
    <w:rsid w:val="00CD6002"/>
    <w:rsid w:val="00CF6495"/>
    <w:rsid w:val="00D128C3"/>
    <w:rsid w:val="00D223DC"/>
    <w:rsid w:val="00D243A7"/>
    <w:rsid w:val="00D36C53"/>
    <w:rsid w:val="00D45E0D"/>
    <w:rsid w:val="00D4604C"/>
    <w:rsid w:val="00D63838"/>
    <w:rsid w:val="00D81626"/>
    <w:rsid w:val="00DA7231"/>
    <w:rsid w:val="00DE3662"/>
    <w:rsid w:val="00E03171"/>
    <w:rsid w:val="00E16115"/>
    <w:rsid w:val="00E2338A"/>
    <w:rsid w:val="00E25EBE"/>
    <w:rsid w:val="00E728D7"/>
    <w:rsid w:val="00E75664"/>
    <w:rsid w:val="00E82B16"/>
    <w:rsid w:val="00E853E9"/>
    <w:rsid w:val="00E86B42"/>
    <w:rsid w:val="00E86CF5"/>
    <w:rsid w:val="00EA280B"/>
    <w:rsid w:val="00EC07A2"/>
    <w:rsid w:val="00EC7AA5"/>
    <w:rsid w:val="00ED55E8"/>
    <w:rsid w:val="00EE44FD"/>
    <w:rsid w:val="00F369C4"/>
    <w:rsid w:val="00F37136"/>
    <w:rsid w:val="00F4296A"/>
    <w:rsid w:val="00F53618"/>
    <w:rsid w:val="00F86616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82B1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82B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2B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2B1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82B1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82B1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E82B16"/>
    <w:rPr>
      <w:rFonts w:ascii="Perpetua Std" w:hAnsi="Perpetua Std"/>
      <w:color w:val="000000"/>
      <w:sz w:val="24"/>
    </w:rPr>
  </w:style>
  <w:style w:type="paragraph" w:customStyle="1" w:styleId="PB">
    <w:name w:val="PB"/>
    <w:rsid w:val="00E82B1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E82B1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82B1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82B16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E82B16"/>
    <w:rPr>
      <w:vertAlign w:val="superscript"/>
    </w:rPr>
  </w:style>
  <w:style w:type="paragraph" w:customStyle="1" w:styleId="HD">
    <w:name w:val="HD"/>
    <w:rsid w:val="00E82B1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82B1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E82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E82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E82B16"/>
    <w:pPr>
      <w:spacing w:before="144"/>
      <w:jc w:val="both"/>
    </w:pPr>
    <w:rPr>
      <w:noProof/>
    </w:rPr>
  </w:style>
  <w:style w:type="paragraph" w:customStyle="1" w:styleId="PD">
    <w:name w:val="PD"/>
    <w:rsid w:val="00E82B1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82B1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E82B1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82B1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82B1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82B1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82B1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82B1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82B1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82B1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82B1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82B1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E82B1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8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E82B1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82B1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82B1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82B1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82B1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82B1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82B1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82B16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82B16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82B16"/>
    <w:rPr>
      <w:rFonts w:ascii="Perpetua Std" w:hAnsi="Perpetua Std"/>
    </w:rPr>
  </w:style>
  <w:style w:type="paragraph" w:styleId="NoSpacing">
    <w:name w:val="No Spacing"/>
    <w:qFormat/>
    <w:rsid w:val="00E82B16"/>
    <w:rPr>
      <w:rFonts w:ascii="Perpetua" w:hAnsi="Perpetua"/>
    </w:rPr>
  </w:style>
  <w:style w:type="paragraph" w:customStyle="1" w:styleId="PCA">
    <w:name w:val="PCA"/>
    <w:rsid w:val="00E82B16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82B16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82B16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82B1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82B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2B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2B1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82B1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82B1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E82B16"/>
    <w:rPr>
      <w:rFonts w:ascii="Perpetua Std" w:hAnsi="Perpetua Std"/>
      <w:color w:val="000000"/>
      <w:sz w:val="24"/>
    </w:rPr>
  </w:style>
  <w:style w:type="paragraph" w:customStyle="1" w:styleId="PB">
    <w:name w:val="PB"/>
    <w:rsid w:val="00E82B1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E82B1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82B1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82B16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E82B16"/>
    <w:rPr>
      <w:vertAlign w:val="superscript"/>
    </w:rPr>
  </w:style>
  <w:style w:type="paragraph" w:customStyle="1" w:styleId="HD">
    <w:name w:val="HD"/>
    <w:rsid w:val="00E82B1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82B1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E82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E82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E82B16"/>
    <w:pPr>
      <w:spacing w:before="144"/>
      <w:jc w:val="both"/>
    </w:pPr>
    <w:rPr>
      <w:noProof/>
    </w:rPr>
  </w:style>
  <w:style w:type="paragraph" w:customStyle="1" w:styleId="PD">
    <w:name w:val="PD"/>
    <w:rsid w:val="00E82B1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82B1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E82B1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82B1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82B1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82B1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82B1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82B1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82B1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82B1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82B1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82B1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E82B1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8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E82B1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82B1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82B1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82B1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82B1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82B1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82B1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82B16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82B16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82B16"/>
    <w:rPr>
      <w:rFonts w:ascii="Perpetua Std" w:hAnsi="Perpetua Std"/>
    </w:rPr>
  </w:style>
  <w:style w:type="paragraph" w:styleId="NoSpacing">
    <w:name w:val="No Spacing"/>
    <w:qFormat/>
    <w:rsid w:val="00E82B16"/>
    <w:rPr>
      <w:rFonts w:ascii="Perpetua" w:hAnsi="Perpetua"/>
    </w:rPr>
  </w:style>
  <w:style w:type="paragraph" w:customStyle="1" w:styleId="PCA">
    <w:name w:val="PCA"/>
    <w:rsid w:val="00E82B16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82B16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82B16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8556. What is the netting process used to determine whether the taxpayer has a capital gain or a capital loss?</vt:lpstr>
    </vt:vector>
  </TitlesOfParts>
  <Company>Summit Business Media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8556. What is the netting process used to determine whether the taxpayer has a capital gain or a capital loss?</dc:title>
  <dc:creator>Alexis Long</dc:creator>
  <cp:lastModifiedBy>rcline</cp:lastModifiedBy>
  <cp:revision>2</cp:revision>
  <cp:lastPrinted>2013-08-28T20:59:00Z</cp:lastPrinted>
  <dcterms:created xsi:type="dcterms:W3CDTF">2014-08-21T14:08:00Z</dcterms:created>
  <dcterms:modified xsi:type="dcterms:W3CDTF">2014-08-21T14:08:00Z</dcterms:modified>
</cp:coreProperties>
</file>