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E2" w:rsidRPr="000E78E2" w:rsidRDefault="000E78E2" w:rsidP="00255005">
      <w:pPr>
        <w:pStyle w:val="PA"/>
        <w:rPr>
          <w:b/>
          <w:color w:val="auto"/>
          <w:sz w:val="28"/>
          <w:szCs w:val="28"/>
        </w:rPr>
      </w:pPr>
      <w:bookmarkStart w:id="0" w:name="_GoBack"/>
      <w:bookmarkEnd w:id="0"/>
      <w:r w:rsidRPr="000E78E2">
        <w:rPr>
          <w:b/>
          <w:color w:val="auto"/>
          <w:sz w:val="28"/>
          <w:szCs w:val="28"/>
        </w:rPr>
        <w:t>8555.  Are there any special rules that apply in determining whether the sale of a patent gives rise to capital gains treatment?</w:t>
      </w:r>
    </w:p>
    <w:p w:rsidR="004D5C3E" w:rsidRDefault="004D5C3E" w:rsidP="00255005">
      <w:pPr>
        <w:pStyle w:val="PA"/>
      </w:pPr>
      <w:r>
        <w:t>Unlike</w:t>
      </w:r>
      <w:r w:rsidR="00AE4D8A">
        <w:t xml:space="preserve"> </w:t>
      </w:r>
      <w:r w:rsidR="00B7149F">
        <w:t>typical asset sales, if the</w:t>
      </w:r>
      <w:r>
        <w:t xml:space="preserve"> sale or exchange of a patent meets certain requirements, the sale will </w:t>
      </w:r>
      <w:r w:rsidR="00B7149F">
        <w:t xml:space="preserve">automatically </w:t>
      </w:r>
      <w:r>
        <w:t xml:space="preserve">qualify for long-term capital gains treatment regardless of the transferor’s holding period and whether or not the patent would have been classified as a capital asset in the hands of the </w:t>
      </w:r>
      <w:r w:rsidR="00494472">
        <w:t>holder who transfers the patent</w:t>
      </w:r>
      <w:r>
        <w:t>.</w:t>
      </w:r>
      <w:r w:rsidRPr="0074319B">
        <w:rPr>
          <w:rStyle w:val="FootnoteReference"/>
          <w:szCs w:val="24"/>
        </w:rPr>
        <w:footnoteReference w:id="1"/>
      </w:r>
      <w:r w:rsidR="00816BFC">
        <w:t xml:space="preserve"> </w:t>
      </w:r>
    </w:p>
    <w:p w:rsidR="006D7FA7" w:rsidRDefault="004D5C3E" w:rsidP="00255005">
      <w:pPr>
        <w:pStyle w:val="PA"/>
      </w:pPr>
      <w:r>
        <w:t>Sale of a patent will qualify for long-term capital gains treatment if the holder of the patent transfers either “all substantial rights” in the patent or an undivided interest in the patent.</w:t>
      </w:r>
      <w:r w:rsidR="00816BFC">
        <w:t xml:space="preserve"> </w:t>
      </w:r>
    </w:p>
    <w:p w:rsidR="006D7FA7" w:rsidRDefault="006D7FA7" w:rsidP="00255005">
      <w:pPr>
        <w:pStyle w:val="PA"/>
      </w:pPr>
      <w:r>
        <w:t xml:space="preserve">The phrase “all substantial rights” is defined in the regulations to mean all rights in the patent that have value at the time the rights to the patent are transferred, whether or not the holder of the patent is the owner </w:t>
      </w:r>
      <w:r w:rsidR="00A61956">
        <w:t xml:space="preserve">of </w:t>
      </w:r>
      <w:r>
        <w:t>those rights.</w:t>
      </w:r>
      <w:r w:rsidRPr="0074319B">
        <w:rPr>
          <w:rStyle w:val="FootnoteReference"/>
          <w:szCs w:val="24"/>
        </w:rPr>
        <w:footnoteReference w:id="2"/>
      </w:r>
      <w:r w:rsidR="00816BFC">
        <w:t xml:space="preserve"> </w:t>
      </w:r>
      <w:r>
        <w:t xml:space="preserve">The holder does </w:t>
      </w:r>
      <w:r>
        <w:rPr>
          <w:i/>
        </w:rPr>
        <w:t xml:space="preserve">not </w:t>
      </w:r>
      <w:r>
        <w:t>transfer all substantial rights in the patent if the rights to the patent are:</w:t>
      </w:r>
    </w:p>
    <w:p w:rsidR="006D7FA7" w:rsidRDefault="00255005" w:rsidP="00255005">
      <w:pPr>
        <w:pStyle w:val="PC"/>
      </w:pPr>
      <w:r>
        <w:t>(1)</w:t>
      </w:r>
      <w:r>
        <w:tab/>
      </w:r>
      <w:r w:rsidR="006D7FA7">
        <w:t>limited geographically within the country</w:t>
      </w:r>
      <w:r w:rsidR="00E86CF5">
        <w:t>;</w:t>
      </w:r>
    </w:p>
    <w:p w:rsidR="006D7FA7" w:rsidRDefault="00255005" w:rsidP="00255005">
      <w:pPr>
        <w:pStyle w:val="PC"/>
      </w:pPr>
      <w:r>
        <w:t>(2)</w:t>
      </w:r>
      <w:r>
        <w:tab/>
      </w:r>
      <w:proofErr w:type="gramStart"/>
      <w:r w:rsidR="006D7FA7" w:rsidRPr="006D7FA7">
        <w:t>confined</w:t>
      </w:r>
      <w:proofErr w:type="gramEnd"/>
      <w:r w:rsidR="006D7FA7" w:rsidRPr="006D7FA7">
        <w:t xml:space="preserve"> to a period of time that is les</w:t>
      </w:r>
      <w:r w:rsidR="006D7FA7">
        <w:t>s than the entire remaining life of the patent</w:t>
      </w:r>
      <w:r w:rsidR="00E86CF5">
        <w:t>;</w:t>
      </w:r>
    </w:p>
    <w:p w:rsidR="006D7FA7" w:rsidRDefault="00255005" w:rsidP="00255005">
      <w:pPr>
        <w:pStyle w:val="PC"/>
      </w:pPr>
      <w:r>
        <w:t>(3)</w:t>
      </w:r>
      <w:r>
        <w:tab/>
      </w:r>
      <w:r w:rsidR="000A53C2">
        <w:t>limited to</w:t>
      </w:r>
      <w:r w:rsidR="006D7FA7">
        <w:t xml:space="preserve"> a grant of rights</w:t>
      </w:r>
      <w:r w:rsidR="000A53C2">
        <w:t>,</w:t>
      </w:r>
      <w:r w:rsidR="00816BFC">
        <w:t xml:space="preserve"> </w:t>
      </w:r>
      <w:r w:rsidR="006D7FA7">
        <w:t xml:space="preserve">in </w:t>
      </w:r>
      <w:r w:rsidR="000A53C2">
        <w:t xml:space="preserve">fields of use within trades or </w:t>
      </w:r>
      <w:r w:rsidR="006D7FA7">
        <w:t>industries</w:t>
      </w:r>
      <w:r w:rsidR="000A53C2">
        <w:t>,</w:t>
      </w:r>
      <w:r w:rsidR="006D7FA7">
        <w:t xml:space="preserve"> which are less than all the rights covered by the patent that exist and have value at the time of the transfer</w:t>
      </w:r>
      <w:r w:rsidR="00E86CF5">
        <w:t>;</w:t>
      </w:r>
      <w:r w:rsidR="006D7FA7">
        <w:t xml:space="preserve"> </w:t>
      </w:r>
      <w:r w:rsidR="000A53C2">
        <w:t>or</w:t>
      </w:r>
    </w:p>
    <w:p w:rsidR="000A53C2" w:rsidRDefault="00255005" w:rsidP="00255005">
      <w:pPr>
        <w:pStyle w:val="PC"/>
      </w:pPr>
      <w:r>
        <w:t>(4)</w:t>
      </w:r>
      <w:r>
        <w:tab/>
      </w:r>
      <w:proofErr w:type="gramStart"/>
      <w:r w:rsidR="000A53C2">
        <w:t>limited</w:t>
      </w:r>
      <w:proofErr w:type="gramEnd"/>
      <w:r w:rsidR="000A53C2">
        <w:t xml:space="preserve"> to a grant of rights that does not give the transferee rights to all the claims and inventions covered by the patent that exist and have value at the time of sale.</w:t>
      </w:r>
      <w:r w:rsidR="000A53C2" w:rsidRPr="0074319B">
        <w:rPr>
          <w:rStyle w:val="FootnoteReference"/>
          <w:szCs w:val="24"/>
        </w:rPr>
        <w:footnoteReference w:id="3"/>
      </w:r>
      <w:r w:rsidR="00816BFC">
        <w:t xml:space="preserve"> </w:t>
      </w:r>
    </w:p>
    <w:p w:rsidR="00A20C49" w:rsidRDefault="000A53C2" w:rsidP="00255005">
      <w:pPr>
        <w:pStyle w:val="PA"/>
      </w:pPr>
      <w:r w:rsidRPr="000A53C2">
        <w:t xml:space="preserve">Conversely, the holder </w:t>
      </w:r>
      <w:r w:rsidR="00821087">
        <w:t xml:space="preserve">does not lose long-term capital gain treatment by retaining rights that are </w:t>
      </w:r>
      <w:r w:rsidRPr="000A53C2">
        <w:t>not considered substantial.</w:t>
      </w:r>
      <w:r w:rsidR="00A20C49">
        <w:t xml:space="preserve"> The regulations provide that, depending upon all of the facts and circumstances of the transaction as a whole, the holder may retain the right to prohibit sub</w:t>
      </w:r>
      <w:r w:rsidR="00E86CF5">
        <w:t>-</w:t>
      </w:r>
      <w:r w:rsidR="00A20C49">
        <w:t xml:space="preserve">licensing or sub-assignment by the transferee and may also fail to convey the right to use or sell the property that is the </w:t>
      </w:r>
      <w:r w:rsidR="00A20C49">
        <w:rPr>
          <w:i/>
        </w:rPr>
        <w:t>subject</w:t>
      </w:r>
      <w:r w:rsidR="00A20C49">
        <w:t xml:space="preserve"> of the patent.</w:t>
      </w:r>
      <w:r w:rsidR="00A20C49" w:rsidRPr="0074319B">
        <w:rPr>
          <w:rStyle w:val="FootnoteReference"/>
          <w:szCs w:val="24"/>
        </w:rPr>
        <w:footnoteReference w:id="4"/>
      </w:r>
      <w:r w:rsidR="00816BFC">
        <w:t xml:space="preserve"> </w:t>
      </w:r>
    </w:p>
    <w:p w:rsidR="00494472" w:rsidRDefault="00A20C49" w:rsidP="00255005">
      <w:pPr>
        <w:pStyle w:val="PA"/>
      </w:pPr>
      <w:r>
        <w:t xml:space="preserve">The holder transfers an </w:t>
      </w:r>
      <w:r w:rsidR="00B7149F">
        <w:t>“</w:t>
      </w:r>
      <w:r>
        <w:t>undivided interest</w:t>
      </w:r>
      <w:r w:rsidR="00B7149F">
        <w:t>”</w:t>
      </w:r>
      <w:r>
        <w:t xml:space="preserve"> in a patent when </w:t>
      </w:r>
      <w:r w:rsidR="00E86CF5">
        <w:t>the holder</w:t>
      </w:r>
      <w:r>
        <w:t xml:space="preserve"> transfers the same fractional share of every substantial right in the patent.</w:t>
      </w:r>
      <w:r w:rsidR="00816BFC">
        <w:t xml:space="preserve"> </w:t>
      </w:r>
      <w:r>
        <w:t>A sale of the right to income from a patent, for example, does not constitute the sale of an undivided interest in the patent.</w:t>
      </w:r>
      <w:r w:rsidRPr="0074319B">
        <w:rPr>
          <w:rStyle w:val="FootnoteReference"/>
          <w:szCs w:val="24"/>
        </w:rPr>
        <w:footnoteReference w:id="5"/>
      </w:r>
      <w:r w:rsidR="00816BFC">
        <w:t xml:space="preserve"> </w:t>
      </w:r>
    </w:p>
    <w:p w:rsidR="00CD6002" w:rsidRDefault="00494472" w:rsidP="00255005">
      <w:pPr>
        <w:pStyle w:val="PA"/>
      </w:pPr>
      <w:r>
        <w:t>This treatment is not available to all patent holders, however.</w:t>
      </w:r>
      <w:r w:rsidR="00816BFC">
        <w:t xml:space="preserve"> </w:t>
      </w:r>
      <w:r>
        <w:t xml:space="preserve">The term “holder” is defined in IRC Section 1235 to include only (1) the original inventor of the property subject </w:t>
      </w:r>
      <w:r>
        <w:lastRenderedPageBreak/>
        <w:t>to the patent</w:t>
      </w:r>
      <w:r w:rsidR="00A61956">
        <w:t xml:space="preserve"> and </w:t>
      </w:r>
      <w:r>
        <w:t xml:space="preserve">(2) an individual who obtained his rights in the patent in exchange for money or other property </w:t>
      </w:r>
      <w:r>
        <w:rPr>
          <w:i/>
        </w:rPr>
        <w:t>before</w:t>
      </w:r>
      <w:r>
        <w:t xml:space="preserve"> the property subject to the patent was actually put to use </w:t>
      </w:r>
      <w:r w:rsidRPr="00494472">
        <w:rPr>
          <w:i/>
        </w:rPr>
        <w:t>if</w:t>
      </w:r>
      <w:r>
        <w:t xml:space="preserve"> that individual is neither (</w:t>
      </w:r>
      <w:proofErr w:type="spellStart"/>
      <w:r>
        <w:t>i</w:t>
      </w:r>
      <w:proofErr w:type="spellEnd"/>
      <w:r>
        <w:t>) the inventor’s employer or (ii) related to the inventor.</w:t>
      </w:r>
      <w:r w:rsidRPr="0074319B">
        <w:rPr>
          <w:rStyle w:val="FootnoteReference"/>
          <w:szCs w:val="24"/>
        </w:rPr>
        <w:footnoteReference w:id="6"/>
      </w:r>
      <w:r w:rsidR="00816BFC">
        <w:t xml:space="preserve"> </w:t>
      </w:r>
    </w:p>
    <w:p w:rsidR="00A20C49" w:rsidRDefault="00B7149F" w:rsidP="00255005">
      <w:pPr>
        <w:pStyle w:val="PP"/>
      </w:pPr>
      <w:r w:rsidRPr="00255005">
        <w:rPr>
          <w:b/>
        </w:rPr>
        <w:t>Planning Point</w:t>
      </w:r>
      <w:r w:rsidRPr="00255005">
        <w:t>:</w:t>
      </w:r>
      <w:r>
        <w:rPr>
          <w:i/>
        </w:rPr>
        <w:t xml:space="preserve"> </w:t>
      </w:r>
      <w:r w:rsidR="007F0BBA">
        <w:t>Due to</w:t>
      </w:r>
      <w:r>
        <w:t xml:space="preserve"> the limited definition of “holder”</w:t>
      </w:r>
      <w:r w:rsidR="007F0BBA">
        <w:t xml:space="preserve"> under the patent laws,</w:t>
      </w:r>
      <w:r w:rsidR="00CD6002">
        <w:t xml:space="preserve"> if an employer maintains the rights to patents on property invented by its employees, the employer will not be eligible for this special capital gains treatment upon sale of the patent.</w:t>
      </w:r>
      <w:r w:rsidR="00816BFC">
        <w:t xml:space="preserve"> </w:t>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20" w:rsidRDefault="00F71320" w:rsidP="00F4296A">
      <w:r>
        <w:separator/>
      </w:r>
    </w:p>
  </w:endnote>
  <w:endnote w:type="continuationSeparator" w:id="0">
    <w:p w:rsidR="00F71320" w:rsidRDefault="00F71320"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20" w:rsidRDefault="00F71320" w:rsidP="00F4296A">
      <w:r>
        <w:separator/>
      </w:r>
    </w:p>
  </w:footnote>
  <w:footnote w:type="continuationSeparator" w:id="0">
    <w:p w:rsidR="00F71320" w:rsidRDefault="00F71320" w:rsidP="00F4296A">
      <w:r>
        <w:continuationSeparator/>
      </w:r>
    </w:p>
  </w:footnote>
  <w:footnote w:id="1">
    <w:p w:rsidR="003566BE" w:rsidRDefault="003566BE" w:rsidP="0074319B">
      <w:pPr>
        <w:pStyle w:val="PQ"/>
      </w:pPr>
      <w:r w:rsidRPr="00816BFC">
        <w:rPr>
          <w:rStyle w:val="FootnoteReference"/>
          <w:vertAlign w:val="baseline"/>
        </w:rPr>
        <w:footnoteRef/>
      </w:r>
      <w:r w:rsidR="00144D20">
        <w:t>.</w:t>
      </w:r>
      <w:r w:rsidR="00144D20">
        <w:tab/>
      </w:r>
      <w:r w:rsidR="0074319B">
        <w:t xml:space="preserve">IRC Sec. </w:t>
      </w:r>
      <w:proofErr w:type="gramStart"/>
      <w:r w:rsidR="0074319B">
        <w:t>1235(a</w:t>
      </w:r>
      <w:proofErr w:type="gramEnd"/>
      <w:r w:rsidR="0074319B">
        <w:t>).</w:t>
      </w:r>
    </w:p>
  </w:footnote>
  <w:footnote w:id="2">
    <w:p w:rsidR="003566BE" w:rsidRDefault="003566BE" w:rsidP="0074319B">
      <w:pPr>
        <w:pStyle w:val="PQ"/>
      </w:pPr>
      <w:r w:rsidRPr="00816BFC">
        <w:rPr>
          <w:rStyle w:val="FootnoteReference"/>
          <w:vertAlign w:val="baseline"/>
        </w:rPr>
        <w:footnoteRef/>
      </w:r>
      <w:r w:rsidR="00144D20">
        <w:t>.</w:t>
      </w:r>
      <w:r w:rsidR="00144D20">
        <w:tab/>
      </w:r>
      <w:r w:rsidR="0074319B">
        <w:t>Treas. Reg. §1.1235-2(b</w:t>
      </w:r>
      <w:proofErr w:type="gramStart"/>
      <w:r w:rsidR="0074319B">
        <w:t>)(</w:t>
      </w:r>
      <w:proofErr w:type="gramEnd"/>
      <w:r w:rsidR="0074319B">
        <w:t>1).</w:t>
      </w:r>
    </w:p>
  </w:footnote>
  <w:footnote w:id="3">
    <w:p w:rsidR="003566BE" w:rsidRDefault="003566BE" w:rsidP="0074319B">
      <w:pPr>
        <w:pStyle w:val="PQ"/>
      </w:pPr>
      <w:r w:rsidRPr="00816BFC">
        <w:rPr>
          <w:rStyle w:val="FootnoteReference"/>
          <w:vertAlign w:val="baseline"/>
        </w:rPr>
        <w:footnoteRef/>
      </w:r>
      <w:r w:rsidR="00144D20">
        <w:t>.</w:t>
      </w:r>
      <w:r w:rsidR="00144D20">
        <w:tab/>
      </w:r>
      <w:r w:rsidR="0074319B">
        <w:t>Treas. Reg. §1.1235-2(b</w:t>
      </w:r>
      <w:proofErr w:type="gramStart"/>
      <w:r w:rsidR="0074319B">
        <w:t>)(</w:t>
      </w:r>
      <w:proofErr w:type="gramEnd"/>
      <w:r w:rsidR="0074319B">
        <w:t>2).</w:t>
      </w:r>
    </w:p>
  </w:footnote>
  <w:footnote w:id="4">
    <w:p w:rsidR="003566BE" w:rsidRDefault="003566BE" w:rsidP="0074319B">
      <w:pPr>
        <w:pStyle w:val="PQ"/>
      </w:pPr>
      <w:r w:rsidRPr="00816BFC">
        <w:rPr>
          <w:rStyle w:val="FootnoteReference"/>
          <w:vertAlign w:val="baseline"/>
        </w:rPr>
        <w:footnoteRef/>
      </w:r>
      <w:r w:rsidR="00144D20">
        <w:t>.</w:t>
      </w:r>
      <w:r w:rsidR="00144D20">
        <w:tab/>
      </w:r>
      <w:r w:rsidR="0074319B">
        <w:t>Treas. Reg. §1.1235-2(b</w:t>
      </w:r>
      <w:proofErr w:type="gramStart"/>
      <w:r w:rsidR="0074319B">
        <w:t>)(</w:t>
      </w:r>
      <w:proofErr w:type="gramEnd"/>
      <w:r w:rsidR="0074319B">
        <w:t>3).</w:t>
      </w:r>
    </w:p>
  </w:footnote>
  <w:footnote w:id="5">
    <w:p w:rsidR="003566BE" w:rsidRDefault="003566BE" w:rsidP="0074319B">
      <w:pPr>
        <w:pStyle w:val="PQ"/>
      </w:pPr>
      <w:r w:rsidRPr="00816BFC">
        <w:rPr>
          <w:rStyle w:val="FootnoteReference"/>
          <w:vertAlign w:val="baseline"/>
        </w:rPr>
        <w:footnoteRef/>
      </w:r>
      <w:r w:rsidR="00144D20">
        <w:t>.</w:t>
      </w:r>
      <w:r w:rsidR="00144D20">
        <w:tab/>
      </w:r>
      <w:r w:rsidR="0074319B">
        <w:t>Treas. Reg. §1.1235-2(c).</w:t>
      </w:r>
    </w:p>
  </w:footnote>
  <w:footnote w:id="6">
    <w:p w:rsidR="003566BE" w:rsidRDefault="003566BE" w:rsidP="0074319B">
      <w:pPr>
        <w:pStyle w:val="PQ"/>
      </w:pPr>
      <w:r w:rsidRPr="00816BFC">
        <w:rPr>
          <w:rStyle w:val="FootnoteReference"/>
          <w:vertAlign w:val="baseline"/>
        </w:rPr>
        <w:footnoteRef/>
      </w:r>
      <w:r w:rsidR="00144D20">
        <w:t>.</w:t>
      </w:r>
      <w:r w:rsidR="00144D20">
        <w:tab/>
      </w:r>
      <w:r w:rsidR="0074319B">
        <w:t xml:space="preserve">IRC Sec. </w:t>
      </w:r>
      <w:proofErr w:type="gramStart"/>
      <w:r w:rsidR="0074319B">
        <w:t>1235(b</w:t>
      </w:r>
      <w:proofErr w:type="gramEnd"/>
      <w:r w:rsidR="0074319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A22B1"/>
    <w:rsid w:val="000A53C2"/>
    <w:rsid w:val="000C1776"/>
    <w:rsid w:val="000E78E2"/>
    <w:rsid w:val="000F4FD7"/>
    <w:rsid w:val="001018D5"/>
    <w:rsid w:val="00135C9D"/>
    <w:rsid w:val="001409E2"/>
    <w:rsid w:val="00144D20"/>
    <w:rsid w:val="0016358E"/>
    <w:rsid w:val="00170900"/>
    <w:rsid w:val="001A5E2D"/>
    <w:rsid w:val="001C40E6"/>
    <w:rsid w:val="001E64C8"/>
    <w:rsid w:val="001F52F4"/>
    <w:rsid w:val="001F73A2"/>
    <w:rsid w:val="00215C3D"/>
    <w:rsid w:val="00221C16"/>
    <w:rsid w:val="00255005"/>
    <w:rsid w:val="00271A21"/>
    <w:rsid w:val="00291B69"/>
    <w:rsid w:val="002D4314"/>
    <w:rsid w:val="002E22EE"/>
    <w:rsid w:val="00307DB9"/>
    <w:rsid w:val="0034085E"/>
    <w:rsid w:val="003566BE"/>
    <w:rsid w:val="00366114"/>
    <w:rsid w:val="003902C2"/>
    <w:rsid w:val="004120E2"/>
    <w:rsid w:val="00442416"/>
    <w:rsid w:val="00453AA6"/>
    <w:rsid w:val="00475112"/>
    <w:rsid w:val="00491DE8"/>
    <w:rsid w:val="00494472"/>
    <w:rsid w:val="004B69F3"/>
    <w:rsid w:val="004D5C3E"/>
    <w:rsid w:val="004F216D"/>
    <w:rsid w:val="00523FFD"/>
    <w:rsid w:val="00525224"/>
    <w:rsid w:val="00547225"/>
    <w:rsid w:val="0055012A"/>
    <w:rsid w:val="005963EF"/>
    <w:rsid w:val="005D0931"/>
    <w:rsid w:val="006370D0"/>
    <w:rsid w:val="006451B3"/>
    <w:rsid w:val="00672FCA"/>
    <w:rsid w:val="0067311C"/>
    <w:rsid w:val="006767EC"/>
    <w:rsid w:val="006D7FA7"/>
    <w:rsid w:val="006F6498"/>
    <w:rsid w:val="00713384"/>
    <w:rsid w:val="00715A46"/>
    <w:rsid w:val="007202C3"/>
    <w:rsid w:val="0074319B"/>
    <w:rsid w:val="007B49AE"/>
    <w:rsid w:val="007B5E18"/>
    <w:rsid w:val="007C495E"/>
    <w:rsid w:val="007D5C29"/>
    <w:rsid w:val="007F0BBA"/>
    <w:rsid w:val="007F4511"/>
    <w:rsid w:val="00816BFC"/>
    <w:rsid w:val="00821087"/>
    <w:rsid w:val="0083397D"/>
    <w:rsid w:val="00835B27"/>
    <w:rsid w:val="00871A99"/>
    <w:rsid w:val="00893227"/>
    <w:rsid w:val="008B16D5"/>
    <w:rsid w:val="008C20FB"/>
    <w:rsid w:val="008C462F"/>
    <w:rsid w:val="008D3707"/>
    <w:rsid w:val="008D6FC8"/>
    <w:rsid w:val="008F1B86"/>
    <w:rsid w:val="00906ECA"/>
    <w:rsid w:val="0092753D"/>
    <w:rsid w:val="009934EF"/>
    <w:rsid w:val="009B709B"/>
    <w:rsid w:val="009C5F6E"/>
    <w:rsid w:val="009E42C8"/>
    <w:rsid w:val="00A02AF1"/>
    <w:rsid w:val="00A1572A"/>
    <w:rsid w:val="00A20C49"/>
    <w:rsid w:val="00A53374"/>
    <w:rsid w:val="00A540B7"/>
    <w:rsid w:val="00A61956"/>
    <w:rsid w:val="00A96188"/>
    <w:rsid w:val="00AE4D8A"/>
    <w:rsid w:val="00AF5D01"/>
    <w:rsid w:val="00B31555"/>
    <w:rsid w:val="00B7149F"/>
    <w:rsid w:val="00B86944"/>
    <w:rsid w:val="00BC0EC2"/>
    <w:rsid w:val="00BD4B84"/>
    <w:rsid w:val="00BF3D51"/>
    <w:rsid w:val="00C12815"/>
    <w:rsid w:val="00C15AB8"/>
    <w:rsid w:val="00C82361"/>
    <w:rsid w:val="00C942FE"/>
    <w:rsid w:val="00C979CC"/>
    <w:rsid w:val="00CA2508"/>
    <w:rsid w:val="00CD3D7E"/>
    <w:rsid w:val="00CD6002"/>
    <w:rsid w:val="00CF6495"/>
    <w:rsid w:val="00D128C3"/>
    <w:rsid w:val="00D223DC"/>
    <w:rsid w:val="00D243A7"/>
    <w:rsid w:val="00D36C53"/>
    <w:rsid w:val="00D45E0D"/>
    <w:rsid w:val="00D74760"/>
    <w:rsid w:val="00D81626"/>
    <w:rsid w:val="00DA7231"/>
    <w:rsid w:val="00DE3662"/>
    <w:rsid w:val="00DF47BE"/>
    <w:rsid w:val="00E03171"/>
    <w:rsid w:val="00E2338A"/>
    <w:rsid w:val="00E25EBE"/>
    <w:rsid w:val="00E64F34"/>
    <w:rsid w:val="00E728D7"/>
    <w:rsid w:val="00E75664"/>
    <w:rsid w:val="00E853E9"/>
    <w:rsid w:val="00E86B42"/>
    <w:rsid w:val="00E86CF5"/>
    <w:rsid w:val="00EA280B"/>
    <w:rsid w:val="00EC07A2"/>
    <w:rsid w:val="00EC7AA5"/>
    <w:rsid w:val="00ED55E8"/>
    <w:rsid w:val="00EE44FD"/>
    <w:rsid w:val="00F369C4"/>
    <w:rsid w:val="00F37136"/>
    <w:rsid w:val="00F4296A"/>
    <w:rsid w:val="00F53618"/>
    <w:rsid w:val="00F71320"/>
    <w:rsid w:val="00F91BB1"/>
    <w:rsid w:val="00FA7B59"/>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47225"/>
    <w:rPr>
      <w:rFonts w:ascii="Perpetua Std" w:hAnsi="Perpetua Std"/>
    </w:rPr>
  </w:style>
  <w:style w:type="paragraph" w:styleId="Heading1">
    <w:name w:val="heading 1"/>
    <w:basedOn w:val="Normal"/>
    <w:next w:val="Normal"/>
    <w:link w:val="Heading1Char"/>
    <w:qFormat/>
    <w:rsid w:val="00547225"/>
    <w:pPr>
      <w:keepNext/>
      <w:outlineLvl w:val="0"/>
    </w:pPr>
    <w:rPr>
      <w:b/>
    </w:rPr>
  </w:style>
  <w:style w:type="paragraph" w:styleId="Heading2">
    <w:name w:val="heading 2"/>
    <w:basedOn w:val="Normal"/>
    <w:next w:val="Normal"/>
    <w:link w:val="Heading2Char"/>
    <w:qFormat/>
    <w:rsid w:val="00547225"/>
    <w:pPr>
      <w:keepNext/>
      <w:spacing w:before="240" w:after="60"/>
      <w:outlineLvl w:val="1"/>
    </w:pPr>
    <w:rPr>
      <w:rFonts w:ascii="Arial" w:hAnsi="Arial"/>
      <w:b/>
      <w:i/>
      <w:sz w:val="24"/>
    </w:rPr>
  </w:style>
  <w:style w:type="paragraph" w:styleId="Heading3">
    <w:name w:val="heading 3"/>
    <w:basedOn w:val="Normal"/>
    <w:next w:val="Normal"/>
    <w:link w:val="Heading3Char"/>
    <w:qFormat/>
    <w:rsid w:val="0054722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547225"/>
    <w:pPr>
      <w:spacing w:after="240"/>
      <w:jc w:val="both"/>
    </w:pPr>
    <w:rPr>
      <w:rFonts w:ascii="Helvetica LT Std" w:hAnsi="Helvetica LT Std"/>
      <w:b/>
      <w:color w:val="000000"/>
      <w:sz w:val="26"/>
    </w:rPr>
  </w:style>
  <w:style w:type="paragraph" w:customStyle="1" w:styleId="PA">
    <w:name w:val="PA"/>
    <w:next w:val="Normal"/>
    <w:link w:val="PAChar"/>
    <w:rsid w:val="00547225"/>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547225"/>
    <w:rPr>
      <w:rFonts w:ascii="Perpetua Std" w:hAnsi="Perpetua Std"/>
      <w:color w:val="000000"/>
      <w:sz w:val="24"/>
    </w:rPr>
  </w:style>
  <w:style w:type="paragraph" w:customStyle="1" w:styleId="PB">
    <w:name w:val="PB"/>
    <w:rsid w:val="00547225"/>
    <w:pPr>
      <w:spacing w:after="240"/>
      <w:jc w:val="both"/>
    </w:pPr>
    <w:rPr>
      <w:rFonts w:ascii="Perpetua Std" w:hAnsi="Perpetua Std"/>
      <w:color w:val="000000"/>
      <w:sz w:val="24"/>
    </w:rPr>
  </w:style>
  <w:style w:type="paragraph" w:customStyle="1" w:styleId="PC">
    <w:name w:val="PC"/>
    <w:rsid w:val="00547225"/>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547225"/>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47225"/>
    <w:rPr>
      <w:rFonts w:ascii="Adobe Caslon Pro" w:hAnsi="Adobe Caslon Pro"/>
      <w:color w:val="000000"/>
      <w:sz w:val="14"/>
    </w:rPr>
  </w:style>
  <w:style w:type="character" w:styleId="FootnoteReference">
    <w:name w:val="footnote reference"/>
    <w:rsid w:val="00547225"/>
    <w:rPr>
      <w:vertAlign w:val="superscript"/>
    </w:rPr>
  </w:style>
  <w:style w:type="paragraph" w:customStyle="1" w:styleId="HD">
    <w:name w:val="HD"/>
    <w:rsid w:val="00547225"/>
    <w:pPr>
      <w:suppressAutoHyphens/>
      <w:spacing w:before="120"/>
      <w:jc w:val="center"/>
    </w:pPr>
    <w:rPr>
      <w:rFonts w:ascii="Helvetica LT Std" w:hAnsi="Helvetica LT Std"/>
      <w:sz w:val="26"/>
      <w:szCs w:val="18"/>
    </w:rPr>
  </w:style>
  <w:style w:type="paragraph" w:customStyle="1" w:styleId="PN">
    <w:name w:val="PN"/>
    <w:rsid w:val="00547225"/>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547225"/>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547225"/>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547225"/>
    <w:pPr>
      <w:spacing w:before="144"/>
      <w:jc w:val="both"/>
    </w:pPr>
    <w:rPr>
      <w:noProof/>
    </w:rPr>
  </w:style>
  <w:style w:type="paragraph" w:customStyle="1" w:styleId="PD">
    <w:name w:val="PD"/>
    <w:rsid w:val="00547225"/>
    <w:pPr>
      <w:spacing w:after="240"/>
      <w:ind w:left="720" w:firstLine="288"/>
      <w:jc w:val="both"/>
    </w:pPr>
    <w:rPr>
      <w:rFonts w:ascii="Perpetua Std" w:hAnsi="Perpetua Std"/>
      <w:color w:val="000000"/>
      <w:sz w:val="24"/>
    </w:rPr>
  </w:style>
  <w:style w:type="paragraph" w:customStyle="1" w:styleId="PE">
    <w:name w:val="PE"/>
    <w:rsid w:val="00547225"/>
    <w:pPr>
      <w:spacing w:after="240"/>
      <w:ind w:left="720"/>
      <w:jc w:val="both"/>
    </w:pPr>
    <w:rPr>
      <w:rFonts w:ascii="Perpetua Std" w:hAnsi="Perpetua Std"/>
      <w:color w:val="000000"/>
      <w:sz w:val="24"/>
    </w:rPr>
  </w:style>
  <w:style w:type="paragraph" w:customStyle="1" w:styleId="PF">
    <w:name w:val="PF"/>
    <w:rsid w:val="00547225"/>
    <w:pPr>
      <w:tabs>
        <w:tab w:val="left" w:pos="1080"/>
      </w:tabs>
      <w:spacing w:after="240"/>
      <w:ind w:left="1080" w:hanging="360"/>
      <w:jc w:val="both"/>
    </w:pPr>
    <w:rPr>
      <w:rFonts w:ascii="Perpetua Std" w:hAnsi="Perpetua Std"/>
      <w:color w:val="000000"/>
      <w:sz w:val="24"/>
    </w:rPr>
  </w:style>
  <w:style w:type="paragraph" w:customStyle="1" w:styleId="PG">
    <w:name w:val="PG"/>
    <w:rsid w:val="00547225"/>
    <w:pPr>
      <w:spacing w:after="240"/>
      <w:ind w:left="360"/>
      <w:jc w:val="both"/>
    </w:pPr>
    <w:rPr>
      <w:rFonts w:ascii="Perpetua Std" w:hAnsi="Perpetua Std"/>
      <w:color w:val="000000"/>
      <w:sz w:val="24"/>
    </w:rPr>
  </w:style>
  <w:style w:type="paragraph" w:customStyle="1" w:styleId="PH">
    <w:name w:val="PH"/>
    <w:rsid w:val="00547225"/>
    <w:pPr>
      <w:tabs>
        <w:tab w:val="left" w:pos="360"/>
      </w:tabs>
      <w:spacing w:after="240"/>
      <w:ind w:left="360" w:hanging="360"/>
      <w:jc w:val="both"/>
    </w:pPr>
    <w:rPr>
      <w:rFonts w:ascii="Perpetua Std" w:hAnsi="Perpetua Std"/>
      <w:color w:val="000000"/>
      <w:sz w:val="24"/>
    </w:rPr>
  </w:style>
  <w:style w:type="paragraph" w:customStyle="1" w:styleId="PI">
    <w:name w:val="PI"/>
    <w:rsid w:val="00547225"/>
    <w:pPr>
      <w:spacing w:after="240"/>
      <w:ind w:left="360" w:hanging="360"/>
      <w:jc w:val="both"/>
    </w:pPr>
    <w:rPr>
      <w:rFonts w:ascii="Perpetua Std" w:hAnsi="Perpetua Std"/>
      <w:color w:val="000000"/>
      <w:sz w:val="24"/>
    </w:rPr>
  </w:style>
  <w:style w:type="paragraph" w:customStyle="1" w:styleId="PK">
    <w:name w:val="PK"/>
    <w:rsid w:val="00547225"/>
    <w:pPr>
      <w:spacing w:after="240"/>
      <w:ind w:left="360" w:firstLine="288"/>
      <w:jc w:val="both"/>
    </w:pPr>
    <w:rPr>
      <w:rFonts w:ascii="Perpetua Std" w:hAnsi="Perpetua Std"/>
      <w:color w:val="000000"/>
      <w:sz w:val="24"/>
    </w:rPr>
  </w:style>
  <w:style w:type="paragraph" w:customStyle="1" w:styleId="PL">
    <w:name w:val="PL"/>
    <w:rsid w:val="00547225"/>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47225"/>
    <w:pPr>
      <w:spacing w:after="240"/>
      <w:ind w:left="432" w:right="432" w:firstLine="432"/>
      <w:jc w:val="both"/>
    </w:pPr>
    <w:rPr>
      <w:rFonts w:ascii="Minion Pro" w:hAnsi="Minion Pro"/>
    </w:rPr>
  </w:style>
  <w:style w:type="paragraph" w:customStyle="1" w:styleId="TOC">
    <w:name w:val="TOC"/>
    <w:autoRedefine/>
    <w:rsid w:val="00547225"/>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47225"/>
    <w:pPr>
      <w:tabs>
        <w:tab w:val="clear" w:pos="1440"/>
        <w:tab w:val="clear" w:pos="8640"/>
        <w:tab w:val="left" w:pos="240"/>
        <w:tab w:val="left" w:pos="480"/>
        <w:tab w:val="right" w:leader="dot" w:pos="4680"/>
      </w:tabs>
      <w:ind w:left="0" w:firstLine="0"/>
    </w:pPr>
    <w:rPr>
      <w:sz w:val="22"/>
    </w:rPr>
  </w:style>
  <w:style w:type="paragraph" w:customStyle="1" w:styleId="PP">
    <w:name w:val="PP"/>
    <w:rsid w:val="00547225"/>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47225"/>
    <w:pPr>
      <w:spacing w:before="120" w:after="120"/>
      <w:jc w:val="center"/>
    </w:pPr>
    <w:rPr>
      <w:rFonts w:ascii="Helvetica LT Std" w:hAnsi="Helvetica LT Std"/>
      <w:sz w:val="24"/>
    </w:rPr>
  </w:style>
  <w:style w:type="table" w:styleId="TableGrid">
    <w:name w:val="Table Grid"/>
    <w:basedOn w:val="TableNormal"/>
    <w:rsid w:val="0054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547225"/>
    <w:pPr>
      <w:spacing w:after="240"/>
      <w:jc w:val="center"/>
    </w:pPr>
    <w:rPr>
      <w:rFonts w:ascii="Helvetica LT Std" w:hAnsi="Helvetica LT Std"/>
      <w:b/>
      <w:caps/>
      <w:color w:val="000000"/>
      <w:sz w:val="36"/>
      <w:szCs w:val="32"/>
    </w:rPr>
  </w:style>
  <w:style w:type="paragraph" w:customStyle="1" w:styleId="HB">
    <w:name w:val="HB"/>
    <w:rsid w:val="00547225"/>
    <w:pPr>
      <w:spacing w:before="120" w:after="240"/>
      <w:jc w:val="center"/>
    </w:pPr>
    <w:rPr>
      <w:rFonts w:ascii="Helvetica LT Std" w:hAnsi="Helvetica LT Std"/>
      <w:b/>
      <w:color w:val="5F5F5F"/>
      <w:w w:val="105"/>
      <w:sz w:val="32"/>
    </w:rPr>
  </w:style>
  <w:style w:type="paragraph" w:customStyle="1" w:styleId="HC">
    <w:name w:val="HC"/>
    <w:autoRedefine/>
    <w:rsid w:val="00547225"/>
    <w:pPr>
      <w:tabs>
        <w:tab w:val="left" w:pos="284"/>
      </w:tabs>
      <w:spacing w:before="120" w:after="120"/>
      <w:jc w:val="center"/>
    </w:pPr>
    <w:rPr>
      <w:rFonts w:ascii="Helvetica LT Std" w:hAnsi="Helvetica LT Std"/>
      <w:b/>
      <w:color w:val="000000"/>
      <w:w w:val="110"/>
      <w:sz w:val="26"/>
    </w:rPr>
  </w:style>
  <w:style w:type="paragraph" w:customStyle="1" w:styleId="PR">
    <w:name w:val="PR"/>
    <w:rsid w:val="00547225"/>
    <w:pPr>
      <w:spacing w:after="240"/>
      <w:ind w:left="360" w:firstLine="288"/>
      <w:jc w:val="both"/>
    </w:pPr>
    <w:rPr>
      <w:rFonts w:ascii="Adobe Caslon Pro" w:hAnsi="Adobe Caslon Pro"/>
      <w:color w:val="000000"/>
      <w:sz w:val="14"/>
    </w:rPr>
  </w:style>
  <w:style w:type="paragraph" w:customStyle="1" w:styleId="PO">
    <w:name w:val="PO"/>
    <w:rsid w:val="00547225"/>
    <w:pPr>
      <w:spacing w:after="240"/>
      <w:jc w:val="both"/>
    </w:pPr>
    <w:rPr>
      <w:rFonts w:ascii="Perpetua Std" w:hAnsi="Perpetua Std"/>
      <w:color w:val="000000"/>
      <w:w w:val="95"/>
      <w:szCs w:val="16"/>
    </w:rPr>
  </w:style>
  <w:style w:type="paragraph" w:customStyle="1" w:styleId="GUIDEX">
    <w:name w:val="GUIDEX"/>
    <w:rsid w:val="00547225"/>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47225"/>
    <w:pPr>
      <w:tabs>
        <w:tab w:val="clear" w:pos="240"/>
        <w:tab w:val="clear" w:pos="480"/>
        <w:tab w:val="clear" w:pos="720"/>
        <w:tab w:val="right" w:pos="4680"/>
      </w:tabs>
    </w:pPr>
  </w:style>
  <w:style w:type="paragraph" w:customStyle="1" w:styleId="PCB">
    <w:name w:val="PCB"/>
    <w:autoRedefine/>
    <w:rsid w:val="00547225"/>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547225"/>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47225"/>
    <w:rPr>
      <w:rFonts w:ascii="Perpetua Std" w:hAnsi="Perpetua Std"/>
    </w:rPr>
  </w:style>
  <w:style w:type="paragraph" w:styleId="NoSpacing">
    <w:name w:val="No Spacing"/>
    <w:qFormat/>
    <w:rsid w:val="00547225"/>
    <w:rPr>
      <w:rFonts w:ascii="Perpetua" w:hAnsi="Perpetua"/>
    </w:rPr>
  </w:style>
  <w:style w:type="paragraph" w:customStyle="1" w:styleId="PCA">
    <w:name w:val="PCA"/>
    <w:rsid w:val="00547225"/>
    <w:pPr>
      <w:numPr>
        <w:numId w:val="13"/>
      </w:numPr>
      <w:tabs>
        <w:tab w:val="left" w:pos="720"/>
      </w:tabs>
      <w:spacing w:after="240"/>
      <w:jc w:val="both"/>
    </w:pPr>
    <w:rPr>
      <w:rFonts w:ascii="Perpetua Std" w:hAnsi="Perpetua Std"/>
      <w:sz w:val="24"/>
    </w:rPr>
  </w:style>
  <w:style w:type="paragraph" w:customStyle="1" w:styleId="PHB">
    <w:name w:val="PHB"/>
    <w:rsid w:val="00547225"/>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547225"/>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47225"/>
    <w:rPr>
      <w:rFonts w:ascii="Perpetua Std" w:hAnsi="Perpetua Std"/>
    </w:rPr>
  </w:style>
  <w:style w:type="paragraph" w:styleId="Heading1">
    <w:name w:val="heading 1"/>
    <w:basedOn w:val="Normal"/>
    <w:next w:val="Normal"/>
    <w:link w:val="Heading1Char"/>
    <w:qFormat/>
    <w:rsid w:val="00547225"/>
    <w:pPr>
      <w:keepNext/>
      <w:outlineLvl w:val="0"/>
    </w:pPr>
    <w:rPr>
      <w:b/>
    </w:rPr>
  </w:style>
  <w:style w:type="paragraph" w:styleId="Heading2">
    <w:name w:val="heading 2"/>
    <w:basedOn w:val="Normal"/>
    <w:next w:val="Normal"/>
    <w:link w:val="Heading2Char"/>
    <w:qFormat/>
    <w:rsid w:val="00547225"/>
    <w:pPr>
      <w:keepNext/>
      <w:spacing w:before="240" w:after="60"/>
      <w:outlineLvl w:val="1"/>
    </w:pPr>
    <w:rPr>
      <w:rFonts w:ascii="Arial" w:hAnsi="Arial"/>
      <w:b/>
      <w:i/>
      <w:sz w:val="24"/>
    </w:rPr>
  </w:style>
  <w:style w:type="paragraph" w:styleId="Heading3">
    <w:name w:val="heading 3"/>
    <w:basedOn w:val="Normal"/>
    <w:next w:val="Normal"/>
    <w:link w:val="Heading3Char"/>
    <w:qFormat/>
    <w:rsid w:val="0054722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547225"/>
    <w:pPr>
      <w:spacing w:after="240"/>
      <w:jc w:val="both"/>
    </w:pPr>
    <w:rPr>
      <w:rFonts w:ascii="Helvetica LT Std" w:hAnsi="Helvetica LT Std"/>
      <w:b/>
      <w:color w:val="000000"/>
      <w:sz w:val="26"/>
    </w:rPr>
  </w:style>
  <w:style w:type="paragraph" w:customStyle="1" w:styleId="PA">
    <w:name w:val="PA"/>
    <w:next w:val="Normal"/>
    <w:link w:val="PAChar"/>
    <w:rsid w:val="00547225"/>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547225"/>
    <w:rPr>
      <w:rFonts w:ascii="Perpetua Std" w:hAnsi="Perpetua Std"/>
      <w:color w:val="000000"/>
      <w:sz w:val="24"/>
    </w:rPr>
  </w:style>
  <w:style w:type="paragraph" w:customStyle="1" w:styleId="PB">
    <w:name w:val="PB"/>
    <w:rsid w:val="00547225"/>
    <w:pPr>
      <w:spacing w:after="240"/>
      <w:jc w:val="both"/>
    </w:pPr>
    <w:rPr>
      <w:rFonts w:ascii="Perpetua Std" w:hAnsi="Perpetua Std"/>
      <w:color w:val="000000"/>
      <w:sz w:val="24"/>
    </w:rPr>
  </w:style>
  <w:style w:type="paragraph" w:customStyle="1" w:styleId="PC">
    <w:name w:val="PC"/>
    <w:rsid w:val="00547225"/>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547225"/>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47225"/>
    <w:rPr>
      <w:rFonts w:ascii="Adobe Caslon Pro" w:hAnsi="Adobe Caslon Pro"/>
      <w:color w:val="000000"/>
      <w:sz w:val="14"/>
    </w:rPr>
  </w:style>
  <w:style w:type="character" w:styleId="FootnoteReference">
    <w:name w:val="footnote reference"/>
    <w:rsid w:val="00547225"/>
    <w:rPr>
      <w:vertAlign w:val="superscript"/>
    </w:rPr>
  </w:style>
  <w:style w:type="paragraph" w:customStyle="1" w:styleId="HD">
    <w:name w:val="HD"/>
    <w:rsid w:val="00547225"/>
    <w:pPr>
      <w:suppressAutoHyphens/>
      <w:spacing w:before="120"/>
      <w:jc w:val="center"/>
    </w:pPr>
    <w:rPr>
      <w:rFonts w:ascii="Helvetica LT Std" w:hAnsi="Helvetica LT Std"/>
      <w:sz w:val="26"/>
      <w:szCs w:val="18"/>
    </w:rPr>
  </w:style>
  <w:style w:type="paragraph" w:customStyle="1" w:styleId="PN">
    <w:name w:val="PN"/>
    <w:rsid w:val="00547225"/>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547225"/>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547225"/>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547225"/>
    <w:pPr>
      <w:spacing w:before="144"/>
      <w:jc w:val="both"/>
    </w:pPr>
    <w:rPr>
      <w:noProof/>
    </w:rPr>
  </w:style>
  <w:style w:type="paragraph" w:customStyle="1" w:styleId="PD">
    <w:name w:val="PD"/>
    <w:rsid w:val="00547225"/>
    <w:pPr>
      <w:spacing w:after="240"/>
      <w:ind w:left="720" w:firstLine="288"/>
      <w:jc w:val="both"/>
    </w:pPr>
    <w:rPr>
      <w:rFonts w:ascii="Perpetua Std" w:hAnsi="Perpetua Std"/>
      <w:color w:val="000000"/>
      <w:sz w:val="24"/>
    </w:rPr>
  </w:style>
  <w:style w:type="paragraph" w:customStyle="1" w:styleId="PE">
    <w:name w:val="PE"/>
    <w:rsid w:val="00547225"/>
    <w:pPr>
      <w:spacing w:after="240"/>
      <w:ind w:left="720"/>
      <w:jc w:val="both"/>
    </w:pPr>
    <w:rPr>
      <w:rFonts w:ascii="Perpetua Std" w:hAnsi="Perpetua Std"/>
      <w:color w:val="000000"/>
      <w:sz w:val="24"/>
    </w:rPr>
  </w:style>
  <w:style w:type="paragraph" w:customStyle="1" w:styleId="PF">
    <w:name w:val="PF"/>
    <w:rsid w:val="00547225"/>
    <w:pPr>
      <w:tabs>
        <w:tab w:val="left" w:pos="1080"/>
      </w:tabs>
      <w:spacing w:after="240"/>
      <w:ind w:left="1080" w:hanging="360"/>
      <w:jc w:val="both"/>
    </w:pPr>
    <w:rPr>
      <w:rFonts w:ascii="Perpetua Std" w:hAnsi="Perpetua Std"/>
      <w:color w:val="000000"/>
      <w:sz w:val="24"/>
    </w:rPr>
  </w:style>
  <w:style w:type="paragraph" w:customStyle="1" w:styleId="PG">
    <w:name w:val="PG"/>
    <w:rsid w:val="00547225"/>
    <w:pPr>
      <w:spacing w:after="240"/>
      <w:ind w:left="360"/>
      <w:jc w:val="both"/>
    </w:pPr>
    <w:rPr>
      <w:rFonts w:ascii="Perpetua Std" w:hAnsi="Perpetua Std"/>
      <w:color w:val="000000"/>
      <w:sz w:val="24"/>
    </w:rPr>
  </w:style>
  <w:style w:type="paragraph" w:customStyle="1" w:styleId="PH">
    <w:name w:val="PH"/>
    <w:rsid w:val="00547225"/>
    <w:pPr>
      <w:tabs>
        <w:tab w:val="left" w:pos="360"/>
      </w:tabs>
      <w:spacing w:after="240"/>
      <w:ind w:left="360" w:hanging="360"/>
      <w:jc w:val="both"/>
    </w:pPr>
    <w:rPr>
      <w:rFonts w:ascii="Perpetua Std" w:hAnsi="Perpetua Std"/>
      <w:color w:val="000000"/>
      <w:sz w:val="24"/>
    </w:rPr>
  </w:style>
  <w:style w:type="paragraph" w:customStyle="1" w:styleId="PI">
    <w:name w:val="PI"/>
    <w:rsid w:val="00547225"/>
    <w:pPr>
      <w:spacing w:after="240"/>
      <w:ind w:left="360" w:hanging="360"/>
      <w:jc w:val="both"/>
    </w:pPr>
    <w:rPr>
      <w:rFonts w:ascii="Perpetua Std" w:hAnsi="Perpetua Std"/>
      <w:color w:val="000000"/>
      <w:sz w:val="24"/>
    </w:rPr>
  </w:style>
  <w:style w:type="paragraph" w:customStyle="1" w:styleId="PK">
    <w:name w:val="PK"/>
    <w:rsid w:val="00547225"/>
    <w:pPr>
      <w:spacing w:after="240"/>
      <w:ind w:left="360" w:firstLine="288"/>
      <w:jc w:val="both"/>
    </w:pPr>
    <w:rPr>
      <w:rFonts w:ascii="Perpetua Std" w:hAnsi="Perpetua Std"/>
      <w:color w:val="000000"/>
      <w:sz w:val="24"/>
    </w:rPr>
  </w:style>
  <w:style w:type="paragraph" w:customStyle="1" w:styleId="PL">
    <w:name w:val="PL"/>
    <w:rsid w:val="00547225"/>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47225"/>
    <w:pPr>
      <w:spacing w:after="240"/>
      <w:ind w:left="432" w:right="432" w:firstLine="432"/>
      <w:jc w:val="both"/>
    </w:pPr>
    <w:rPr>
      <w:rFonts w:ascii="Minion Pro" w:hAnsi="Minion Pro"/>
    </w:rPr>
  </w:style>
  <w:style w:type="paragraph" w:customStyle="1" w:styleId="TOC">
    <w:name w:val="TOC"/>
    <w:autoRedefine/>
    <w:rsid w:val="00547225"/>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47225"/>
    <w:pPr>
      <w:tabs>
        <w:tab w:val="clear" w:pos="1440"/>
        <w:tab w:val="clear" w:pos="8640"/>
        <w:tab w:val="left" w:pos="240"/>
        <w:tab w:val="left" w:pos="480"/>
        <w:tab w:val="right" w:leader="dot" w:pos="4680"/>
      </w:tabs>
      <w:ind w:left="0" w:firstLine="0"/>
    </w:pPr>
    <w:rPr>
      <w:sz w:val="22"/>
    </w:rPr>
  </w:style>
  <w:style w:type="paragraph" w:customStyle="1" w:styleId="PP">
    <w:name w:val="PP"/>
    <w:rsid w:val="00547225"/>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47225"/>
    <w:pPr>
      <w:spacing w:before="120" w:after="120"/>
      <w:jc w:val="center"/>
    </w:pPr>
    <w:rPr>
      <w:rFonts w:ascii="Helvetica LT Std" w:hAnsi="Helvetica LT Std"/>
      <w:sz w:val="24"/>
    </w:rPr>
  </w:style>
  <w:style w:type="table" w:styleId="TableGrid">
    <w:name w:val="Table Grid"/>
    <w:basedOn w:val="TableNormal"/>
    <w:rsid w:val="0054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547225"/>
    <w:pPr>
      <w:spacing w:after="240"/>
      <w:jc w:val="center"/>
    </w:pPr>
    <w:rPr>
      <w:rFonts w:ascii="Helvetica LT Std" w:hAnsi="Helvetica LT Std"/>
      <w:b/>
      <w:caps/>
      <w:color w:val="000000"/>
      <w:sz w:val="36"/>
      <w:szCs w:val="32"/>
    </w:rPr>
  </w:style>
  <w:style w:type="paragraph" w:customStyle="1" w:styleId="HB">
    <w:name w:val="HB"/>
    <w:rsid w:val="00547225"/>
    <w:pPr>
      <w:spacing w:before="120" w:after="240"/>
      <w:jc w:val="center"/>
    </w:pPr>
    <w:rPr>
      <w:rFonts w:ascii="Helvetica LT Std" w:hAnsi="Helvetica LT Std"/>
      <w:b/>
      <w:color w:val="5F5F5F"/>
      <w:w w:val="105"/>
      <w:sz w:val="32"/>
    </w:rPr>
  </w:style>
  <w:style w:type="paragraph" w:customStyle="1" w:styleId="HC">
    <w:name w:val="HC"/>
    <w:autoRedefine/>
    <w:rsid w:val="00547225"/>
    <w:pPr>
      <w:tabs>
        <w:tab w:val="left" w:pos="284"/>
      </w:tabs>
      <w:spacing w:before="120" w:after="120"/>
      <w:jc w:val="center"/>
    </w:pPr>
    <w:rPr>
      <w:rFonts w:ascii="Helvetica LT Std" w:hAnsi="Helvetica LT Std"/>
      <w:b/>
      <w:color w:val="000000"/>
      <w:w w:val="110"/>
      <w:sz w:val="26"/>
    </w:rPr>
  </w:style>
  <w:style w:type="paragraph" w:customStyle="1" w:styleId="PR">
    <w:name w:val="PR"/>
    <w:rsid w:val="00547225"/>
    <w:pPr>
      <w:spacing w:after="240"/>
      <w:ind w:left="360" w:firstLine="288"/>
      <w:jc w:val="both"/>
    </w:pPr>
    <w:rPr>
      <w:rFonts w:ascii="Adobe Caslon Pro" w:hAnsi="Adobe Caslon Pro"/>
      <w:color w:val="000000"/>
      <w:sz w:val="14"/>
    </w:rPr>
  </w:style>
  <w:style w:type="paragraph" w:customStyle="1" w:styleId="PO">
    <w:name w:val="PO"/>
    <w:rsid w:val="00547225"/>
    <w:pPr>
      <w:spacing w:after="240"/>
      <w:jc w:val="both"/>
    </w:pPr>
    <w:rPr>
      <w:rFonts w:ascii="Perpetua Std" w:hAnsi="Perpetua Std"/>
      <w:color w:val="000000"/>
      <w:w w:val="95"/>
      <w:szCs w:val="16"/>
    </w:rPr>
  </w:style>
  <w:style w:type="paragraph" w:customStyle="1" w:styleId="GUIDEX">
    <w:name w:val="GUIDEX"/>
    <w:rsid w:val="00547225"/>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47225"/>
    <w:pPr>
      <w:tabs>
        <w:tab w:val="clear" w:pos="240"/>
        <w:tab w:val="clear" w:pos="480"/>
        <w:tab w:val="clear" w:pos="720"/>
        <w:tab w:val="right" w:pos="4680"/>
      </w:tabs>
    </w:pPr>
  </w:style>
  <w:style w:type="paragraph" w:customStyle="1" w:styleId="PCB">
    <w:name w:val="PCB"/>
    <w:autoRedefine/>
    <w:rsid w:val="00547225"/>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547225"/>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47225"/>
    <w:rPr>
      <w:rFonts w:ascii="Perpetua Std" w:hAnsi="Perpetua Std"/>
    </w:rPr>
  </w:style>
  <w:style w:type="paragraph" w:styleId="NoSpacing">
    <w:name w:val="No Spacing"/>
    <w:qFormat/>
    <w:rsid w:val="00547225"/>
    <w:rPr>
      <w:rFonts w:ascii="Perpetua" w:hAnsi="Perpetua"/>
    </w:rPr>
  </w:style>
  <w:style w:type="paragraph" w:customStyle="1" w:styleId="PCA">
    <w:name w:val="PCA"/>
    <w:rsid w:val="00547225"/>
    <w:pPr>
      <w:numPr>
        <w:numId w:val="13"/>
      </w:numPr>
      <w:tabs>
        <w:tab w:val="left" w:pos="720"/>
      </w:tabs>
      <w:spacing w:after="240"/>
      <w:jc w:val="both"/>
    </w:pPr>
    <w:rPr>
      <w:rFonts w:ascii="Perpetua Std" w:hAnsi="Perpetua Std"/>
      <w:sz w:val="24"/>
    </w:rPr>
  </w:style>
  <w:style w:type="paragraph" w:customStyle="1" w:styleId="PHB">
    <w:name w:val="PHB"/>
    <w:rsid w:val="00547225"/>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547225"/>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8555. Are there any special rules that apply in determining whether the sale of a patent gives rise to capital gains treatment?</vt:lpstr>
    </vt:vector>
  </TitlesOfParts>
  <Company>Summit Business Media</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8555. Are there any special rules that apply in determining whether the sale of a patent gives rise to capital gains treatment?</dc:title>
  <dc:creator>Alexis Long</dc:creator>
  <cp:lastModifiedBy>rcline</cp:lastModifiedBy>
  <cp:revision>2</cp:revision>
  <cp:lastPrinted>2013-08-28T20:59:00Z</cp:lastPrinted>
  <dcterms:created xsi:type="dcterms:W3CDTF">2014-08-21T14:07:00Z</dcterms:created>
  <dcterms:modified xsi:type="dcterms:W3CDTF">2014-08-21T14:07:00Z</dcterms:modified>
</cp:coreProperties>
</file>