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EF" w:rsidRPr="003A25EF" w:rsidRDefault="003A25EF" w:rsidP="00255005">
      <w:pPr>
        <w:pStyle w:val="PA"/>
        <w:rPr>
          <w:b/>
          <w:sz w:val="28"/>
          <w:szCs w:val="28"/>
        </w:rPr>
      </w:pPr>
      <w:bookmarkStart w:id="0" w:name="_GoBack"/>
      <w:bookmarkEnd w:id="0"/>
      <w:r w:rsidRPr="003A25EF">
        <w:rPr>
          <w:b/>
          <w:sz w:val="28"/>
          <w:szCs w:val="28"/>
        </w:rPr>
        <w:t xml:space="preserve">8554.  When is the </w:t>
      </w:r>
      <w:r w:rsidR="00413892">
        <w:rPr>
          <w:b/>
          <w:sz w:val="28"/>
          <w:szCs w:val="28"/>
        </w:rPr>
        <w:t xml:space="preserve">gain or loss from </w:t>
      </w:r>
      <w:r w:rsidRPr="003A25EF">
        <w:rPr>
          <w:b/>
          <w:sz w:val="28"/>
          <w:szCs w:val="28"/>
        </w:rPr>
        <w:t xml:space="preserve">sale or exchange of an option to purchase property </w:t>
      </w:r>
      <w:r w:rsidR="00413892">
        <w:rPr>
          <w:b/>
          <w:sz w:val="28"/>
          <w:szCs w:val="28"/>
        </w:rPr>
        <w:t xml:space="preserve">treated as </w:t>
      </w:r>
      <w:r w:rsidRPr="003A25EF">
        <w:rPr>
          <w:b/>
          <w:sz w:val="28"/>
          <w:szCs w:val="28"/>
        </w:rPr>
        <w:t xml:space="preserve">a capital gain or </w:t>
      </w:r>
      <w:r w:rsidR="00413892">
        <w:rPr>
          <w:b/>
          <w:sz w:val="28"/>
          <w:szCs w:val="28"/>
        </w:rPr>
        <w:t xml:space="preserve">capital </w:t>
      </w:r>
      <w:r w:rsidRPr="003A25EF">
        <w:rPr>
          <w:b/>
          <w:sz w:val="28"/>
          <w:szCs w:val="28"/>
        </w:rPr>
        <w:t>loss?</w:t>
      </w:r>
    </w:p>
    <w:p w:rsidR="00EC7AA5" w:rsidRDefault="00EC7AA5" w:rsidP="00255005">
      <w:pPr>
        <w:pStyle w:val="PA"/>
        <w:rPr>
          <w:b/>
        </w:rPr>
      </w:pPr>
      <w:r>
        <w:t>The sale or exchange of an option to purchase property may</w:t>
      </w:r>
      <w:r w:rsidR="00C5681F">
        <w:t xml:space="preserve"> result in </w:t>
      </w:r>
      <w:r>
        <w:t xml:space="preserve">capital gain if the </w:t>
      </w:r>
      <w:r w:rsidR="00C979CC">
        <w:t xml:space="preserve">underlying </w:t>
      </w:r>
      <w:r>
        <w:t>property subject to the option is a capital asset.</w:t>
      </w:r>
      <w:r w:rsidR="00816BFC">
        <w:t xml:space="preserve"> </w:t>
      </w:r>
      <w:r>
        <w:t xml:space="preserve">Similarly, losses arising from the taxpayer’s failure to exercise the option may be treated </w:t>
      </w:r>
      <w:r w:rsidR="00E86CF5">
        <w:t xml:space="preserve">as </w:t>
      </w:r>
      <w:r>
        <w:t xml:space="preserve">capital losses </w:t>
      </w:r>
      <w:r w:rsidR="00C5681F">
        <w:t>if the underlying property is a capital asset</w:t>
      </w:r>
      <w:r>
        <w:t>.</w:t>
      </w:r>
      <w:r w:rsidRPr="0074319B">
        <w:rPr>
          <w:rStyle w:val="FootnoteReference"/>
          <w:color w:val="auto"/>
        </w:rPr>
        <w:footnoteReference w:id="1"/>
      </w:r>
    </w:p>
    <w:p w:rsidR="00491DE8" w:rsidRPr="00C5681F" w:rsidRDefault="00491DE8" w:rsidP="00C5681F">
      <w:pPr>
        <w:pStyle w:val="PN"/>
        <w:ind w:left="0"/>
        <w:rPr>
          <w:b/>
          <w:sz w:val="24"/>
          <w:szCs w:val="24"/>
        </w:rPr>
      </w:pPr>
      <w:r w:rsidRPr="00C5681F">
        <w:rPr>
          <w:i/>
          <w:sz w:val="24"/>
          <w:szCs w:val="24"/>
        </w:rPr>
        <w:t xml:space="preserve">Example: </w:t>
      </w:r>
      <w:r w:rsidRPr="00C5681F">
        <w:rPr>
          <w:sz w:val="24"/>
          <w:szCs w:val="24"/>
        </w:rPr>
        <w:t>Brenda is considering an investment in real property, but, because the purchase price is high, she purchase</w:t>
      </w:r>
      <w:r w:rsidR="00C5681F">
        <w:rPr>
          <w:sz w:val="24"/>
          <w:szCs w:val="24"/>
        </w:rPr>
        <w:t>s</w:t>
      </w:r>
      <w:r w:rsidRPr="00C5681F">
        <w:rPr>
          <w:sz w:val="24"/>
          <w:szCs w:val="24"/>
        </w:rPr>
        <w:t xml:space="preserve"> an option to buy the property </w:t>
      </w:r>
      <w:r w:rsidR="00C5681F">
        <w:rPr>
          <w:sz w:val="24"/>
          <w:szCs w:val="24"/>
        </w:rPr>
        <w:t xml:space="preserve">for $5,000 </w:t>
      </w:r>
      <w:r w:rsidRPr="00C5681F">
        <w:rPr>
          <w:sz w:val="24"/>
          <w:szCs w:val="24"/>
        </w:rPr>
        <w:t xml:space="preserve">within the next </w:t>
      </w:r>
      <w:r w:rsidR="00C979CC" w:rsidRPr="00C5681F">
        <w:rPr>
          <w:sz w:val="24"/>
          <w:szCs w:val="24"/>
        </w:rPr>
        <w:t>two years</w:t>
      </w:r>
      <w:r w:rsidRPr="00C5681F">
        <w:rPr>
          <w:sz w:val="24"/>
          <w:szCs w:val="24"/>
        </w:rPr>
        <w:t>.</w:t>
      </w:r>
      <w:r w:rsidR="00816BFC" w:rsidRPr="00C5681F">
        <w:rPr>
          <w:sz w:val="24"/>
          <w:szCs w:val="24"/>
        </w:rPr>
        <w:t xml:space="preserve"> </w:t>
      </w:r>
      <w:r w:rsidR="00366114" w:rsidRPr="00C5681F">
        <w:rPr>
          <w:sz w:val="24"/>
          <w:szCs w:val="24"/>
        </w:rPr>
        <w:t xml:space="preserve">The option is a capital asset because </w:t>
      </w:r>
      <w:r w:rsidR="00C5681F">
        <w:rPr>
          <w:sz w:val="24"/>
          <w:szCs w:val="24"/>
        </w:rPr>
        <w:t xml:space="preserve">if Brenda had </w:t>
      </w:r>
      <w:r w:rsidR="00366114" w:rsidRPr="00C5681F">
        <w:rPr>
          <w:sz w:val="24"/>
          <w:szCs w:val="24"/>
        </w:rPr>
        <w:t>purchased the property</w:t>
      </w:r>
      <w:r w:rsidR="00C5681F">
        <w:rPr>
          <w:sz w:val="24"/>
          <w:szCs w:val="24"/>
        </w:rPr>
        <w:t xml:space="preserve"> outright it would have been a capital asset</w:t>
      </w:r>
      <w:r w:rsidR="00366114" w:rsidRPr="00C5681F">
        <w:rPr>
          <w:sz w:val="24"/>
          <w:szCs w:val="24"/>
        </w:rPr>
        <w:t>.</w:t>
      </w:r>
      <w:r w:rsidR="00816BFC" w:rsidRPr="00C5681F">
        <w:rPr>
          <w:sz w:val="24"/>
          <w:szCs w:val="24"/>
        </w:rPr>
        <w:t xml:space="preserve"> </w:t>
      </w:r>
      <w:r w:rsidR="007F0BBA" w:rsidRPr="00C5681F">
        <w:rPr>
          <w:sz w:val="24"/>
          <w:szCs w:val="24"/>
        </w:rPr>
        <w:t>Eleven months</w:t>
      </w:r>
      <w:r w:rsidR="00366114" w:rsidRPr="00C5681F">
        <w:rPr>
          <w:sz w:val="24"/>
          <w:szCs w:val="24"/>
        </w:rPr>
        <w:t xml:space="preserve"> </w:t>
      </w:r>
      <w:r w:rsidR="00C5681F">
        <w:rPr>
          <w:sz w:val="24"/>
          <w:szCs w:val="24"/>
        </w:rPr>
        <w:t>later</w:t>
      </w:r>
      <w:r w:rsidR="00366114" w:rsidRPr="00C5681F">
        <w:rPr>
          <w:sz w:val="24"/>
          <w:szCs w:val="24"/>
        </w:rPr>
        <w:t xml:space="preserve">, </w:t>
      </w:r>
      <w:r w:rsidR="00C5681F">
        <w:rPr>
          <w:sz w:val="24"/>
          <w:szCs w:val="24"/>
        </w:rPr>
        <w:t xml:space="preserve">Brenda sells </w:t>
      </w:r>
      <w:r w:rsidR="00366114" w:rsidRPr="00C5681F">
        <w:rPr>
          <w:sz w:val="24"/>
          <w:szCs w:val="24"/>
        </w:rPr>
        <w:t>the option for $6,000.</w:t>
      </w:r>
      <w:r w:rsidR="00816BFC" w:rsidRPr="00C5681F">
        <w:rPr>
          <w:sz w:val="24"/>
          <w:szCs w:val="24"/>
        </w:rPr>
        <w:t xml:space="preserve"> </w:t>
      </w:r>
      <w:r w:rsidR="00366114" w:rsidRPr="00C5681F">
        <w:rPr>
          <w:sz w:val="24"/>
          <w:szCs w:val="24"/>
        </w:rPr>
        <w:t xml:space="preserve">The $1,000 </w:t>
      </w:r>
      <w:r w:rsidR="00C5681F">
        <w:rPr>
          <w:sz w:val="24"/>
          <w:szCs w:val="24"/>
        </w:rPr>
        <w:t xml:space="preserve">gain ($6,000 selling price minus $5,000 basis) is </w:t>
      </w:r>
      <w:r w:rsidR="00366114" w:rsidRPr="00C5681F">
        <w:rPr>
          <w:sz w:val="24"/>
          <w:szCs w:val="24"/>
        </w:rPr>
        <w:t xml:space="preserve">a short-term capital gain because Brenda </w:t>
      </w:r>
      <w:r w:rsidR="00C5681F">
        <w:rPr>
          <w:sz w:val="24"/>
          <w:szCs w:val="24"/>
        </w:rPr>
        <w:t>held the option f</w:t>
      </w:r>
      <w:r w:rsidR="00366114" w:rsidRPr="00C5681F">
        <w:rPr>
          <w:sz w:val="24"/>
          <w:szCs w:val="24"/>
        </w:rPr>
        <w:t>or less than one year.</w:t>
      </w:r>
    </w:p>
    <w:p w:rsidR="00C15AB8" w:rsidRDefault="00C5681F" w:rsidP="00255005">
      <w:pPr>
        <w:pStyle w:val="PA"/>
        <w:rPr>
          <w:b/>
        </w:rPr>
      </w:pPr>
      <w:r>
        <w:t xml:space="preserve">Similarly, if the taxpayer fails to exercise the option, </w:t>
      </w:r>
      <w:r w:rsidR="00C15AB8">
        <w:t xml:space="preserve">the option is treated as though it was sold or exchanged on the day the option expired for </w:t>
      </w:r>
      <w:r>
        <w:t xml:space="preserve">no consideration.  Based on the taxpayer’s holding period, the loss will be either </w:t>
      </w:r>
      <w:r w:rsidR="00C15AB8">
        <w:t>long-term or short-term</w:t>
      </w:r>
      <w:r>
        <w:t xml:space="preserve"> capital loss</w:t>
      </w:r>
      <w:r w:rsidR="00C15AB8">
        <w:t>.</w:t>
      </w:r>
      <w:r w:rsidR="00C15AB8" w:rsidRPr="0074319B">
        <w:rPr>
          <w:rStyle w:val="FootnoteReference"/>
          <w:color w:val="auto"/>
        </w:rPr>
        <w:footnoteReference w:id="2"/>
      </w:r>
    </w:p>
    <w:p w:rsidR="00B7149F" w:rsidRDefault="00C5681F" w:rsidP="00255005">
      <w:pPr>
        <w:pStyle w:val="PA"/>
        <w:rPr>
          <w:b/>
        </w:rPr>
      </w:pPr>
      <w:r>
        <w:t xml:space="preserve">In a recent Tax Court decision, the Tax Court held </w:t>
      </w:r>
      <w:r w:rsidR="00B7149F">
        <w:t xml:space="preserve">that a taxpayer was entitled to an ordinary loss deduction, rather than recognition of a capital loss, when </w:t>
      </w:r>
      <w:r w:rsidR="00E86CF5">
        <w:t>the taxpayer</w:t>
      </w:r>
      <w:r w:rsidR="00B7149F">
        <w:t xml:space="preserve"> abandoned an option to purchase certain real property.</w:t>
      </w:r>
      <w:r w:rsidR="00816BFC">
        <w:t xml:space="preserve"> </w:t>
      </w:r>
      <w:r w:rsidR="00B7149F">
        <w:t>Because the taxpayer was in the business of purchasing and develop</w:t>
      </w:r>
      <w:r w:rsidR="00080B9C">
        <w:t>ing real property, the underlying real property was not a</w:t>
      </w:r>
      <w:r w:rsidR="00B7149F">
        <w:t xml:space="preserve"> “capital asset.”</w:t>
      </w:r>
      <w:r w:rsidR="00816BFC">
        <w:t xml:space="preserve"> </w:t>
      </w:r>
      <w:r w:rsidR="00080B9C">
        <w:t xml:space="preserve">For that reason, the loss realized by the taxpayer when he </w:t>
      </w:r>
      <w:r w:rsidR="00B7149F">
        <w:t>abandoned his option was as an ordinary loss</w:t>
      </w:r>
      <w:r w:rsidR="00080B9C">
        <w:t xml:space="preserve"> rather than a capital loss</w:t>
      </w:r>
      <w:r w:rsidR="00B7149F">
        <w:t>.</w:t>
      </w:r>
      <w:r w:rsidR="00B7149F" w:rsidRPr="0074319B">
        <w:rPr>
          <w:rStyle w:val="FootnoteReference"/>
          <w:color w:val="auto"/>
        </w:rPr>
        <w:footnoteReference w:id="3"/>
      </w:r>
      <w:r w:rsidR="00816BFC">
        <w:t xml:space="preserve"> </w:t>
      </w:r>
    </w:p>
    <w:p w:rsidR="00413892" w:rsidRDefault="00413892" w:rsidP="00255005">
      <w:pPr>
        <w:pStyle w:val="PA"/>
      </w:pPr>
      <w:r>
        <w:t>IRC Section 1234 provides s</w:t>
      </w:r>
      <w:r w:rsidR="00C15AB8">
        <w:t xml:space="preserve">pecial rules </w:t>
      </w:r>
      <w:r>
        <w:t xml:space="preserve">with regard to options to buy or sell </w:t>
      </w:r>
      <w:r w:rsidR="00C15AB8">
        <w:t>stock, securities or commodities.</w:t>
      </w:r>
      <w:r>
        <w:t xml:space="preserve">  Specifically, IRC Section 1234(b) provides short-term capital gain or loss treatment for the grantor of an option as follows:</w:t>
      </w:r>
    </w:p>
    <w:p w:rsidR="00413892" w:rsidRPr="00413892" w:rsidRDefault="00413892" w:rsidP="00413892">
      <w:pPr>
        <w:pStyle w:val="PA"/>
        <w:numPr>
          <w:ilvl w:val="0"/>
          <w:numId w:val="15"/>
        </w:numPr>
        <w:rPr>
          <w:b/>
        </w:rPr>
      </w:pPr>
      <w:r>
        <w:t>The option lapses or is terminated in a closing transaction.</w:t>
      </w:r>
    </w:p>
    <w:p w:rsidR="00413892" w:rsidRPr="00413892" w:rsidRDefault="00413892" w:rsidP="00413892">
      <w:pPr>
        <w:pStyle w:val="PA"/>
        <w:numPr>
          <w:ilvl w:val="0"/>
          <w:numId w:val="15"/>
        </w:numPr>
        <w:rPr>
          <w:b/>
        </w:rPr>
      </w:pPr>
      <w:r>
        <w:t>The underlying property is stock, securities, commodities or commodities futures.</w:t>
      </w:r>
    </w:p>
    <w:p w:rsidR="00413892" w:rsidRPr="00413892" w:rsidRDefault="00413892" w:rsidP="00413892">
      <w:pPr>
        <w:pStyle w:val="PA"/>
        <w:numPr>
          <w:ilvl w:val="0"/>
          <w:numId w:val="15"/>
        </w:numPr>
        <w:rPr>
          <w:b/>
        </w:rPr>
      </w:pPr>
      <w:r>
        <w:t>The option is not issued in the ordinary course of the grantors trade or business</w:t>
      </w:r>
    </w:p>
    <w:p w:rsidR="00C15AB8" w:rsidRPr="00C15AB8" w:rsidRDefault="00C15AB8" w:rsidP="00413892">
      <w:pPr>
        <w:pStyle w:val="PA"/>
        <w:rPr>
          <w:b/>
        </w:rPr>
      </w:pPr>
      <w:r>
        <w:t xml:space="preserve">A “closing transaction” is defined as any transaction that terminates the taxpayer’s obligations under the </w:t>
      </w:r>
      <w:r w:rsidR="007F0BBA">
        <w:t>option other</w:t>
      </w:r>
      <w:r>
        <w:t xml:space="preserve"> than an exercise or lapse of the option.</w:t>
      </w:r>
      <w:r w:rsidRPr="0074319B">
        <w:rPr>
          <w:rStyle w:val="FootnoteReference"/>
          <w:color w:val="auto"/>
        </w:rPr>
        <w:footnoteReference w:id="4"/>
      </w:r>
    </w:p>
    <w:p w:rsidR="00F4296A" w:rsidRDefault="00491DE8" w:rsidP="00255005">
      <w:pPr>
        <w:pStyle w:val="PA"/>
      </w:pPr>
      <w:r>
        <w:t>See Q</w:t>
      </w:r>
      <w:r w:rsidR="007F0BBA">
        <w:t xml:space="preserve"> </w:t>
      </w:r>
      <w:r w:rsidR="009C5F6E">
        <w:t>854</w:t>
      </w:r>
      <w:r w:rsidR="007202C3">
        <w:t>3</w:t>
      </w:r>
      <w:r>
        <w:t xml:space="preserve"> for a discussion of what constitutes a capital asset for purposes of capital gains treatment.</w:t>
      </w:r>
    </w:p>
    <w:sectPr w:rsidR="00F4296A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88" w:rsidRDefault="00934D88" w:rsidP="00F4296A">
      <w:r>
        <w:separator/>
      </w:r>
    </w:p>
  </w:endnote>
  <w:endnote w:type="continuationSeparator" w:id="0">
    <w:p w:rsidR="00934D88" w:rsidRDefault="00934D88" w:rsidP="00F4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88" w:rsidRDefault="00934D88" w:rsidP="00F4296A">
      <w:r>
        <w:separator/>
      </w:r>
    </w:p>
  </w:footnote>
  <w:footnote w:type="continuationSeparator" w:id="0">
    <w:p w:rsidR="00934D88" w:rsidRDefault="00934D88" w:rsidP="00F4296A">
      <w:r>
        <w:continuationSeparator/>
      </w:r>
    </w:p>
  </w:footnote>
  <w:footnote w:id="1">
    <w:p w:rsidR="003566BE" w:rsidRDefault="003566BE" w:rsidP="0074319B">
      <w:pPr>
        <w:pStyle w:val="PQ"/>
      </w:pPr>
      <w:r w:rsidRPr="00816BFC">
        <w:rPr>
          <w:rStyle w:val="FootnoteReference"/>
          <w:vertAlign w:val="baseline"/>
        </w:rPr>
        <w:footnoteRef/>
      </w:r>
      <w:r w:rsidR="00144D20">
        <w:t>.</w:t>
      </w:r>
      <w:r w:rsidR="00144D20">
        <w:tab/>
      </w:r>
      <w:r w:rsidR="0074319B">
        <w:t>IRC Sec. 1234(a</w:t>
      </w:r>
      <w:proofErr w:type="gramStart"/>
      <w:r w:rsidR="0074319B">
        <w:t>)(</w:t>
      </w:r>
      <w:proofErr w:type="gramEnd"/>
      <w:r w:rsidR="0074319B">
        <w:t>1).</w:t>
      </w:r>
    </w:p>
  </w:footnote>
  <w:footnote w:id="2">
    <w:p w:rsidR="003566BE" w:rsidRDefault="003566BE" w:rsidP="0074319B">
      <w:pPr>
        <w:pStyle w:val="PQ"/>
      </w:pPr>
      <w:r w:rsidRPr="00816BFC">
        <w:rPr>
          <w:rStyle w:val="FootnoteReference"/>
          <w:vertAlign w:val="baseline"/>
        </w:rPr>
        <w:footnoteRef/>
      </w:r>
      <w:r w:rsidR="00144D20">
        <w:t>.</w:t>
      </w:r>
      <w:r w:rsidR="00144D20">
        <w:tab/>
      </w:r>
      <w:r w:rsidR="0074319B">
        <w:t>IRC Sec. 1234(a</w:t>
      </w:r>
      <w:proofErr w:type="gramStart"/>
      <w:r w:rsidR="0074319B">
        <w:t>)(</w:t>
      </w:r>
      <w:proofErr w:type="gramEnd"/>
      <w:r w:rsidR="0074319B">
        <w:t>2).</w:t>
      </w:r>
    </w:p>
  </w:footnote>
  <w:footnote w:id="3">
    <w:p w:rsidR="003566BE" w:rsidRPr="00491DE8" w:rsidRDefault="003566BE" w:rsidP="0074319B">
      <w:pPr>
        <w:pStyle w:val="PQ"/>
      </w:pPr>
      <w:r w:rsidRPr="00816BFC">
        <w:rPr>
          <w:rStyle w:val="FootnoteReference"/>
          <w:vertAlign w:val="baseline"/>
        </w:rPr>
        <w:footnoteRef/>
      </w:r>
      <w:r w:rsidR="00144D20">
        <w:t>.</w:t>
      </w:r>
      <w:r w:rsidR="00144D20">
        <w:tab/>
      </w:r>
      <w:r w:rsidR="0074319B">
        <w:rPr>
          <w:i/>
        </w:rPr>
        <w:t>Sutton v. Commissioner</w:t>
      </w:r>
      <w:r w:rsidR="0074319B">
        <w:t xml:space="preserve">, TC Summ. Op. 2013-6, IRC Sec. </w:t>
      </w:r>
      <w:proofErr w:type="gramStart"/>
      <w:r w:rsidR="0074319B">
        <w:t>1221(a</w:t>
      </w:r>
      <w:proofErr w:type="gramEnd"/>
      <w:r w:rsidR="0074319B">
        <w:t>).</w:t>
      </w:r>
    </w:p>
  </w:footnote>
  <w:footnote w:id="4">
    <w:p w:rsidR="003566BE" w:rsidRDefault="003566BE" w:rsidP="0074319B">
      <w:pPr>
        <w:pStyle w:val="PQ"/>
      </w:pPr>
      <w:r w:rsidRPr="00816BFC">
        <w:rPr>
          <w:rStyle w:val="FootnoteReference"/>
          <w:vertAlign w:val="baseline"/>
        </w:rPr>
        <w:footnoteRef/>
      </w:r>
      <w:r w:rsidR="00144D20">
        <w:t>.</w:t>
      </w:r>
      <w:r w:rsidR="00144D20">
        <w:tab/>
      </w:r>
      <w:r w:rsidR="0074319B">
        <w:t>IRC Sec. 1234(b</w:t>
      </w:r>
      <w:proofErr w:type="gramStart"/>
      <w:r w:rsidR="0074319B">
        <w:t>)(</w:t>
      </w:r>
      <w:proofErr w:type="gramEnd"/>
      <w:r w:rsidR="0074319B">
        <w:t>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4A6A74"/>
    <w:multiLevelType w:val="hybridMultilevel"/>
    <w:tmpl w:val="0002C4EA"/>
    <w:lvl w:ilvl="0" w:tplc="72187FAA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B1E04D0"/>
    <w:multiLevelType w:val="hybridMultilevel"/>
    <w:tmpl w:val="05C238FA"/>
    <w:lvl w:ilvl="0" w:tplc="0BF2A4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084466"/>
    <w:multiLevelType w:val="hybridMultilevel"/>
    <w:tmpl w:val="3404044A"/>
    <w:lvl w:ilvl="0" w:tplc="529A75D0">
      <w:start w:val="4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B65F16"/>
    <w:multiLevelType w:val="hybridMultilevel"/>
    <w:tmpl w:val="377ABAB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67"/>
    <w:rsid w:val="000364AA"/>
    <w:rsid w:val="00080B9C"/>
    <w:rsid w:val="000A22B1"/>
    <w:rsid w:val="000A53C2"/>
    <w:rsid w:val="000B78D9"/>
    <w:rsid w:val="000C1776"/>
    <w:rsid w:val="000F4FD7"/>
    <w:rsid w:val="001018D5"/>
    <w:rsid w:val="00135C9D"/>
    <w:rsid w:val="001409E2"/>
    <w:rsid w:val="00144D20"/>
    <w:rsid w:val="0016358E"/>
    <w:rsid w:val="00170900"/>
    <w:rsid w:val="001A5E2D"/>
    <w:rsid w:val="001C40E6"/>
    <w:rsid w:val="001E64C8"/>
    <w:rsid w:val="001F52F4"/>
    <w:rsid w:val="001F73A2"/>
    <w:rsid w:val="00215C3D"/>
    <w:rsid w:val="00255005"/>
    <w:rsid w:val="00271A21"/>
    <w:rsid w:val="002B14E6"/>
    <w:rsid w:val="002D4314"/>
    <w:rsid w:val="002E22EE"/>
    <w:rsid w:val="002F49E2"/>
    <w:rsid w:val="00307DB9"/>
    <w:rsid w:val="003566BE"/>
    <w:rsid w:val="00366114"/>
    <w:rsid w:val="003A25EF"/>
    <w:rsid w:val="004120E2"/>
    <w:rsid w:val="00413892"/>
    <w:rsid w:val="00442416"/>
    <w:rsid w:val="00453AA6"/>
    <w:rsid w:val="00475112"/>
    <w:rsid w:val="00491DE8"/>
    <w:rsid w:val="00494472"/>
    <w:rsid w:val="004B69F3"/>
    <w:rsid w:val="004D5C3E"/>
    <w:rsid w:val="004F216D"/>
    <w:rsid w:val="0052162C"/>
    <w:rsid w:val="00523FFD"/>
    <w:rsid w:val="00525224"/>
    <w:rsid w:val="0055012A"/>
    <w:rsid w:val="0057047B"/>
    <w:rsid w:val="005963EF"/>
    <w:rsid w:val="005D0931"/>
    <w:rsid w:val="006370D0"/>
    <w:rsid w:val="006451B3"/>
    <w:rsid w:val="00672FCA"/>
    <w:rsid w:val="0067311C"/>
    <w:rsid w:val="006767EC"/>
    <w:rsid w:val="006D7FA7"/>
    <w:rsid w:val="006F6498"/>
    <w:rsid w:val="00713384"/>
    <w:rsid w:val="00715A46"/>
    <w:rsid w:val="007202C3"/>
    <w:rsid w:val="0074319B"/>
    <w:rsid w:val="007B49AE"/>
    <w:rsid w:val="007B5E18"/>
    <w:rsid w:val="007C495E"/>
    <w:rsid w:val="007D5C29"/>
    <w:rsid w:val="007F0BBA"/>
    <w:rsid w:val="007F4511"/>
    <w:rsid w:val="00816BFC"/>
    <w:rsid w:val="0083397D"/>
    <w:rsid w:val="00835B27"/>
    <w:rsid w:val="00871A99"/>
    <w:rsid w:val="00893227"/>
    <w:rsid w:val="008B16D5"/>
    <w:rsid w:val="008C20FB"/>
    <w:rsid w:val="008D3707"/>
    <w:rsid w:val="008D6FC8"/>
    <w:rsid w:val="0092753D"/>
    <w:rsid w:val="00934D88"/>
    <w:rsid w:val="009934EF"/>
    <w:rsid w:val="009C5F6E"/>
    <w:rsid w:val="00A02AF1"/>
    <w:rsid w:val="00A1572A"/>
    <w:rsid w:val="00A20C49"/>
    <w:rsid w:val="00A53374"/>
    <w:rsid w:val="00A540B7"/>
    <w:rsid w:val="00A96188"/>
    <w:rsid w:val="00AE4D8A"/>
    <w:rsid w:val="00AF5D01"/>
    <w:rsid w:val="00B31555"/>
    <w:rsid w:val="00B7149F"/>
    <w:rsid w:val="00B86944"/>
    <w:rsid w:val="00BC0EC2"/>
    <w:rsid w:val="00BF3D51"/>
    <w:rsid w:val="00C15AB8"/>
    <w:rsid w:val="00C408B3"/>
    <w:rsid w:val="00C5681F"/>
    <w:rsid w:val="00C82361"/>
    <w:rsid w:val="00C979CC"/>
    <w:rsid w:val="00CA2508"/>
    <w:rsid w:val="00CD3D7E"/>
    <w:rsid w:val="00CD6002"/>
    <w:rsid w:val="00CF6495"/>
    <w:rsid w:val="00D128C3"/>
    <w:rsid w:val="00D223DC"/>
    <w:rsid w:val="00D243A7"/>
    <w:rsid w:val="00D36C53"/>
    <w:rsid w:val="00D45E0D"/>
    <w:rsid w:val="00D81626"/>
    <w:rsid w:val="00DA7231"/>
    <w:rsid w:val="00DE3662"/>
    <w:rsid w:val="00E03171"/>
    <w:rsid w:val="00E2338A"/>
    <w:rsid w:val="00E25EBE"/>
    <w:rsid w:val="00E676EA"/>
    <w:rsid w:val="00E728D7"/>
    <w:rsid w:val="00E75664"/>
    <w:rsid w:val="00E853E9"/>
    <w:rsid w:val="00E86B42"/>
    <w:rsid w:val="00E86CF5"/>
    <w:rsid w:val="00EA280B"/>
    <w:rsid w:val="00EC07A2"/>
    <w:rsid w:val="00EC7AA5"/>
    <w:rsid w:val="00ED55E8"/>
    <w:rsid w:val="00EE44FD"/>
    <w:rsid w:val="00EE54ED"/>
    <w:rsid w:val="00F310DC"/>
    <w:rsid w:val="00F369C4"/>
    <w:rsid w:val="00F37136"/>
    <w:rsid w:val="00F4296A"/>
    <w:rsid w:val="00F47270"/>
    <w:rsid w:val="00F53618"/>
    <w:rsid w:val="00F54D37"/>
    <w:rsid w:val="00F6015A"/>
    <w:rsid w:val="00F91BB1"/>
    <w:rsid w:val="00FA7F04"/>
    <w:rsid w:val="00FB4B66"/>
    <w:rsid w:val="00FC3367"/>
    <w:rsid w:val="00FD458C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0B78D9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0B78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B78D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0B78D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0B78D9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0B78D9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0B78D9"/>
    <w:rPr>
      <w:rFonts w:ascii="Perpetua Std" w:hAnsi="Perpetua Std"/>
      <w:color w:val="000000"/>
      <w:sz w:val="24"/>
    </w:rPr>
  </w:style>
  <w:style w:type="paragraph" w:customStyle="1" w:styleId="PB">
    <w:name w:val="PB"/>
    <w:rsid w:val="000B78D9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0B78D9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0B78D9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0B78D9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0B78D9"/>
    <w:rPr>
      <w:vertAlign w:val="superscript"/>
    </w:rPr>
  </w:style>
  <w:style w:type="paragraph" w:customStyle="1" w:styleId="HD">
    <w:name w:val="HD"/>
    <w:rsid w:val="000B78D9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0B78D9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0B78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0B78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0B78D9"/>
    <w:pPr>
      <w:spacing w:before="144"/>
      <w:jc w:val="both"/>
    </w:pPr>
    <w:rPr>
      <w:noProof/>
    </w:rPr>
  </w:style>
  <w:style w:type="paragraph" w:customStyle="1" w:styleId="PD">
    <w:name w:val="PD"/>
    <w:rsid w:val="000B78D9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0B78D9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0B78D9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0B78D9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0B78D9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0B78D9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0B78D9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0B78D9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0B78D9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0B78D9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0B78D9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0B78D9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0B78D9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0B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0B78D9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0B78D9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0B78D9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0B78D9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0B78D9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0B78D9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0B78D9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0B78D9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0B78D9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0B78D9"/>
    <w:rPr>
      <w:rFonts w:ascii="Perpetua Std" w:hAnsi="Perpetua Std"/>
    </w:rPr>
  </w:style>
  <w:style w:type="paragraph" w:styleId="NoSpacing">
    <w:name w:val="No Spacing"/>
    <w:qFormat/>
    <w:rsid w:val="000B78D9"/>
    <w:rPr>
      <w:rFonts w:ascii="Perpetua" w:hAnsi="Perpetua"/>
    </w:rPr>
  </w:style>
  <w:style w:type="paragraph" w:customStyle="1" w:styleId="PCA">
    <w:name w:val="PCA"/>
    <w:rsid w:val="000B78D9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0B78D9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0B78D9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0B78D9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0B78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B78D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0B78D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0B78D9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0B78D9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0B78D9"/>
    <w:rPr>
      <w:rFonts w:ascii="Perpetua Std" w:hAnsi="Perpetua Std"/>
      <w:color w:val="000000"/>
      <w:sz w:val="24"/>
    </w:rPr>
  </w:style>
  <w:style w:type="paragraph" w:customStyle="1" w:styleId="PB">
    <w:name w:val="PB"/>
    <w:rsid w:val="000B78D9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0B78D9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0B78D9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0B78D9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0B78D9"/>
    <w:rPr>
      <w:vertAlign w:val="superscript"/>
    </w:rPr>
  </w:style>
  <w:style w:type="paragraph" w:customStyle="1" w:styleId="HD">
    <w:name w:val="HD"/>
    <w:rsid w:val="000B78D9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0B78D9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0B78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0B78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0B78D9"/>
    <w:pPr>
      <w:spacing w:before="144"/>
      <w:jc w:val="both"/>
    </w:pPr>
    <w:rPr>
      <w:noProof/>
    </w:rPr>
  </w:style>
  <w:style w:type="paragraph" w:customStyle="1" w:styleId="PD">
    <w:name w:val="PD"/>
    <w:rsid w:val="000B78D9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0B78D9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0B78D9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0B78D9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0B78D9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0B78D9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0B78D9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0B78D9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0B78D9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0B78D9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0B78D9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0B78D9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0B78D9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0B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0B78D9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0B78D9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0B78D9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0B78D9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0B78D9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0B78D9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0B78D9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0B78D9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0B78D9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0B78D9"/>
    <w:rPr>
      <w:rFonts w:ascii="Perpetua Std" w:hAnsi="Perpetua Std"/>
    </w:rPr>
  </w:style>
  <w:style w:type="paragraph" w:styleId="NoSpacing">
    <w:name w:val="No Spacing"/>
    <w:qFormat/>
    <w:rsid w:val="000B78D9"/>
    <w:rPr>
      <w:rFonts w:ascii="Perpetua" w:hAnsi="Perpetua"/>
    </w:rPr>
  </w:style>
  <w:style w:type="paragraph" w:customStyle="1" w:styleId="PCA">
    <w:name w:val="PCA"/>
    <w:rsid w:val="000B78D9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0B78D9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0B78D9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8554. When is the sale or exchange of an option to purchase property taxed as a capital gain or loss?</vt:lpstr>
    </vt:vector>
  </TitlesOfParts>
  <Company>Summit Business Media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8554. When is the sale or exchange of an option to purchase property taxed as a capital gain or loss?</dc:title>
  <dc:creator>Alexis Long</dc:creator>
  <cp:lastModifiedBy>rcline</cp:lastModifiedBy>
  <cp:revision>2</cp:revision>
  <cp:lastPrinted>2013-08-28T20:59:00Z</cp:lastPrinted>
  <dcterms:created xsi:type="dcterms:W3CDTF">2014-08-21T14:05:00Z</dcterms:created>
  <dcterms:modified xsi:type="dcterms:W3CDTF">2014-08-21T14:05:00Z</dcterms:modified>
</cp:coreProperties>
</file>