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BC" w:rsidRPr="008F2EBC" w:rsidRDefault="008F2EBC" w:rsidP="00255005">
      <w:pPr>
        <w:pStyle w:val="PA"/>
        <w:rPr>
          <w:b/>
        </w:rPr>
      </w:pPr>
      <w:r w:rsidRPr="008F2EBC">
        <w:rPr>
          <w:b/>
        </w:rPr>
        <w:t>8553.  Can the redemption of a debt obligation result in capital gains treatment?</w:t>
      </w:r>
    </w:p>
    <w:p w:rsidR="008D6FC8" w:rsidRDefault="008D6FC8" w:rsidP="00255005">
      <w:pPr>
        <w:pStyle w:val="PA"/>
        <w:rPr>
          <w:b/>
        </w:rPr>
      </w:pPr>
      <w:r>
        <w:t xml:space="preserve">Redemption of a </w:t>
      </w:r>
      <w:r w:rsidR="007F4511">
        <w:t xml:space="preserve">debt obligation can result in </w:t>
      </w:r>
      <w:r w:rsidR="00EC07A2">
        <w:t>recognition of gain or loss</w:t>
      </w:r>
      <w:r>
        <w:t xml:space="preserve"> </w:t>
      </w:r>
      <w:r w:rsidR="007F4511">
        <w:t>in situations where</w:t>
      </w:r>
      <w:r>
        <w:t xml:space="preserve"> the obligation was acquired at a premium or discount.</w:t>
      </w:r>
      <w:r w:rsidR="00816BFC">
        <w:t xml:space="preserve"> </w:t>
      </w:r>
      <w:r>
        <w:t>The relevant issue for determining whether the retirement or satisfaction of the debt can result in a capital gain or loss</w:t>
      </w:r>
      <w:r w:rsidR="00C97612">
        <w:t xml:space="preserve"> is whether a sale or exchange has taken place</w:t>
      </w:r>
      <w:r>
        <w:t>.</w:t>
      </w:r>
      <w:r w:rsidR="00816BFC">
        <w:t xml:space="preserve"> </w:t>
      </w:r>
      <w:r w:rsidR="00EC07A2">
        <w:t>Historically</w:t>
      </w:r>
      <w:r w:rsidR="00672FCA">
        <w:t xml:space="preserve">, cases dealing with the subject found that no sale or exchange takes place </w:t>
      </w:r>
      <w:r w:rsidR="007F4511">
        <w:t>when the maker of a d</w:t>
      </w:r>
      <w:r w:rsidR="001F7DEE">
        <w:t>ebt satisfies the</w:t>
      </w:r>
      <w:r w:rsidR="007F4511">
        <w:t xml:space="preserve"> obligations under the debt instrument</w:t>
      </w:r>
      <w:r w:rsidR="00672FCA">
        <w:t>.</w:t>
      </w:r>
      <w:r w:rsidR="007F4511" w:rsidRPr="0074319B">
        <w:rPr>
          <w:rStyle w:val="FootnoteReference"/>
          <w:color w:val="auto"/>
        </w:rPr>
        <w:footnoteReference w:id="1"/>
      </w:r>
      <w:r w:rsidR="00816BFC">
        <w:t xml:space="preserve"> </w:t>
      </w:r>
      <w:r w:rsidR="00672FCA">
        <w:t xml:space="preserve">IRC Section 1271 was enacted to change this result in many situations involving </w:t>
      </w:r>
      <w:r w:rsidR="00C979CC">
        <w:t xml:space="preserve">the </w:t>
      </w:r>
      <w:r w:rsidR="00672FCA">
        <w:t>redemption of debt obligations.</w:t>
      </w:r>
      <w:r w:rsidR="00816BFC">
        <w:t xml:space="preserve"> </w:t>
      </w:r>
    </w:p>
    <w:p w:rsidR="007F4511" w:rsidRDefault="007F4511" w:rsidP="00255005">
      <w:pPr>
        <w:pStyle w:val="PA"/>
        <w:rPr>
          <w:b/>
        </w:rPr>
      </w:pPr>
      <w:r>
        <w:t xml:space="preserve">Under Section 1271, amounts received by the holder when the debt instrument is redeemed </w:t>
      </w:r>
      <w:r w:rsidR="000C1776">
        <w:t>are treated as having been received in an exchange.</w:t>
      </w:r>
      <w:r w:rsidR="000C1776" w:rsidRPr="0074319B">
        <w:rPr>
          <w:rStyle w:val="FootnoteReference"/>
          <w:color w:val="auto"/>
        </w:rPr>
        <w:footnoteReference w:id="2"/>
      </w:r>
      <w:r w:rsidR="00816BFC">
        <w:t xml:space="preserve"> </w:t>
      </w:r>
      <w:r w:rsidR="000C1776">
        <w:t>Because of this, gain or loss realized upon redemption can qualify for capital gains treatment.</w:t>
      </w:r>
    </w:p>
    <w:p w:rsidR="00981798" w:rsidRDefault="00981798" w:rsidP="00255005">
      <w:pPr>
        <w:pStyle w:val="PA"/>
      </w:pPr>
      <w:r>
        <w:t>However, some debt instruments contain “original issue discount” which is a type of interest.  This would be</w:t>
      </w:r>
      <w:r w:rsidR="001F7DEE">
        <w:t xml:space="preserve"> a</w:t>
      </w:r>
      <w:bookmarkStart w:id="0" w:name="_GoBack"/>
      <w:bookmarkEnd w:id="0"/>
      <w:r>
        <w:t xml:space="preserve"> debt instrument in which the maturity price exceeds the purchase price.  The difference is the interest component.</w:t>
      </w:r>
    </w:p>
    <w:p w:rsidR="00981798" w:rsidRPr="00981798" w:rsidRDefault="00981798" w:rsidP="00255005">
      <w:pPr>
        <w:pStyle w:val="PA"/>
      </w:pPr>
      <w:r>
        <w:rPr>
          <w:i/>
        </w:rPr>
        <w:t>Example</w:t>
      </w:r>
      <w:r>
        <w:t xml:space="preserve">.  Asher purchases an original issue discount debt for $1,000 that matures two years later for $1,250.  The difference between the maturity amount and the purchase amount, $250, is essentially interest.  </w:t>
      </w:r>
    </w:p>
    <w:p w:rsidR="00EC7AA5" w:rsidRDefault="00981798" w:rsidP="00255005">
      <w:pPr>
        <w:pStyle w:val="PA"/>
        <w:rPr>
          <w:b/>
        </w:rPr>
      </w:pPr>
      <w:r>
        <w:t>Original issue discount interest is reportable as ordinary income.  Such o</w:t>
      </w:r>
      <w:r w:rsidR="00EC7AA5">
        <w:t>rdinary income may be realized, however, in some transactions where there was an intention to call the obligation before maturity at the time the obligation was originally issued.</w:t>
      </w:r>
      <w:r w:rsidR="00EC7AA5" w:rsidRPr="0074319B">
        <w:rPr>
          <w:rStyle w:val="FootnoteReference"/>
          <w:color w:val="auto"/>
        </w:rPr>
        <w:footnoteReference w:id="3"/>
      </w:r>
      <w:r w:rsidR="00816BFC">
        <w:t xml:space="preserve"> </w:t>
      </w:r>
      <w:r w:rsidR="00EC7AA5">
        <w:t>If this is the case, any gain realized in the transaction must be treated as ordinary income to the extent that the amount of gain does not exceed the sum of (a) the original issue discount, reduced by (b) the portion of original issue discount previously included in the gross income of any holder of the obligation.</w:t>
      </w:r>
      <w:r w:rsidR="00EC7AA5" w:rsidRPr="0074319B">
        <w:rPr>
          <w:rStyle w:val="FootnoteReference"/>
          <w:color w:val="auto"/>
        </w:rPr>
        <w:footnoteReference w:id="4"/>
      </w:r>
      <w:r w:rsidR="00816BFC">
        <w:t xml:space="preserve"> </w:t>
      </w:r>
    </w:p>
    <w:p w:rsidR="000C1776" w:rsidRPr="008D6FC8" w:rsidRDefault="00EC7AA5" w:rsidP="00255005">
      <w:pPr>
        <w:pStyle w:val="PA"/>
        <w:rPr>
          <w:b/>
        </w:rPr>
      </w:pPr>
      <w:r>
        <w:t>The requirement that ordinary income be recognized does not apply to certain tax-exempt obligations and to holders who purchased the debt instrument at a premium.</w:t>
      </w:r>
      <w:r w:rsidRPr="0074319B">
        <w:rPr>
          <w:rStyle w:val="FootnoteReference"/>
          <w:color w:val="auto"/>
        </w:rPr>
        <w:footnoteReference w:id="5"/>
      </w:r>
    </w:p>
    <w:p w:rsidR="00F4296A" w:rsidRDefault="00F4296A" w:rsidP="00255005">
      <w:pPr>
        <w:pStyle w:val="PA"/>
      </w:pPr>
    </w:p>
    <w:sectPr w:rsidR="00F4296A"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10" w:rsidRDefault="007E3010" w:rsidP="00F4296A">
      <w:r>
        <w:separator/>
      </w:r>
    </w:p>
  </w:endnote>
  <w:endnote w:type="continuationSeparator" w:id="0">
    <w:p w:rsidR="007E3010" w:rsidRDefault="007E3010" w:rsidP="00F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10" w:rsidRDefault="007E3010" w:rsidP="00F4296A">
      <w:r>
        <w:separator/>
      </w:r>
    </w:p>
  </w:footnote>
  <w:footnote w:type="continuationSeparator" w:id="0">
    <w:p w:rsidR="007E3010" w:rsidRDefault="007E3010" w:rsidP="00F4296A">
      <w:r>
        <w:continuationSeparator/>
      </w:r>
    </w:p>
  </w:footnote>
  <w:footnote w:id="1">
    <w:p w:rsidR="003566BE" w:rsidRPr="007F4511" w:rsidRDefault="003566BE" w:rsidP="0074319B">
      <w:pPr>
        <w:pStyle w:val="PQ"/>
      </w:pPr>
      <w:r w:rsidRPr="00816BFC">
        <w:rPr>
          <w:rStyle w:val="FootnoteReference"/>
          <w:vertAlign w:val="baseline"/>
        </w:rPr>
        <w:footnoteRef/>
      </w:r>
      <w:r w:rsidR="00144D20">
        <w:t>.</w:t>
      </w:r>
      <w:r w:rsidR="00144D20">
        <w:tab/>
      </w:r>
      <w:r w:rsidR="0074319B">
        <w:t xml:space="preserve">See, for example, </w:t>
      </w:r>
      <w:r w:rsidR="0074319B">
        <w:rPr>
          <w:i/>
        </w:rPr>
        <w:t>Wood v. Commissioner</w:t>
      </w:r>
      <w:r w:rsidR="0074319B">
        <w:t>, 25 TC 468 (1955).</w:t>
      </w:r>
    </w:p>
  </w:footnote>
  <w:footnote w:id="2">
    <w:p w:rsidR="003566BE" w:rsidRDefault="003566BE" w:rsidP="0074319B">
      <w:pPr>
        <w:pStyle w:val="PQ"/>
      </w:pPr>
      <w:r w:rsidRPr="00816BFC">
        <w:rPr>
          <w:rStyle w:val="FootnoteReference"/>
          <w:vertAlign w:val="baseline"/>
        </w:rPr>
        <w:footnoteRef/>
      </w:r>
      <w:r w:rsidR="00144D20">
        <w:t>.</w:t>
      </w:r>
      <w:r w:rsidR="00144D20">
        <w:tab/>
      </w:r>
      <w:r w:rsidR="0074319B">
        <w:t>IRC Sec. 1271(a</w:t>
      </w:r>
      <w:proofErr w:type="gramStart"/>
      <w:r w:rsidR="0074319B">
        <w:t>)(</w:t>
      </w:r>
      <w:proofErr w:type="gramEnd"/>
      <w:r w:rsidR="0074319B">
        <w:t>1).</w:t>
      </w:r>
    </w:p>
  </w:footnote>
  <w:footnote w:id="3">
    <w:p w:rsidR="003566BE" w:rsidRDefault="003566BE" w:rsidP="0074319B">
      <w:pPr>
        <w:pStyle w:val="PQ"/>
      </w:pPr>
      <w:r w:rsidRPr="00816BFC">
        <w:rPr>
          <w:rStyle w:val="FootnoteReference"/>
          <w:vertAlign w:val="baseline"/>
        </w:rPr>
        <w:footnoteRef/>
      </w:r>
      <w:r w:rsidR="00144D20">
        <w:t>.</w:t>
      </w:r>
      <w:r w:rsidR="00144D20">
        <w:tab/>
      </w:r>
      <w:r w:rsidR="0074319B">
        <w:t>IRC Sec. 1271(a</w:t>
      </w:r>
      <w:proofErr w:type="gramStart"/>
      <w:r w:rsidR="0074319B">
        <w:t>)(</w:t>
      </w:r>
      <w:proofErr w:type="gramEnd"/>
      <w:r w:rsidR="0074319B">
        <w:t>2)(A).</w:t>
      </w:r>
    </w:p>
  </w:footnote>
  <w:footnote w:id="4">
    <w:p w:rsidR="003566BE" w:rsidRDefault="003566BE" w:rsidP="0074319B">
      <w:pPr>
        <w:pStyle w:val="PQ"/>
      </w:pPr>
      <w:r w:rsidRPr="00816BFC">
        <w:rPr>
          <w:rStyle w:val="FootnoteReference"/>
          <w:vertAlign w:val="baseline"/>
        </w:rPr>
        <w:footnoteRef/>
      </w:r>
      <w:r w:rsidR="00144D20">
        <w:t>.</w:t>
      </w:r>
      <w:r w:rsidR="00144D20">
        <w:tab/>
      </w:r>
      <w:r w:rsidR="0074319B">
        <w:t>IRC Sec. 1271(a</w:t>
      </w:r>
      <w:proofErr w:type="gramStart"/>
      <w:r w:rsidR="0074319B">
        <w:t>)(</w:t>
      </w:r>
      <w:proofErr w:type="gramEnd"/>
      <w:r w:rsidR="0074319B">
        <w:t>2).</w:t>
      </w:r>
    </w:p>
  </w:footnote>
  <w:footnote w:id="5">
    <w:p w:rsidR="003566BE" w:rsidRDefault="003566BE" w:rsidP="0074319B">
      <w:pPr>
        <w:pStyle w:val="PQ"/>
      </w:pPr>
      <w:r w:rsidRPr="00816BFC">
        <w:rPr>
          <w:rStyle w:val="FootnoteReference"/>
          <w:vertAlign w:val="baseline"/>
        </w:rPr>
        <w:footnoteRef/>
      </w:r>
      <w:r w:rsidR="00144D20">
        <w:t>.</w:t>
      </w:r>
      <w:r w:rsidR="00144D20">
        <w:tab/>
      </w:r>
      <w:r w:rsidR="0074319B">
        <w:t>IRC Sec. 1271(a</w:t>
      </w:r>
      <w:proofErr w:type="gramStart"/>
      <w:r w:rsidR="0074319B">
        <w:t>)(</w:t>
      </w:r>
      <w:proofErr w:type="gramEnd"/>
      <w:r w:rsidR="0074319B">
        <w:t>2)(B).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64A6A74"/>
    <w:multiLevelType w:val="hybridMultilevel"/>
    <w:tmpl w:val="0002C4EA"/>
    <w:lvl w:ilvl="0" w:tplc="72187FA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B1E04D0"/>
    <w:multiLevelType w:val="hybridMultilevel"/>
    <w:tmpl w:val="05C238FA"/>
    <w:lvl w:ilvl="0" w:tplc="0BF2A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084466"/>
    <w:multiLevelType w:val="hybridMultilevel"/>
    <w:tmpl w:val="3404044A"/>
    <w:lvl w:ilvl="0" w:tplc="529A75D0">
      <w:start w:val="4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13"/>
  </w:num>
  <w:num w:numId="8">
    <w:abstractNumId w:val="4"/>
  </w:num>
  <w:num w:numId="9">
    <w:abstractNumId w:val="9"/>
  </w:num>
  <w:num w:numId="10">
    <w:abstractNumId w:val="2"/>
  </w:num>
  <w:num w:numId="11">
    <w:abstractNumId w:val="3"/>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67"/>
    <w:rsid w:val="000364AA"/>
    <w:rsid w:val="000A22B1"/>
    <w:rsid w:val="000A53C2"/>
    <w:rsid w:val="000C1776"/>
    <w:rsid w:val="000F4FD7"/>
    <w:rsid w:val="001018D5"/>
    <w:rsid w:val="00135C9D"/>
    <w:rsid w:val="001409E2"/>
    <w:rsid w:val="00144D20"/>
    <w:rsid w:val="0016358E"/>
    <w:rsid w:val="00170900"/>
    <w:rsid w:val="001A5E2D"/>
    <w:rsid w:val="001C40E6"/>
    <w:rsid w:val="001E64C8"/>
    <w:rsid w:val="001F52F4"/>
    <w:rsid w:val="001F73A2"/>
    <w:rsid w:val="001F7DEE"/>
    <w:rsid w:val="00215C3D"/>
    <w:rsid w:val="00255005"/>
    <w:rsid w:val="00271A21"/>
    <w:rsid w:val="002D4314"/>
    <w:rsid w:val="002E22EE"/>
    <w:rsid w:val="00307DB9"/>
    <w:rsid w:val="003566BE"/>
    <w:rsid w:val="00366114"/>
    <w:rsid w:val="00373C40"/>
    <w:rsid w:val="004120E2"/>
    <w:rsid w:val="00442416"/>
    <w:rsid w:val="00453AA6"/>
    <w:rsid w:val="004614EB"/>
    <w:rsid w:val="00463BDC"/>
    <w:rsid w:val="00475112"/>
    <w:rsid w:val="00491DE8"/>
    <w:rsid w:val="00494472"/>
    <w:rsid w:val="004B69F3"/>
    <w:rsid w:val="004D5C3E"/>
    <w:rsid w:val="004F216D"/>
    <w:rsid w:val="00523FFD"/>
    <w:rsid w:val="00525224"/>
    <w:rsid w:val="0055012A"/>
    <w:rsid w:val="00581E1C"/>
    <w:rsid w:val="005963EF"/>
    <w:rsid w:val="005D0931"/>
    <w:rsid w:val="00631FB1"/>
    <w:rsid w:val="006321E0"/>
    <w:rsid w:val="006370D0"/>
    <w:rsid w:val="006451B3"/>
    <w:rsid w:val="00672FCA"/>
    <w:rsid w:val="0067311C"/>
    <w:rsid w:val="006767EC"/>
    <w:rsid w:val="006D7FA7"/>
    <w:rsid w:val="006F6498"/>
    <w:rsid w:val="00713384"/>
    <w:rsid w:val="00715A46"/>
    <w:rsid w:val="007202C3"/>
    <w:rsid w:val="0074319B"/>
    <w:rsid w:val="007B49AE"/>
    <w:rsid w:val="007B5E18"/>
    <w:rsid w:val="007C495E"/>
    <w:rsid w:val="007D5C29"/>
    <w:rsid w:val="007E3010"/>
    <w:rsid w:val="007F0BBA"/>
    <w:rsid w:val="007F4511"/>
    <w:rsid w:val="00812E61"/>
    <w:rsid w:val="00816BFC"/>
    <w:rsid w:val="0083397D"/>
    <w:rsid w:val="00835B27"/>
    <w:rsid w:val="00871A99"/>
    <w:rsid w:val="00893227"/>
    <w:rsid w:val="008B16D5"/>
    <w:rsid w:val="008C20FB"/>
    <w:rsid w:val="008D3707"/>
    <w:rsid w:val="008D6FC8"/>
    <w:rsid w:val="008F2EBC"/>
    <w:rsid w:val="00905E04"/>
    <w:rsid w:val="0092753D"/>
    <w:rsid w:val="00981798"/>
    <w:rsid w:val="009934EF"/>
    <w:rsid w:val="009C5F6E"/>
    <w:rsid w:val="00A02AF1"/>
    <w:rsid w:val="00A1572A"/>
    <w:rsid w:val="00A20C49"/>
    <w:rsid w:val="00A47CB0"/>
    <w:rsid w:val="00A53374"/>
    <w:rsid w:val="00A540B7"/>
    <w:rsid w:val="00A96188"/>
    <w:rsid w:val="00AE4D8A"/>
    <w:rsid w:val="00AF5D01"/>
    <w:rsid w:val="00B31555"/>
    <w:rsid w:val="00B7149F"/>
    <w:rsid w:val="00B86944"/>
    <w:rsid w:val="00BC0EC2"/>
    <w:rsid w:val="00BE6DF4"/>
    <w:rsid w:val="00BF3D51"/>
    <w:rsid w:val="00C15AB8"/>
    <w:rsid w:val="00C310E1"/>
    <w:rsid w:val="00C82361"/>
    <w:rsid w:val="00C97612"/>
    <w:rsid w:val="00C979CC"/>
    <w:rsid w:val="00CA2508"/>
    <w:rsid w:val="00CD3D7E"/>
    <w:rsid w:val="00CD6002"/>
    <w:rsid w:val="00CF6495"/>
    <w:rsid w:val="00D128C3"/>
    <w:rsid w:val="00D223DC"/>
    <w:rsid w:val="00D243A7"/>
    <w:rsid w:val="00D36C53"/>
    <w:rsid w:val="00D45E0D"/>
    <w:rsid w:val="00D81626"/>
    <w:rsid w:val="00D92E93"/>
    <w:rsid w:val="00DA7231"/>
    <w:rsid w:val="00DA7514"/>
    <w:rsid w:val="00DE3662"/>
    <w:rsid w:val="00E03171"/>
    <w:rsid w:val="00E053F8"/>
    <w:rsid w:val="00E25EBE"/>
    <w:rsid w:val="00E728D7"/>
    <w:rsid w:val="00E75664"/>
    <w:rsid w:val="00E853E9"/>
    <w:rsid w:val="00E86B42"/>
    <w:rsid w:val="00E86CF5"/>
    <w:rsid w:val="00EA280B"/>
    <w:rsid w:val="00EC07A2"/>
    <w:rsid w:val="00EC7AA5"/>
    <w:rsid w:val="00ED55E8"/>
    <w:rsid w:val="00EE44FD"/>
    <w:rsid w:val="00F160F3"/>
    <w:rsid w:val="00F369C4"/>
    <w:rsid w:val="00F37136"/>
    <w:rsid w:val="00F4296A"/>
    <w:rsid w:val="00F53618"/>
    <w:rsid w:val="00F91BB1"/>
    <w:rsid w:val="00FA7F04"/>
    <w:rsid w:val="00FB4B66"/>
    <w:rsid w:val="00FC3367"/>
    <w:rsid w:val="00FD458C"/>
    <w:rsid w:val="00FD757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C310E1"/>
    <w:rPr>
      <w:rFonts w:ascii="Perpetua Std" w:hAnsi="Perpetua Std"/>
    </w:rPr>
  </w:style>
  <w:style w:type="paragraph" w:styleId="Heading1">
    <w:name w:val="heading 1"/>
    <w:basedOn w:val="Normal"/>
    <w:next w:val="Normal"/>
    <w:link w:val="Heading1Char"/>
    <w:qFormat/>
    <w:rsid w:val="00C310E1"/>
    <w:pPr>
      <w:keepNext/>
      <w:outlineLvl w:val="0"/>
    </w:pPr>
    <w:rPr>
      <w:b/>
    </w:rPr>
  </w:style>
  <w:style w:type="paragraph" w:styleId="Heading2">
    <w:name w:val="heading 2"/>
    <w:basedOn w:val="Normal"/>
    <w:next w:val="Normal"/>
    <w:link w:val="Heading2Char"/>
    <w:qFormat/>
    <w:rsid w:val="00C310E1"/>
    <w:pPr>
      <w:keepNext/>
      <w:spacing w:before="240" w:after="60"/>
      <w:outlineLvl w:val="1"/>
    </w:pPr>
    <w:rPr>
      <w:rFonts w:ascii="Arial" w:hAnsi="Arial"/>
      <w:b/>
      <w:i/>
      <w:sz w:val="24"/>
    </w:rPr>
  </w:style>
  <w:style w:type="paragraph" w:styleId="Heading3">
    <w:name w:val="heading 3"/>
    <w:basedOn w:val="Normal"/>
    <w:next w:val="Normal"/>
    <w:link w:val="Heading3Char"/>
    <w:qFormat/>
    <w:rsid w:val="00C310E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C310E1"/>
    <w:pPr>
      <w:spacing w:after="240"/>
      <w:jc w:val="both"/>
    </w:pPr>
    <w:rPr>
      <w:rFonts w:ascii="Helvetica LT Std" w:hAnsi="Helvetica LT Std"/>
      <w:b/>
      <w:color w:val="000000"/>
      <w:sz w:val="26"/>
    </w:rPr>
  </w:style>
  <w:style w:type="paragraph" w:customStyle="1" w:styleId="PA">
    <w:name w:val="PA"/>
    <w:next w:val="Normal"/>
    <w:link w:val="PAChar"/>
    <w:rsid w:val="00C310E1"/>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C310E1"/>
    <w:rPr>
      <w:rFonts w:ascii="Perpetua Std" w:hAnsi="Perpetua Std"/>
      <w:color w:val="000000"/>
      <w:sz w:val="24"/>
    </w:rPr>
  </w:style>
  <w:style w:type="paragraph" w:customStyle="1" w:styleId="PB">
    <w:name w:val="PB"/>
    <w:rsid w:val="00C310E1"/>
    <w:pPr>
      <w:spacing w:after="240"/>
      <w:jc w:val="both"/>
    </w:pPr>
    <w:rPr>
      <w:rFonts w:ascii="Perpetua Std" w:hAnsi="Perpetua Std"/>
      <w:color w:val="000000"/>
      <w:sz w:val="24"/>
    </w:rPr>
  </w:style>
  <w:style w:type="paragraph" w:customStyle="1" w:styleId="PC">
    <w:name w:val="PC"/>
    <w:rsid w:val="00C310E1"/>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C310E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C310E1"/>
    <w:rPr>
      <w:rFonts w:ascii="Adobe Caslon Pro" w:hAnsi="Adobe Caslon Pro"/>
      <w:color w:val="000000"/>
      <w:sz w:val="14"/>
    </w:rPr>
  </w:style>
  <w:style w:type="character" w:styleId="FootnoteReference">
    <w:name w:val="footnote reference"/>
    <w:rsid w:val="00C310E1"/>
    <w:rPr>
      <w:vertAlign w:val="superscript"/>
    </w:rPr>
  </w:style>
  <w:style w:type="paragraph" w:customStyle="1" w:styleId="HD">
    <w:name w:val="HD"/>
    <w:rsid w:val="00C310E1"/>
    <w:pPr>
      <w:suppressAutoHyphens/>
      <w:spacing w:before="120"/>
      <w:jc w:val="center"/>
    </w:pPr>
    <w:rPr>
      <w:rFonts w:ascii="Helvetica LT Std" w:hAnsi="Helvetica LT Std"/>
      <w:sz w:val="26"/>
      <w:szCs w:val="18"/>
    </w:rPr>
  </w:style>
  <w:style w:type="paragraph" w:customStyle="1" w:styleId="PN">
    <w:name w:val="PN"/>
    <w:rsid w:val="00C310E1"/>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C310E1"/>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C310E1"/>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C310E1"/>
    <w:pPr>
      <w:spacing w:before="144"/>
      <w:jc w:val="both"/>
    </w:pPr>
    <w:rPr>
      <w:noProof/>
    </w:rPr>
  </w:style>
  <w:style w:type="paragraph" w:customStyle="1" w:styleId="PD">
    <w:name w:val="PD"/>
    <w:rsid w:val="00C310E1"/>
    <w:pPr>
      <w:spacing w:after="240"/>
      <w:ind w:left="720" w:firstLine="288"/>
      <w:jc w:val="both"/>
    </w:pPr>
    <w:rPr>
      <w:rFonts w:ascii="Perpetua Std" w:hAnsi="Perpetua Std"/>
      <w:color w:val="000000"/>
      <w:sz w:val="24"/>
    </w:rPr>
  </w:style>
  <w:style w:type="paragraph" w:customStyle="1" w:styleId="PE">
    <w:name w:val="PE"/>
    <w:rsid w:val="00C310E1"/>
    <w:pPr>
      <w:spacing w:after="240"/>
      <w:ind w:left="720"/>
      <w:jc w:val="both"/>
    </w:pPr>
    <w:rPr>
      <w:rFonts w:ascii="Perpetua Std" w:hAnsi="Perpetua Std"/>
      <w:color w:val="000000"/>
      <w:sz w:val="24"/>
    </w:rPr>
  </w:style>
  <w:style w:type="paragraph" w:customStyle="1" w:styleId="PF">
    <w:name w:val="PF"/>
    <w:rsid w:val="00C310E1"/>
    <w:pPr>
      <w:tabs>
        <w:tab w:val="left" w:pos="1080"/>
      </w:tabs>
      <w:spacing w:after="240"/>
      <w:ind w:left="1080" w:hanging="360"/>
      <w:jc w:val="both"/>
    </w:pPr>
    <w:rPr>
      <w:rFonts w:ascii="Perpetua Std" w:hAnsi="Perpetua Std"/>
      <w:color w:val="000000"/>
      <w:sz w:val="24"/>
    </w:rPr>
  </w:style>
  <w:style w:type="paragraph" w:customStyle="1" w:styleId="PG">
    <w:name w:val="PG"/>
    <w:rsid w:val="00C310E1"/>
    <w:pPr>
      <w:spacing w:after="240"/>
      <w:ind w:left="360"/>
      <w:jc w:val="both"/>
    </w:pPr>
    <w:rPr>
      <w:rFonts w:ascii="Perpetua Std" w:hAnsi="Perpetua Std"/>
      <w:color w:val="000000"/>
      <w:sz w:val="24"/>
    </w:rPr>
  </w:style>
  <w:style w:type="paragraph" w:customStyle="1" w:styleId="PH">
    <w:name w:val="PH"/>
    <w:rsid w:val="00C310E1"/>
    <w:pPr>
      <w:tabs>
        <w:tab w:val="left" w:pos="360"/>
      </w:tabs>
      <w:spacing w:after="240"/>
      <w:ind w:left="360" w:hanging="360"/>
      <w:jc w:val="both"/>
    </w:pPr>
    <w:rPr>
      <w:rFonts w:ascii="Perpetua Std" w:hAnsi="Perpetua Std"/>
      <w:color w:val="000000"/>
      <w:sz w:val="24"/>
    </w:rPr>
  </w:style>
  <w:style w:type="paragraph" w:customStyle="1" w:styleId="PI">
    <w:name w:val="PI"/>
    <w:rsid w:val="00C310E1"/>
    <w:pPr>
      <w:spacing w:after="240"/>
      <w:ind w:left="360" w:hanging="360"/>
      <w:jc w:val="both"/>
    </w:pPr>
    <w:rPr>
      <w:rFonts w:ascii="Perpetua Std" w:hAnsi="Perpetua Std"/>
      <w:color w:val="000000"/>
      <w:sz w:val="24"/>
    </w:rPr>
  </w:style>
  <w:style w:type="paragraph" w:customStyle="1" w:styleId="PK">
    <w:name w:val="PK"/>
    <w:rsid w:val="00C310E1"/>
    <w:pPr>
      <w:spacing w:after="240"/>
      <w:ind w:left="360" w:firstLine="288"/>
      <w:jc w:val="both"/>
    </w:pPr>
    <w:rPr>
      <w:rFonts w:ascii="Perpetua Std" w:hAnsi="Perpetua Std"/>
      <w:color w:val="000000"/>
      <w:sz w:val="24"/>
    </w:rPr>
  </w:style>
  <w:style w:type="paragraph" w:customStyle="1" w:styleId="PL">
    <w:name w:val="PL"/>
    <w:rsid w:val="00C310E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C310E1"/>
    <w:pPr>
      <w:spacing w:after="240"/>
      <w:ind w:left="432" w:right="432" w:firstLine="432"/>
      <w:jc w:val="both"/>
    </w:pPr>
    <w:rPr>
      <w:rFonts w:ascii="Minion Pro" w:hAnsi="Minion Pro"/>
    </w:rPr>
  </w:style>
  <w:style w:type="paragraph" w:customStyle="1" w:styleId="TOC">
    <w:name w:val="TOC"/>
    <w:autoRedefine/>
    <w:rsid w:val="00C310E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C310E1"/>
    <w:pPr>
      <w:tabs>
        <w:tab w:val="clear" w:pos="1440"/>
        <w:tab w:val="clear" w:pos="8640"/>
        <w:tab w:val="left" w:pos="240"/>
        <w:tab w:val="left" w:pos="480"/>
        <w:tab w:val="right" w:leader="dot" w:pos="4680"/>
      </w:tabs>
      <w:ind w:left="0" w:firstLine="0"/>
    </w:pPr>
    <w:rPr>
      <w:sz w:val="22"/>
    </w:rPr>
  </w:style>
  <w:style w:type="paragraph" w:customStyle="1" w:styleId="PP">
    <w:name w:val="PP"/>
    <w:rsid w:val="00C310E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C310E1"/>
    <w:pPr>
      <w:spacing w:before="120" w:after="120"/>
      <w:jc w:val="center"/>
    </w:pPr>
    <w:rPr>
      <w:rFonts w:ascii="Helvetica LT Std" w:hAnsi="Helvetica LT Std"/>
      <w:sz w:val="24"/>
    </w:rPr>
  </w:style>
  <w:style w:type="table" w:styleId="TableGrid">
    <w:name w:val="Table Grid"/>
    <w:basedOn w:val="TableNormal"/>
    <w:rsid w:val="00C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C310E1"/>
    <w:pPr>
      <w:spacing w:after="240"/>
      <w:jc w:val="center"/>
    </w:pPr>
    <w:rPr>
      <w:rFonts w:ascii="Helvetica LT Std" w:hAnsi="Helvetica LT Std"/>
      <w:b/>
      <w:caps/>
      <w:color w:val="000000"/>
      <w:sz w:val="36"/>
      <w:szCs w:val="32"/>
    </w:rPr>
  </w:style>
  <w:style w:type="paragraph" w:customStyle="1" w:styleId="HB">
    <w:name w:val="HB"/>
    <w:rsid w:val="00C310E1"/>
    <w:pPr>
      <w:spacing w:before="120" w:after="240"/>
      <w:jc w:val="center"/>
    </w:pPr>
    <w:rPr>
      <w:rFonts w:ascii="Helvetica LT Std" w:hAnsi="Helvetica LT Std"/>
      <w:b/>
      <w:color w:val="5F5F5F"/>
      <w:w w:val="105"/>
      <w:sz w:val="32"/>
    </w:rPr>
  </w:style>
  <w:style w:type="paragraph" w:customStyle="1" w:styleId="HC">
    <w:name w:val="HC"/>
    <w:autoRedefine/>
    <w:rsid w:val="00C310E1"/>
    <w:pPr>
      <w:tabs>
        <w:tab w:val="left" w:pos="284"/>
      </w:tabs>
      <w:spacing w:before="120" w:after="120"/>
      <w:jc w:val="center"/>
    </w:pPr>
    <w:rPr>
      <w:rFonts w:ascii="Helvetica LT Std" w:hAnsi="Helvetica LT Std"/>
      <w:b/>
      <w:color w:val="000000"/>
      <w:w w:val="110"/>
      <w:sz w:val="26"/>
    </w:rPr>
  </w:style>
  <w:style w:type="paragraph" w:customStyle="1" w:styleId="PR">
    <w:name w:val="PR"/>
    <w:rsid w:val="00C310E1"/>
    <w:pPr>
      <w:spacing w:after="240"/>
      <w:ind w:left="360" w:firstLine="288"/>
      <w:jc w:val="both"/>
    </w:pPr>
    <w:rPr>
      <w:rFonts w:ascii="Adobe Caslon Pro" w:hAnsi="Adobe Caslon Pro"/>
      <w:color w:val="000000"/>
      <w:sz w:val="14"/>
    </w:rPr>
  </w:style>
  <w:style w:type="paragraph" w:customStyle="1" w:styleId="PO">
    <w:name w:val="PO"/>
    <w:rsid w:val="00C310E1"/>
    <w:pPr>
      <w:spacing w:after="240"/>
      <w:jc w:val="both"/>
    </w:pPr>
    <w:rPr>
      <w:rFonts w:ascii="Perpetua Std" w:hAnsi="Perpetua Std"/>
      <w:color w:val="000000"/>
      <w:w w:val="95"/>
      <w:szCs w:val="16"/>
    </w:rPr>
  </w:style>
  <w:style w:type="paragraph" w:customStyle="1" w:styleId="GUIDEX">
    <w:name w:val="GUIDEX"/>
    <w:rsid w:val="00C310E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C310E1"/>
    <w:pPr>
      <w:tabs>
        <w:tab w:val="clear" w:pos="240"/>
        <w:tab w:val="clear" w:pos="480"/>
        <w:tab w:val="clear" w:pos="720"/>
        <w:tab w:val="right" w:pos="4680"/>
      </w:tabs>
    </w:pPr>
  </w:style>
  <w:style w:type="paragraph" w:customStyle="1" w:styleId="PCB">
    <w:name w:val="PCB"/>
    <w:autoRedefine/>
    <w:rsid w:val="00C310E1"/>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C310E1"/>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C310E1"/>
    <w:rPr>
      <w:rFonts w:ascii="Perpetua Std" w:hAnsi="Perpetua Std"/>
    </w:rPr>
  </w:style>
  <w:style w:type="paragraph" w:styleId="NoSpacing">
    <w:name w:val="No Spacing"/>
    <w:qFormat/>
    <w:rsid w:val="00C310E1"/>
    <w:rPr>
      <w:rFonts w:ascii="Perpetua" w:hAnsi="Perpetua"/>
    </w:rPr>
  </w:style>
  <w:style w:type="paragraph" w:customStyle="1" w:styleId="PCA">
    <w:name w:val="PCA"/>
    <w:rsid w:val="00C310E1"/>
    <w:pPr>
      <w:numPr>
        <w:numId w:val="13"/>
      </w:numPr>
      <w:tabs>
        <w:tab w:val="left" w:pos="720"/>
      </w:tabs>
      <w:spacing w:after="240"/>
      <w:jc w:val="both"/>
    </w:pPr>
    <w:rPr>
      <w:rFonts w:ascii="Perpetua Std" w:hAnsi="Perpetua Std"/>
      <w:sz w:val="24"/>
    </w:rPr>
  </w:style>
  <w:style w:type="paragraph" w:customStyle="1" w:styleId="PHB">
    <w:name w:val="PHB"/>
    <w:rsid w:val="00C310E1"/>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C310E1"/>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C310E1"/>
    <w:rPr>
      <w:rFonts w:ascii="Perpetua Std" w:hAnsi="Perpetua Std"/>
    </w:rPr>
  </w:style>
  <w:style w:type="paragraph" w:styleId="Heading1">
    <w:name w:val="heading 1"/>
    <w:basedOn w:val="Normal"/>
    <w:next w:val="Normal"/>
    <w:link w:val="Heading1Char"/>
    <w:qFormat/>
    <w:rsid w:val="00C310E1"/>
    <w:pPr>
      <w:keepNext/>
      <w:outlineLvl w:val="0"/>
    </w:pPr>
    <w:rPr>
      <w:b/>
    </w:rPr>
  </w:style>
  <w:style w:type="paragraph" w:styleId="Heading2">
    <w:name w:val="heading 2"/>
    <w:basedOn w:val="Normal"/>
    <w:next w:val="Normal"/>
    <w:link w:val="Heading2Char"/>
    <w:qFormat/>
    <w:rsid w:val="00C310E1"/>
    <w:pPr>
      <w:keepNext/>
      <w:spacing w:before="240" w:after="60"/>
      <w:outlineLvl w:val="1"/>
    </w:pPr>
    <w:rPr>
      <w:rFonts w:ascii="Arial" w:hAnsi="Arial"/>
      <w:b/>
      <w:i/>
      <w:sz w:val="24"/>
    </w:rPr>
  </w:style>
  <w:style w:type="paragraph" w:styleId="Heading3">
    <w:name w:val="heading 3"/>
    <w:basedOn w:val="Normal"/>
    <w:next w:val="Normal"/>
    <w:link w:val="Heading3Char"/>
    <w:qFormat/>
    <w:rsid w:val="00C310E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C310E1"/>
    <w:pPr>
      <w:spacing w:after="240"/>
      <w:jc w:val="both"/>
    </w:pPr>
    <w:rPr>
      <w:rFonts w:ascii="Helvetica LT Std" w:hAnsi="Helvetica LT Std"/>
      <w:b/>
      <w:color w:val="000000"/>
      <w:sz w:val="26"/>
    </w:rPr>
  </w:style>
  <w:style w:type="paragraph" w:customStyle="1" w:styleId="PA">
    <w:name w:val="PA"/>
    <w:next w:val="Normal"/>
    <w:link w:val="PAChar"/>
    <w:rsid w:val="00C310E1"/>
    <w:pPr>
      <w:spacing w:after="240"/>
      <w:ind w:firstLine="288"/>
      <w:jc w:val="both"/>
    </w:pPr>
    <w:rPr>
      <w:rFonts w:ascii="Perpetua Std" w:hAnsi="Perpetua Std"/>
      <w:color w:val="000000"/>
      <w:sz w:val="24"/>
    </w:rPr>
  </w:style>
  <w:style w:type="paragraph" w:styleId="FootnoteText">
    <w:name w:val="footnote text"/>
    <w:basedOn w:val="Normal"/>
    <w:link w:val="FootnoteTextChar"/>
    <w:rsid w:val="00F4296A"/>
    <w:rPr>
      <w:rFonts w:ascii="Times New Roman" w:hAnsi="Times New Roman"/>
      <w:szCs w:val="24"/>
    </w:rPr>
  </w:style>
  <w:style w:type="character" w:customStyle="1" w:styleId="FootnoteTextChar">
    <w:name w:val="Footnote Text Char"/>
    <w:link w:val="FootnoteText"/>
    <w:rsid w:val="00F4296A"/>
    <w:rPr>
      <w:rFonts w:ascii="Times New Roman" w:eastAsia="Times New Roman" w:hAnsi="Times New Roman" w:cs="Times New Roman"/>
      <w:sz w:val="20"/>
      <w:szCs w:val="24"/>
    </w:rPr>
  </w:style>
  <w:style w:type="character" w:styleId="Hyperlink">
    <w:name w:val="Hyperlink"/>
    <w:rsid w:val="00F4296A"/>
    <w:rPr>
      <w:color w:val="0000FF"/>
      <w:u w:val="single"/>
    </w:rPr>
  </w:style>
  <w:style w:type="character" w:customStyle="1" w:styleId="PAChar">
    <w:name w:val="PA Char"/>
    <w:link w:val="PA"/>
    <w:rsid w:val="00C310E1"/>
    <w:rPr>
      <w:rFonts w:ascii="Perpetua Std" w:hAnsi="Perpetua Std"/>
      <w:color w:val="000000"/>
      <w:sz w:val="24"/>
    </w:rPr>
  </w:style>
  <w:style w:type="paragraph" w:customStyle="1" w:styleId="PB">
    <w:name w:val="PB"/>
    <w:rsid w:val="00C310E1"/>
    <w:pPr>
      <w:spacing w:after="240"/>
      <w:jc w:val="both"/>
    </w:pPr>
    <w:rPr>
      <w:rFonts w:ascii="Perpetua Std" w:hAnsi="Perpetua Std"/>
      <w:color w:val="000000"/>
      <w:sz w:val="24"/>
    </w:rPr>
  </w:style>
  <w:style w:type="paragraph" w:customStyle="1" w:styleId="PC">
    <w:name w:val="PC"/>
    <w:rsid w:val="00C310E1"/>
    <w:pPr>
      <w:tabs>
        <w:tab w:val="left" w:pos="720"/>
      </w:tabs>
      <w:spacing w:after="240"/>
      <w:ind w:left="720" w:hanging="360"/>
      <w:jc w:val="both"/>
    </w:pPr>
    <w:rPr>
      <w:rFonts w:ascii="Perpetua Std" w:hAnsi="Perpetua Std"/>
      <w:color w:val="000000"/>
      <w:sz w:val="24"/>
    </w:rPr>
  </w:style>
  <w:style w:type="paragraph" w:customStyle="1" w:styleId="PQ">
    <w:name w:val="PQ"/>
    <w:link w:val="PQChar"/>
    <w:rsid w:val="00C310E1"/>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C310E1"/>
    <w:rPr>
      <w:rFonts w:ascii="Adobe Caslon Pro" w:hAnsi="Adobe Caslon Pro"/>
      <w:color w:val="000000"/>
      <w:sz w:val="14"/>
    </w:rPr>
  </w:style>
  <w:style w:type="character" w:styleId="FootnoteReference">
    <w:name w:val="footnote reference"/>
    <w:rsid w:val="00C310E1"/>
    <w:rPr>
      <w:vertAlign w:val="superscript"/>
    </w:rPr>
  </w:style>
  <w:style w:type="paragraph" w:customStyle="1" w:styleId="HD">
    <w:name w:val="HD"/>
    <w:rsid w:val="00C310E1"/>
    <w:pPr>
      <w:suppressAutoHyphens/>
      <w:spacing w:before="120"/>
      <w:jc w:val="center"/>
    </w:pPr>
    <w:rPr>
      <w:rFonts w:ascii="Helvetica LT Std" w:hAnsi="Helvetica LT Std"/>
      <w:sz w:val="26"/>
      <w:szCs w:val="18"/>
    </w:rPr>
  </w:style>
  <w:style w:type="paragraph" w:customStyle="1" w:styleId="PN">
    <w:name w:val="PN"/>
    <w:rsid w:val="00C310E1"/>
    <w:pPr>
      <w:spacing w:after="240"/>
      <w:ind w:left="720" w:firstLine="288"/>
      <w:jc w:val="both"/>
    </w:pPr>
    <w:rPr>
      <w:rFonts w:ascii="Perpetua Std" w:eastAsia="MS Mincho" w:hAnsi="Perpetua Std"/>
      <w:color w:val="000000"/>
    </w:rPr>
  </w:style>
  <w:style w:type="paragraph" w:styleId="BalloonText">
    <w:name w:val="Balloon Text"/>
    <w:basedOn w:val="Normal"/>
    <w:link w:val="BalloonTextChar"/>
    <w:rsid w:val="00FA7F04"/>
    <w:rPr>
      <w:rFonts w:ascii="Tahoma" w:hAnsi="Tahoma" w:cs="Tahoma"/>
      <w:sz w:val="16"/>
      <w:szCs w:val="16"/>
    </w:rPr>
  </w:style>
  <w:style w:type="character" w:customStyle="1" w:styleId="BalloonTextChar">
    <w:name w:val="Balloon Text Char"/>
    <w:link w:val="BalloonText"/>
    <w:rsid w:val="00FA7F04"/>
    <w:rPr>
      <w:rFonts w:ascii="Tahoma" w:eastAsia="Times New Roman" w:hAnsi="Tahoma" w:cs="Tahoma"/>
      <w:sz w:val="16"/>
      <w:szCs w:val="16"/>
    </w:rPr>
  </w:style>
  <w:style w:type="character" w:styleId="Emphasis">
    <w:name w:val="Emphasis"/>
    <w:qFormat/>
    <w:rsid w:val="00835B27"/>
    <w:rPr>
      <w:i/>
      <w:iCs/>
    </w:rPr>
  </w:style>
  <w:style w:type="paragraph" w:styleId="Footer">
    <w:name w:val="footer"/>
    <w:basedOn w:val="Normal"/>
    <w:link w:val="FooterChar"/>
    <w:rsid w:val="00C310E1"/>
    <w:pPr>
      <w:tabs>
        <w:tab w:val="center" w:pos="4320"/>
        <w:tab w:val="right" w:pos="8640"/>
      </w:tabs>
    </w:pPr>
  </w:style>
  <w:style w:type="character" w:customStyle="1" w:styleId="FooterChar">
    <w:name w:val="Footer Char"/>
    <w:link w:val="Footer"/>
    <w:rsid w:val="00B86944"/>
    <w:rPr>
      <w:rFonts w:ascii="Perpetua Std" w:hAnsi="Perpetua Std"/>
    </w:rPr>
  </w:style>
  <w:style w:type="paragraph" w:styleId="Header">
    <w:name w:val="header"/>
    <w:basedOn w:val="Normal"/>
    <w:link w:val="HeaderChar"/>
    <w:rsid w:val="00C310E1"/>
    <w:pPr>
      <w:tabs>
        <w:tab w:val="center" w:pos="4320"/>
        <w:tab w:val="right" w:pos="8640"/>
      </w:tabs>
    </w:pPr>
  </w:style>
  <w:style w:type="character" w:customStyle="1" w:styleId="HeaderChar">
    <w:name w:val="Header Char"/>
    <w:link w:val="Header"/>
    <w:rsid w:val="00B86944"/>
    <w:rPr>
      <w:rFonts w:ascii="Perpetua Std" w:hAnsi="Perpetua Std"/>
    </w:rPr>
  </w:style>
  <w:style w:type="paragraph" w:customStyle="1" w:styleId="Standard">
    <w:name w:val="Standard"/>
    <w:rsid w:val="00C310E1"/>
    <w:pPr>
      <w:spacing w:before="144"/>
      <w:jc w:val="both"/>
    </w:pPr>
    <w:rPr>
      <w:noProof/>
    </w:rPr>
  </w:style>
  <w:style w:type="paragraph" w:customStyle="1" w:styleId="PD">
    <w:name w:val="PD"/>
    <w:rsid w:val="00C310E1"/>
    <w:pPr>
      <w:spacing w:after="240"/>
      <w:ind w:left="720" w:firstLine="288"/>
      <w:jc w:val="both"/>
    </w:pPr>
    <w:rPr>
      <w:rFonts w:ascii="Perpetua Std" w:hAnsi="Perpetua Std"/>
      <w:color w:val="000000"/>
      <w:sz w:val="24"/>
    </w:rPr>
  </w:style>
  <w:style w:type="paragraph" w:customStyle="1" w:styleId="PE">
    <w:name w:val="PE"/>
    <w:rsid w:val="00C310E1"/>
    <w:pPr>
      <w:spacing w:after="240"/>
      <w:ind w:left="720"/>
      <w:jc w:val="both"/>
    </w:pPr>
    <w:rPr>
      <w:rFonts w:ascii="Perpetua Std" w:hAnsi="Perpetua Std"/>
      <w:color w:val="000000"/>
      <w:sz w:val="24"/>
    </w:rPr>
  </w:style>
  <w:style w:type="paragraph" w:customStyle="1" w:styleId="PF">
    <w:name w:val="PF"/>
    <w:rsid w:val="00C310E1"/>
    <w:pPr>
      <w:tabs>
        <w:tab w:val="left" w:pos="1080"/>
      </w:tabs>
      <w:spacing w:after="240"/>
      <w:ind w:left="1080" w:hanging="360"/>
      <w:jc w:val="both"/>
    </w:pPr>
    <w:rPr>
      <w:rFonts w:ascii="Perpetua Std" w:hAnsi="Perpetua Std"/>
      <w:color w:val="000000"/>
      <w:sz w:val="24"/>
    </w:rPr>
  </w:style>
  <w:style w:type="paragraph" w:customStyle="1" w:styleId="PG">
    <w:name w:val="PG"/>
    <w:rsid w:val="00C310E1"/>
    <w:pPr>
      <w:spacing w:after="240"/>
      <w:ind w:left="360"/>
      <w:jc w:val="both"/>
    </w:pPr>
    <w:rPr>
      <w:rFonts w:ascii="Perpetua Std" w:hAnsi="Perpetua Std"/>
      <w:color w:val="000000"/>
      <w:sz w:val="24"/>
    </w:rPr>
  </w:style>
  <w:style w:type="paragraph" w:customStyle="1" w:styleId="PH">
    <w:name w:val="PH"/>
    <w:rsid w:val="00C310E1"/>
    <w:pPr>
      <w:tabs>
        <w:tab w:val="left" w:pos="360"/>
      </w:tabs>
      <w:spacing w:after="240"/>
      <w:ind w:left="360" w:hanging="360"/>
      <w:jc w:val="both"/>
    </w:pPr>
    <w:rPr>
      <w:rFonts w:ascii="Perpetua Std" w:hAnsi="Perpetua Std"/>
      <w:color w:val="000000"/>
      <w:sz w:val="24"/>
    </w:rPr>
  </w:style>
  <w:style w:type="paragraph" w:customStyle="1" w:styleId="PI">
    <w:name w:val="PI"/>
    <w:rsid w:val="00C310E1"/>
    <w:pPr>
      <w:spacing w:after="240"/>
      <w:ind w:left="360" w:hanging="360"/>
      <w:jc w:val="both"/>
    </w:pPr>
    <w:rPr>
      <w:rFonts w:ascii="Perpetua Std" w:hAnsi="Perpetua Std"/>
      <w:color w:val="000000"/>
      <w:sz w:val="24"/>
    </w:rPr>
  </w:style>
  <w:style w:type="paragraph" w:customStyle="1" w:styleId="PK">
    <w:name w:val="PK"/>
    <w:rsid w:val="00C310E1"/>
    <w:pPr>
      <w:spacing w:after="240"/>
      <w:ind w:left="360" w:firstLine="288"/>
      <w:jc w:val="both"/>
    </w:pPr>
    <w:rPr>
      <w:rFonts w:ascii="Perpetua Std" w:hAnsi="Perpetua Std"/>
      <w:color w:val="000000"/>
      <w:sz w:val="24"/>
    </w:rPr>
  </w:style>
  <w:style w:type="paragraph" w:customStyle="1" w:styleId="PL">
    <w:name w:val="PL"/>
    <w:rsid w:val="00C310E1"/>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C310E1"/>
    <w:pPr>
      <w:spacing w:after="240"/>
      <w:ind w:left="432" w:right="432" w:firstLine="432"/>
      <w:jc w:val="both"/>
    </w:pPr>
    <w:rPr>
      <w:rFonts w:ascii="Minion Pro" w:hAnsi="Minion Pro"/>
    </w:rPr>
  </w:style>
  <w:style w:type="paragraph" w:customStyle="1" w:styleId="TOC">
    <w:name w:val="TOC"/>
    <w:autoRedefine/>
    <w:rsid w:val="00C310E1"/>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C310E1"/>
    <w:pPr>
      <w:tabs>
        <w:tab w:val="clear" w:pos="1440"/>
        <w:tab w:val="clear" w:pos="8640"/>
        <w:tab w:val="left" w:pos="240"/>
        <w:tab w:val="left" w:pos="480"/>
        <w:tab w:val="right" w:leader="dot" w:pos="4680"/>
      </w:tabs>
      <w:ind w:left="0" w:firstLine="0"/>
    </w:pPr>
    <w:rPr>
      <w:sz w:val="22"/>
    </w:rPr>
  </w:style>
  <w:style w:type="paragraph" w:customStyle="1" w:styleId="PP">
    <w:name w:val="PP"/>
    <w:rsid w:val="00C310E1"/>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C310E1"/>
    <w:pPr>
      <w:spacing w:before="120" w:after="120"/>
      <w:jc w:val="center"/>
    </w:pPr>
    <w:rPr>
      <w:rFonts w:ascii="Helvetica LT Std" w:hAnsi="Helvetica LT Std"/>
      <w:sz w:val="24"/>
    </w:rPr>
  </w:style>
  <w:style w:type="table" w:styleId="TableGrid">
    <w:name w:val="Table Grid"/>
    <w:basedOn w:val="TableNormal"/>
    <w:rsid w:val="00C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C310E1"/>
    <w:pPr>
      <w:spacing w:after="240"/>
      <w:jc w:val="center"/>
    </w:pPr>
    <w:rPr>
      <w:rFonts w:ascii="Helvetica LT Std" w:hAnsi="Helvetica LT Std"/>
      <w:b/>
      <w:caps/>
      <w:color w:val="000000"/>
      <w:sz w:val="36"/>
      <w:szCs w:val="32"/>
    </w:rPr>
  </w:style>
  <w:style w:type="paragraph" w:customStyle="1" w:styleId="HB">
    <w:name w:val="HB"/>
    <w:rsid w:val="00C310E1"/>
    <w:pPr>
      <w:spacing w:before="120" w:after="240"/>
      <w:jc w:val="center"/>
    </w:pPr>
    <w:rPr>
      <w:rFonts w:ascii="Helvetica LT Std" w:hAnsi="Helvetica LT Std"/>
      <w:b/>
      <w:color w:val="5F5F5F"/>
      <w:w w:val="105"/>
      <w:sz w:val="32"/>
    </w:rPr>
  </w:style>
  <w:style w:type="paragraph" w:customStyle="1" w:styleId="HC">
    <w:name w:val="HC"/>
    <w:autoRedefine/>
    <w:rsid w:val="00C310E1"/>
    <w:pPr>
      <w:tabs>
        <w:tab w:val="left" w:pos="284"/>
      </w:tabs>
      <w:spacing w:before="120" w:after="120"/>
      <w:jc w:val="center"/>
    </w:pPr>
    <w:rPr>
      <w:rFonts w:ascii="Helvetica LT Std" w:hAnsi="Helvetica LT Std"/>
      <w:b/>
      <w:color w:val="000000"/>
      <w:w w:val="110"/>
      <w:sz w:val="26"/>
    </w:rPr>
  </w:style>
  <w:style w:type="paragraph" w:customStyle="1" w:styleId="PR">
    <w:name w:val="PR"/>
    <w:rsid w:val="00C310E1"/>
    <w:pPr>
      <w:spacing w:after="240"/>
      <w:ind w:left="360" w:firstLine="288"/>
      <w:jc w:val="both"/>
    </w:pPr>
    <w:rPr>
      <w:rFonts w:ascii="Adobe Caslon Pro" w:hAnsi="Adobe Caslon Pro"/>
      <w:color w:val="000000"/>
      <w:sz w:val="14"/>
    </w:rPr>
  </w:style>
  <w:style w:type="paragraph" w:customStyle="1" w:styleId="PO">
    <w:name w:val="PO"/>
    <w:rsid w:val="00C310E1"/>
    <w:pPr>
      <w:spacing w:after="240"/>
      <w:jc w:val="both"/>
    </w:pPr>
    <w:rPr>
      <w:rFonts w:ascii="Perpetua Std" w:hAnsi="Perpetua Std"/>
      <w:color w:val="000000"/>
      <w:w w:val="95"/>
      <w:szCs w:val="16"/>
    </w:rPr>
  </w:style>
  <w:style w:type="paragraph" w:customStyle="1" w:styleId="GUIDEX">
    <w:name w:val="GUIDEX"/>
    <w:rsid w:val="00C310E1"/>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C310E1"/>
    <w:pPr>
      <w:tabs>
        <w:tab w:val="clear" w:pos="240"/>
        <w:tab w:val="clear" w:pos="480"/>
        <w:tab w:val="clear" w:pos="720"/>
        <w:tab w:val="right" w:pos="4680"/>
      </w:tabs>
    </w:pPr>
  </w:style>
  <w:style w:type="paragraph" w:customStyle="1" w:styleId="PCB">
    <w:name w:val="PCB"/>
    <w:autoRedefine/>
    <w:rsid w:val="00C310E1"/>
    <w:pPr>
      <w:numPr>
        <w:numId w:val="10"/>
      </w:numPr>
      <w:tabs>
        <w:tab w:val="left" w:pos="720"/>
      </w:tabs>
      <w:spacing w:after="240"/>
      <w:ind w:left="720"/>
      <w:jc w:val="both"/>
    </w:pPr>
    <w:rPr>
      <w:rFonts w:ascii="Perpetua Std" w:hAnsi="Perpetua Std"/>
      <w:color w:val="000000"/>
      <w:sz w:val="24"/>
    </w:rPr>
  </w:style>
  <w:style w:type="paragraph" w:customStyle="1" w:styleId="PFB">
    <w:name w:val="PFB"/>
    <w:autoRedefine/>
    <w:rsid w:val="00C310E1"/>
    <w:pPr>
      <w:numPr>
        <w:numId w:val="12"/>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C310E1"/>
    <w:rPr>
      <w:rFonts w:ascii="Perpetua Std" w:hAnsi="Perpetua Std"/>
    </w:rPr>
  </w:style>
  <w:style w:type="paragraph" w:styleId="NoSpacing">
    <w:name w:val="No Spacing"/>
    <w:qFormat/>
    <w:rsid w:val="00C310E1"/>
    <w:rPr>
      <w:rFonts w:ascii="Perpetua" w:hAnsi="Perpetua"/>
    </w:rPr>
  </w:style>
  <w:style w:type="paragraph" w:customStyle="1" w:styleId="PCA">
    <w:name w:val="PCA"/>
    <w:rsid w:val="00C310E1"/>
    <w:pPr>
      <w:numPr>
        <w:numId w:val="13"/>
      </w:numPr>
      <w:tabs>
        <w:tab w:val="left" w:pos="720"/>
      </w:tabs>
      <w:spacing w:after="240"/>
      <w:jc w:val="both"/>
    </w:pPr>
    <w:rPr>
      <w:rFonts w:ascii="Perpetua Std" w:hAnsi="Perpetua Std"/>
      <w:sz w:val="24"/>
    </w:rPr>
  </w:style>
  <w:style w:type="paragraph" w:customStyle="1" w:styleId="PHB">
    <w:name w:val="PHB"/>
    <w:rsid w:val="00C310E1"/>
    <w:pPr>
      <w:numPr>
        <w:numId w:val="14"/>
      </w:numPr>
      <w:tabs>
        <w:tab w:val="left" w:pos="360"/>
      </w:tabs>
      <w:spacing w:after="240"/>
      <w:jc w:val="both"/>
    </w:pPr>
    <w:rPr>
      <w:rFonts w:ascii="Perpetua Std" w:hAnsi="Perpetua Std"/>
      <w:sz w:val="24"/>
    </w:rPr>
  </w:style>
  <w:style w:type="character" w:customStyle="1" w:styleId="IndexChar">
    <w:name w:val="Index Char"/>
    <w:link w:val="Index"/>
    <w:rsid w:val="00C310E1"/>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552">
      <w:bodyDiv w:val="1"/>
      <w:marLeft w:val="0"/>
      <w:marRight w:val="0"/>
      <w:marTop w:val="0"/>
      <w:marBottom w:val="0"/>
      <w:divBdr>
        <w:top w:val="none" w:sz="0" w:space="0" w:color="auto"/>
        <w:left w:val="none" w:sz="0" w:space="0" w:color="auto"/>
        <w:bottom w:val="none" w:sz="0" w:space="0" w:color="auto"/>
        <w:right w:val="none" w:sz="0" w:space="0" w:color="auto"/>
      </w:divBdr>
      <w:divsChild>
        <w:div w:id="130700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787751">
      <w:bodyDiv w:val="1"/>
      <w:marLeft w:val="0"/>
      <w:marRight w:val="0"/>
      <w:marTop w:val="0"/>
      <w:marBottom w:val="0"/>
      <w:divBdr>
        <w:top w:val="none" w:sz="0" w:space="0" w:color="auto"/>
        <w:left w:val="none" w:sz="0" w:space="0" w:color="auto"/>
        <w:bottom w:val="none" w:sz="0" w:space="0" w:color="auto"/>
        <w:right w:val="none" w:sz="0" w:space="0" w:color="auto"/>
      </w:divBdr>
    </w:div>
    <w:div w:id="561211357">
      <w:bodyDiv w:val="1"/>
      <w:marLeft w:val="0"/>
      <w:marRight w:val="0"/>
      <w:marTop w:val="0"/>
      <w:marBottom w:val="0"/>
      <w:divBdr>
        <w:top w:val="none" w:sz="0" w:space="0" w:color="auto"/>
        <w:left w:val="none" w:sz="0" w:space="0" w:color="auto"/>
        <w:bottom w:val="none" w:sz="0" w:space="0" w:color="auto"/>
        <w:right w:val="none" w:sz="0" w:space="0" w:color="auto"/>
      </w:divBdr>
    </w:div>
    <w:div w:id="622620511">
      <w:bodyDiv w:val="1"/>
      <w:marLeft w:val="0"/>
      <w:marRight w:val="0"/>
      <w:marTop w:val="0"/>
      <w:marBottom w:val="0"/>
      <w:divBdr>
        <w:top w:val="none" w:sz="0" w:space="0" w:color="auto"/>
        <w:left w:val="none" w:sz="0" w:space="0" w:color="auto"/>
        <w:bottom w:val="none" w:sz="0" w:space="0" w:color="auto"/>
        <w:right w:val="none" w:sz="0" w:space="0" w:color="auto"/>
      </w:divBdr>
    </w:div>
    <w:div w:id="756366267">
      <w:bodyDiv w:val="1"/>
      <w:marLeft w:val="0"/>
      <w:marRight w:val="0"/>
      <w:marTop w:val="0"/>
      <w:marBottom w:val="0"/>
      <w:divBdr>
        <w:top w:val="none" w:sz="0" w:space="0" w:color="auto"/>
        <w:left w:val="none" w:sz="0" w:space="0" w:color="auto"/>
        <w:bottom w:val="none" w:sz="0" w:space="0" w:color="auto"/>
        <w:right w:val="none" w:sz="0" w:space="0" w:color="auto"/>
      </w:divBdr>
    </w:div>
    <w:div w:id="766072808">
      <w:bodyDiv w:val="1"/>
      <w:marLeft w:val="0"/>
      <w:marRight w:val="0"/>
      <w:marTop w:val="0"/>
      <w:marBottom w:val="0"/>
      <w:divBdr>
        <w:top w:val="none" w:sz="0" w:space="0" w:color="auto"/>
        <w:left w:val="none" w:sz="0" w:space="0" w:color="auto"/>
        <w:bottom w:val="none" w:sz="0" w:space="0" w:color="auto"/>
        <w:right w:val="none" w:sz="0" w:space="0" w:color="auto"/>
      </w:divBdr>
    </w:div>
    <w:div w:id="770050089">
      <w:bodyDiv w:val="1"/>
      <w:marLeft w:val="0"/>
      <w:marRight w:val="0"/>
      <w:marTop w:val="0"/>
      <w:marBottom w:val="0"/>
      <w:divBdr>
        <w:top w:val="none" w:sz="0" w:space="0" w:color="auto"/>
        <w:left w:val="none" w:sz="0" w:space="0" w:color="auto"/>
        <w:bottom w:val="none" w:sz="0" w:space="0" w:color="auto"/>
        <w:right w:val="none" w:sz="0" w:space="0" w:color="auto"/>
      </w:divBdr>
      <w:divsChild>
        <w:div w:id="192965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992362">
      <w:bodyDiv w:val="1"/>
      <w:marLeft w:val="0"/>
      <w:marRight w:val="0"/>
      <w:marTop w:val="0"/>
      <w:marBottom w:val="0"/>
      <w:divBdr>
        <w:top w:val="none" w:sz="0" w:space="0" w:color="auto"/>
        <w:left w:val="none" w:sz="0" w:space="0" w:color="auto"/>
        <w:bottom w:val="none" w:sz="0" w:space="0" w:color="auto"/>
        <w:right w:val="none" w:sz="0" w:space="0" w:color="auto"/>
      </w:divBdr>
      <w:divsChild>
        <w:div w:id="28778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3003">
      <w:bodyDiv w:val="1"/>
      <w:marLeft w:val="0"/>
      <w:marRight w:val="0"/>
      <w:marTop w:val="0"/>
      <w:marBottom w:val="0"/>
      <w:divBdr>
        <w:top w:val="none" w:sz="0" w:space="0" w:color="auto"/>
        <w:left w:val="none" w:sz="0" w:space="0" w:color="auto"/>
        <w:bottom w:val="none" w:sz="0" w:space="0" w:color="auto"/>
        <w:right w:val="none" w:sz="0" w:space="0" w:color="auto"/>
      </w:divBdr>
    </w:div>
    <w:div w:id="1183056715">
      <w:bodyDiv w:val="1"/>
      <w:marLeft w:val="0"/>
      <w:marRight w:val="0"/>
      <w:marTop w:val="0"/>
      <w:marBottom w:val="0"/>
      <w:divBdr>
        <w:top w:val="none" w:sz="0" w:space="0" w:color="auto"/>
        <w:left w:val="none" w:sz="0" w:space="0" w:color="auto"/>
        <w:bottom w:val="none" w:sz="0" w:space="0" w:color="auto"/>
        <w:right w:val="none" w:sz="0" w:space="0" w:color="auto"/>
      </w:divBdr>
    </w:div>
    <w:div w:id="1393651878">
      <w:bodyDiv w:val="1"/>
      <w:marLeft w:val="0"/>
      <w:marRight w:val="0"/>
      <w:marTop w:val="0"/>
      <w:marBottom w:val="0"/>
      <w:divBdr>
        <w:top w:val="none" w:sz="0" w:space="0" w:color="auto"/>
        <w:left w:val="none" w:sz="0" w:space="0" w:color="auto"/>
        <w:bottom w:val="none" w:sz="0" w:space="0" w:color="auto"/>
        <w:right w:val="none" w:sz="0" w:space="0" w:color="auto"/>
      </w:divBdr>
    </w:div>
    <w:div w:id="1441680622">
      <w:bodyDiv w:val="1"/>
      <w:marLeft w:val="0"/>
      <w:marRight w:val="0"/>
      <w:marTop w:val="0"/>
      <w:marBottom w:val="0"/>
      <w:divBdr>
        <w:top w:val="none" w:sz="0" w:space="0" w:color="auto"/>
        <w:left w:val="none" w:sz="0" w:space="0" w:color="auto"/>
        <w:bottom w:val="none" w:sz="0" w:space="0" w:color="auto"/>
        <w:right w:val="none" w:sz="0" w:space="0" w:color="auto"/>
      </w:divBdr>
    </w:div>
    <w:div w:id="1466045711">
      <w:bodyDiv w:val="1"/>
      <w:marLeft w:val="0"/>
      <w:marRight w:val="0"/>
      <w:marTop w:val="0"/>
      <w:marBottom w:val="0"/>
      <w:divBdr>
        <w:top w:val="none" w:sz="0" w:space="0" w:color="auto"/>
        <w:left w:val="none" w:sz="0" w:space="0" w:color="auto"/>
        <w:bottom w:val="none" w:sz="0" w:space="0" w:color="auto"/>
        <w:right w:val="none" w:sz="0" w:space="0" w:color="auto"/>
      </w:divBdr>
    </w:div>
    <w:div w:id="1491601637">
      <w:bodyDiv w:val="1"/>
      <w:marLeft w:val="0"/>
      <w:marRight w:val="0"/>
      <w:marTop w:val="0"/>
      <w:marBottom w:val="0"/>
      <w:divBdr>
        <w:top w:val="none" w:sz="0" w:space="0" w:color="auto"/>
        <w:left w:val="none" w:sz="0" w:space="0" w:color="auto"/>
        <w:bottom w:val="none" w:sz="0" w:space="0" w:color="auto"/>
        <w:right w:val="none" w:sz="0" w:space="0" w:color="auto"/>
      </w:divBdr>
    </w:div>
    <w:div w:id="1492524510">
      <w:bodyDiv w:val="1"/>
      <w:marLeft w:val="0"/>
      <w:marRight w:val="0"/>
      <w:marTop w:val="0"/>
      <w:marBottom w:val="0"/>
      <w:divBdr>
        <w:top w:val="none" w:sz="0" w:space="0" w:color="auto"/>
        <w:left w:val="none" w:sz="0" w:space="0" w:color="auto"/>
        <w:bottom w:val="none" w:sz="0" w:space="0" w:color="auto"/>
        <w:right w:val="none" w:sz="0" w:space="0" w:color="auto"/>
      </w:divBdr>
    </w:div>
    <w:div w:id="1499464918">
      <w:bodyDiv w:val="1"/>
      <w:marLeft w:val="0"/>
      <w:marRight w:val="0"/>
      <w:marTop w:val="0"/>
      <w:marBottom w:val="0"/>
      <w:divBdr>
        <w:top w:val="none" w:sz="0" w:space="0" w:color="auto"/>
        <w:left w:val="none" w:sz="0" w:space="0" w:color="auto"/>
        <w:bottom w:val="none" w:sz="0" w:space="0" w:color="auto"/>
        <w:right w:val="none" w:sz="0" w:space="0" w:color="auto"/>
      </w:divBdr>
    </w:div>
    <w:div w:id="1589926582">
      <w:bodyDiv w:val="1"/>
      <w:marLeft w:val="0"/>
      <w:marRight w:val="0"/>
      <w:marTop w:val="0"/>
      <w:marBottom w:val="0"/>
      <w:divBdr>
        <w:top w:val="none" w:sz="0" w:space="0" w:color="auto"/>
        <w:left w:val="none" w:sz="0" w:space="0" w:color="auto"/>
        <w:bottom w:val="none" w:sz="0" w:space="0" w:color="auto"/>
        <w:right w:val="none" w:sz="0" w:space="0" w:color="auto"/>
      </w:divBdr>
      <w:divsChild>
        <w:div w:id="70059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830051275">
      <w:bodyDiv w:val="1"/>
      <w:marLeft w:val="0"/>
      <w:marRight w:val="0"/>
      <w:marTop w:val="0"/>
      <w:marBottom w:val="0"/>
      <w:divBdr>
        <w:top w:val="none" w:sz="0" w:space="0" w:color="auto"/>
        <w:left w:val="none" w:sz="0" w:space="0" w:color="auto"/>
        <w:bottom w:val="none" w:sz="0" w:space="0" w:color="auto"/>
        <w:right w:val="none" w:sz="0" w:space="0" w:color="auto"/>
      </w:divBdr>
    </w:div>
    <w:div w:id="1995641455">
      <w:bodyDiv w:val="1"/>
      <w:marLeft w:val="0"/>
      <w:marRight w:val="0"/>
      <w:marTop w:val="0"/>
      <w:marBottom w:val="0"/>
      <w:divBdr>
        <w:top w:val="none" w:sz="0" w:space="0" w:color="auto"/>
        <w:left w:val="none" w:sz="0" w:space="0" w:color="auto"/>
        <w:bottom w:val="none" w:sz="0" w:space="0" w:color="auto"/>
        <w:right w:val="none" w:sz="0" w:space="0" w:color="auto"/>
      </w:divBdr>
      <w:divsChild>
        <w:div w:id="186489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20234">
      <w:bodyDiv w:val="1"/>
      <w:marLeft w:val="0"/>
      <w:marRight w:val="0"/>
      <w:marTop w:val="0"/>
      <w:marBottom w:val="0"/>
      <w:divBdr>
        <w:top w:val="none" w:sz="0" w:space="0" w:color="auto"/>
        <w:left w:val="none" w:sz="0" w:space="0" w:color="auto"/>
        <w:bottom w:val="none" w:sz="0" w:space="0" w:color="auto"/>
        <w:right w:val="none" w:sz="0" w:space="0" w:color="auto"/>
      </w:divBdr>
    </w:div>
    <w:div w:id="2096631146">
      <w:bodyDiv w:val="1"/>
      <w:marLeft w:val="0"/>
      <w:marRight w:val="0"/>
      <w:marTop w:val="0"/>
      <w:marBottom w:val="0"/>
      <w:divBdr>
        <w:top w:val="none" w:sz="0" w:space="0" w:color="auto"/>
        <w:left w:val="none" w:sz="0" w:space="0" w:color="auto"/>
        <w:bottom w:val="none" w:sz="0" w:space="0" w:color="auto"/>
        <w:right w:val="none" w:sz="0" w:space="0" w:color="auto"/>
      </w:divBdr>
      <w:divsChild>
        <w:div w:id="139966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8553. Can the redemption of a debt obligation give rise to capital gains treatment?</vt:lpstr>
    </vt:vector>
  </TitlesOfParts>
  <Company>Summit Business Media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8553. Can the redemption of a debt obligation give rise to capital gains treatment?</dc:title>
  <dc:creator>Alexis Long</dc:creator>
  <cp:lastModifiedBy>rcline</cp:lastModifiedBy>
  <cp:revision>2</cp:revision>
  <cp:lastPrinted>2013-08-28T20:59:00Z</cp:lastPrinted>
  <dcterms:created xsi:type="dcterms:W3CDTF">2014-08-21T14:04:00Z</dcterms:created>
  <dcterms:modified xsi:type="dcterms:W3CDTF">2014-08-21T14:04:00Z</dcterms:modified>
</cp:coreProperties>
</file>