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19" w:rsidRDefault="00403519" w:rsidP="006F627E">
      <w:pPr>
        <w:spacing w:after="200" w:line="276" w:lineRule="auto"/>
      </w:pPr>
    </w:p>
    <w:p w:rsidR="00403519" w:rsidRPr="00403519" w:rsidRDefault="00403519" w:rsidP="00B86944">
      <w:pPr>
        <w:pStyle w:val="PA"/>
        <w:rPr>
          <w:b/>
        </w:rPr>
      </w:pPr>
      <w:r w:rsidRPr="00403519">
        <w:rPr>
          <w:b/>
        </w:rPr>
        <w:t xml:space="preserve">8549.  How </w:t>
      </w:r>
      <w:r w:rsidR="007B56B4">
        <w:rPr>
          <w:b/>
        </w:rPr>
        <w:t>is tax basis adjusted and what a</w:t>
      </w:r>
      <w:r w:rsidR="00C12B8D">
        <w:rPr>
          <w:b/>
        </w:rPr>
        <w:t xml:space="preserve">ffect does it have in the computation of </w:t>
      </w:r>
      <w:r w:rsidRPr="00403519">
        <w:rPr>
          <w:b/>
        </w:rPr>
        <w:t>capital gain or loss?</w:t>
      </w:r>
    </w:p>
    <w:p w:rsidR="00C12B8D" w:rsidRDefault="00776680" w:rsidP="00B86944">
      <w:pPr>
        <w:pStyle w:val="PA"/>
      </w:pPr>
      <w:r>
        <w:t>As discussed in Q 8548</w:t>
      </w:r>
      <w:r w:rsidR="00905130">
        <w:t>, gain or loss is measured by determining whether the amount received in exchange for property was more or less than the taxpayer’s “basis.”  If the amount received is more than basis, there is a taxable gain.  Conversely, if basis is greater than the amount received there is a taxable loss.  However, d</w:t>
      </w:r>
      <w:r w:rsidR="00C12B8D">
        <w:t>uring the taxpayer’s ownership of propert</w:t>
      </w:r>
      <w:r w:rsidR="006F627E">
        <w:t>y, certain adjustments to the</w:t>
      </w:r>
      <w:r w:rsidR="00C12B8D">
        <w:t xml:space="preserve"> original tax basis are required.  Thus, tax basis as adjusted is referred to as “adjusted basis.”  </w:t>
      </w:r>
    </w:p>
    <w:p w:rsidR="00905130" w:rsidRDefault="00905130" w:rsidP="00B86944">
      <w:pPr>
        <w:pStyle w:val="PA"/>
      </w:pPr>
      <w:r>
        <w:t xml:space="preserve">In the course of a taxpayer’s ownership of property, basis can be increased or it can be decreased.  </w:t>
      </w:r>
    </w:p>
    <w:p w:rsidR="00905130" w:rsidRPr="00375A9A" w:rsidRDefault="00905130" w:rsidP="00375A9A">
      <w:pPr>
        <w:jc w:val="center"/>
        <w:rPr>
          <w:b/>
          <w:sz w:val="24"/>
          <w:szCs w:val="24"/>
        </w:rPr>
      </w:pPr>
      <w:r w:rsidRPr="00375A9A">
        <w:rPr>
          <w:b/>
          <w:sz w:val="24"/>
          <w:szCs w:val="24"/>
        </w:rPr>
        <w:t>CAPTIAL IMPROVEMENT</w:t>
      </w:r>
      <w:r w:rsidRPr="00375A9A">
        <w:rPr>
          <w:b/>
          <w:sz w:val="24"/>
          <w:szCs w:val="24"/>
        </w:rPr>
        <w:br/>
      </w:r>
    </w:p>
    <w:p w:rsidR="00905130" w:rsidRDefault="00905130" w:rsidP="00B86944">
      <w:pPr>
        <w:pStyle w:val="PA"/>
      </w:pPr>
      <w:r>
        <w:rPr>
          <w:i/>
        </w:rPr>
        <w:t xml:space="preserve">Example.  </w:t>
      </w:r>
      <w:r w:rsidR="00893227">
        <w:t xml:space="preserve"> </w:t>
      </w:r>
      <w:r>
        <w:t>Asher purchases a 10 story office building for $500,000.  Subsequently, Asher decides to add an 11</w:t>
      </w:r>
      <w:r w:rsidRPr="00375A9A">
        <w:rPr>
          <w:vertAlign w:val="superscript"/>
        </w:rPr>
        <w:t>th</w:t>
      </w:r>
      <w:r>
        <w:t xml:space="preserve"> story to the building at a cos</w:t>
      </w:r>
      <w:r w:rsidR="006F627E">
        <w:t>t of $100,000.  As a capital improvement</w:t>
      </w:r>
      <w:r>
        <w:t>, Asher’s original $500,000 basis is adjusted upward to $600,000</w:t>
      </w:r>
      <w:r>
        <w:rPr>
          <w:rStyle w:val="EndnoteReference"/>
        </w:rPr>
        <w:endnoteReference w:id="1"/>
      </w:r>
      <w:r>
        <w:t xml:space="preserve"> and becomes the adjusted basis in the building.</w:t>
      </w:r>
    </w:p>
    <w:p w:rsidR="00905130" w:rsidRDefault="00905130" w:rsidP="00375A9A">
      <w:pPr>
        <w:jc w:val="center"/>
      </w:pPr>
      <w:r>
        <w:rPr>
          <w:b/>
          <w:sz w:val="24"/>
          <w:szCs w:val="24"/>
        </w:rPr>
        <w:t>DEPRECIATION</w:t>
      </w:r>
    </w:p>
    <w:p w:rsidR="00905130" w:rsidRPr="00375A9A" w:rsidRDefault="00905130" w:rsidP="00375A9A"/>
    <w:p w:rsidR="00212878" w:rsidRDefault="00893227" w:rsidP="00B86944">
      <w:pPr>
        <w:pStyle w:val="PA"/>
      </w:pPr>
      <w:r>
        <w:t xml:space="preserve"> </w:t>
      </w:r>
      <w:r w:rsidR="00905130">
        <w:t xml:space="preserve">Broadly described, depreciation is a means of deducting the cost of an asset over its useful life.  </w:t>
      </w:r>
      <w:r w:rsidR="00212878">
        <w:t>For example, the cost of a commercial b</w:t>
      </w:r>
      <w:r w:rsidR="006F627E">
        <w:t>uilding (excluding the land which</w:t>
      </w:r>
      <w:r w:rsidR="00212878">
        <w:t xml:space="preserve"> is </w:t>
      </w:r>
      <w:proofErr w:type="spellStart"/>
      <w:r w:rsidR="00212878">
        <w:t>nondepreciable</w:t>
      </w:r>
      <w:proofErr w:type="spellEnd"/>
      <w:r w:rsidR="00212878">
        <w:t>) is depreciated over 39 years.</w:t>
      </w:r>
      <w:r w:rsidR="00212878">
        <w:rPr>
          <w:rStyle w:val="EndnoteReference"/>
        </w:rPr>
        <w:endnoteReference w:id="2"/>
      </w:r>
      <w:r w:rsidR="00212878">
        <w:t xml:space="preserve">  Based on a tax fiction, at the end of the 39 year depreciation period</w:t>
      </w:r>
      <w:r w:rsidR="006F627E">
        <w:t>, the building will be completely</w:t>
      </w:r>
      <w:r w:rsidR="00212878">
        <w:t xml:space="preserve"> </w:t>
      </w:r>
      <w:r w:rsidR="006F627E">
        <w:t>“</w:t>
      </w:r>
      <w:r w:rsidR="00212878">
        <w:t>used up</w:t>
      </w:r>
      <w:r w:rsidR="006F627E">
        <w:t>”</w:t>
      </w:r>
      <w:bookmarkStart w:id="0" w:name="_GoBack"/>
      <w:bookmarkEnd w:id="0"/>
      <w:r w:rsidR="00212878">
        <w:t xml:space="preserve"> and worth nothing.  So every year, the basis of the building is adjusted downward by the amount of that year’s depreciation deduction.</w:t>
      </w:r>
      <w:r w:rsidR="00212878">
        <w:rPr>
          <w:rStyle w:val="EndnoteReference"/>
        </w:rPr>
        <w:endnoteReference w:id="3"/>
      </w:r>
      <w:r w:rsidR="00212878">
        <w:t xml:space="preserve">  </w:t>
      </w:r>
    </w:p>
    <w:p w:rsidR="00375A9A" w:rsidRDefault="00212878" w:rsidP="00375A9A">
      <w:pPr>
        <w:pStyle w:val="PA"/>
      </w:pPr>
      <w:r>
        <w:rPr>
          <w:i/>
        </w:rPr>
        <w:t xml:space="preserve">Example.  </w:t>
      </w:r>
      <w:r>
        <w:t xml:space="preserve"> Asher purchases a 10 story office building for $390,000.</w:t>
      </w:r>
      <w:r>
        <w:rPr>
          <w:rStyle w:val="EndnoteReference"/>
        </w:rPr>
        <w:endnoteReference w:id="4"/>
      </w:r>
      <w:r>
        <w:t xml:space="preserve">  Because the building is depreciable over 39 years, each year Asher claims a $10,000 depreciation deduction.  So after 9 years, Asher’s original basis is adjusted downward to $300,000 ($390,000 minus $90,000)</w:t>
      </w:r>
      <w:r w:rsidR="00375A9A">
        <w:t>.   So, if at time Asher were to sell the building for $400,000, he would have a taxable gain of $100,000 ($400,000 minus $300,000).</w:t>
      </w:r>
    </w:p>
    <w:p w:rsidR="00835B27" w:rsidRPr="00FD458C" w:rsidRDefault="00835B27" w:rsidP="00375A9A">
      <w:pPr>
        <w:pStyle w:val="PA"/>
      </w:pPr>
      <w:r w:rsidRPr="00FD458C">
        <w:t xml:space="preserve"> </w:t>
      </w:r>
    </w:p>
    <w:p w:rsidR="00F4296A" w:rsidRDefault="00F4296A" w:rsidP="00255005">
      <w:pPr>
        <w:pStyle w:val="PA"/>
      </w:pPr>
    </w:p>
    <w:sectPr w:rsidR="00F4296A" w:rsidSect="00271A21">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D9" w:rsidRDefault="00A712D9" w:rsidP="00F4296A">
      <w:r>
        <w:separator/>
      </w:r>
    </w:p>
  </w:endnote>
  <w:endnote w:type="continuationSeparator" w:id="0">
    <w:p w:rsidR="00A712D9" w:rsidRDefault="00A712D9" w:rsidP="00F4296A">
      <w:r>
        <w:continuationSeparator/>
      </w:r>
    </w:p>
  </w:endnote>
  <w:endnote w:id="1">
    <w:p w:rsidR="00905130" w:rsidRPr="00375A9A" w:rsidRDefault="00905130">
      <w:pPr>
        <w:pStyle w:val="EndnoteText"/>
        <w:rPr>
          <w:sz w:val="16"/>
          <w:szCs w:val="16"/>
        </w:rPr>
      </w:pPr>
      <w:r>
        <w:rPr>
          <w:rStyle w:val="EndnoteReference"/>
        </w:rPr>
        <w:endnoteRef/>
      </w:r>
      <w:r>
        <w:t xml:space="preserve"> </w:t>
      </w:r>
      <w:r>
        <w:rPr>
          <w:sz w:val="16"/>
          <w:szCs w:val="16"/>
        </w:rPr>
        <w:t>IRC Sec. 1016(a</w:t>
      </w:r>
      <w:proofErr w:type="gramStart"/>
      <w:r>
        <w:rPr>
          <w:sz w:val="16"/>
          <w:szCs w:val="16"/>
        </w:rPr>
        <w:t>)(</w:t>
      </w:r>
      <w:proofErr w:type="gramEnd"/>
      <w:r>
        <w:rPr>
          <w:sz w:val="16"/>
          <w:szCs w:val="16"/>
        </w:rPr>
        <w:t>1).</w:t>
      </w:r>
    </w:p>
  </w:endnote>
  <w:endnote w:id="2">
    <w:p w:rsidR="00212878" w:rsidRPr="00375A9A" w:rsidRDefault="00212878">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168(c</w:t>
      </w:r>
      <w:proofErr w:type="gramEnd"/>
      <w:r>
        <w:rPr>
          <w:sz w:val="16"/>
          <w:szCs w:val="16"/>
        </w:rPr>
        <w:t>).</w:t>
      </w:r>
    </w:p>
  </w:endnote>
  <w:endnote w:id="3">
    <w:p w:rsidR="00212878" w:rsidRPr="00375A9A" w:rsidRDefault="00212878">
      <w:pPr>
        <w:pStyle w:val="EndnoteText"/>
        <w:rPr>
          <w:sz w:val="16"/>
          <w:szCs w:val="16"/>
        </w:rPr>
      </w:pPr>
      <w:r>
        <w:rPr>
          <w:rStyle w:val="EndnoteReference"/>
        </w:rPr>
        <w:endnoteRef/>
      </w:r>
      <w:r>
        <w:t xml:space="preserve"> </w:t>
      </w:r>
      <w:r>
        <w:rPr>
          <w:sz w:val="16"/>
          <w:szCs w:val="16"/>
        </w:rPr>
        <w:t>IRC Sec. 1016(a</w:t>
      </w:r>
      <w:proofErr w:type="gramStart"/>
      <w:r>
        <w:rPr>
          <w:sz w:val="16"/>
          <w:szCs w:val="16"/>
        </w:rPr>
        <w:t>)(</w:t>
      </w:r>
      <w:proofErr w:type="gramEnd"/>
      <w:r>
        <w:rPr>
          <w:sz w:val="16"/>
          <w:szCs w:val="16"/>
        </w:rPr>
        <w:t>2).</w:t>
      </w:r>
    </w:p>
  </w:endnote>
  <w:endnote w:id="4">
    <w:p w:rsidR="00212878" w:rsidRPr="00375A9A" w:rsidRDefault="00212878">
      <w:pPr>
        <w:pStyle w:val="EndnoteText"/>
        <w:rPr>
          <w:sz w:val="16"/>
          <w:szCs w:val="16"/>
        </w:rPr>
      </w:pPr>
      <w:r>
        <w:rPr>
          <w:rStyle w:val="EndnoteReference"/>
        </w:rPr>
        <w:endnoteRef/>
      </w:r>
      <w:r>
        <w:t xml:space="preserve"> </w:t>
      </w:r>
      <w:r>
        <w:rPr>
          <w:sz w:val="16"/>
          <w:szCs w:val="16"/>
        </w:rPr>
        <w:t>For purposes of this example, the amount of the purchase price attributable to the land is ignored.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D9" w:rsidRDefault="00A712D9" w:rsidP="00F4296A">
      <w:r>
        <w:separator/>
      </w:r>
    </w:p>
  </w:footnote>
  <w:footnote w:type="continuationSeparator" w:id="0">
    <w:p w:rsidR="00A712D9" w:rsidRDefault="00A712D9" w:rsidP="00F42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26C9D"/>
    <w:rsid w:val="000364AA"/>
    <w:rsid w:val="000A22B1"/>
    <w:rsid w:val="000A53C2"/>
    <w:rsid w:val="000C1776"/>
    <w:rsid w:val="000F4FD7"/>
    <w:rsid w:val="001018D5"/>
    <w:rsid w:val="00135C9D"/>
    <w:rsid w:val="001409E2"/>
    <w:rsid w:val="00144D20"/>
    <w:rsid w:val="0016358E"/>
    <w:rsid w:val="001644AE"/>
    <w:rsid w:val="00170900"/>
    <w:rsid w:val="001A68A6"/>
    <w:rsid w:val="001C40E6"/>
    <w:rsid w:val="001E64C8"/>
    <w:rsid w:val="001F52F4"/>
    <w:rsid w:val="001F73A2"/>
    <w:rsid w:val="00212878"/>
    <w:rsid w:val="00215C3D"/>
    <w:rsid w:val="00255005"/>
    <w:rsid w:val="00271A21"/>
    <w:rsid w:val="002D4314"/>
    <w:rsid w:val="002F0F68"/>
    <w:rsid w:val="00307DB9"/>
    <w:rsid w:val="00346A95"/>
    <w:rsid w:val="003566BE"/>
    <w:rsid w:val="00366114"/>
    <w:rsid w:val="00375A9A"/>
    <w:rsid w:val="00403519"/>
    <w:rsid w:val="004120E2"/>
    <w:rsid w:val="00442416"/>
    <w:rsid w:val="00453AA6"/>
    <w:rsid w:val="00475112"/>
    <w:rsid w:val="00491DE8"/>
    <w:rsid w:val="00494472"/>
    <w:rsid w:val="004B69F3"/>
    <w:rsid w:val="004D5C3E"/>
    <w:rsid w:val="004F216D"/>
    <w:rsid w:val="00523FFD"/>
    <w:rsid w:val="00525224"/>
    <w:rsid w:val="0055012A"/>
    <w:rsid w:val="005963EF"/>
    <w:rsid w:val="005D0931"/>
    <w:rsid w:val="006370D0"/>
    <w:rsid w:val="006451B3"/>
    <w:rsid w:val="00672FCA"/>
    <w:rsid w:val="0067311C"/>
    <w:rsid w:val="006767EC"/>
    <w:rsid w:val="006D7FA7"/>
    <w:rsid w:val="006F627E"/>
    <w:rsid w:val="006F6498"/>
    <w:rsid w:val="00713384"/>
    <w:rsid w:val="00715A46"/>
    <w:rsid w:val="007202C3"/>
    <w:rsid w:val="0074319B"/>
    <w:rsid w:val="00776680"/>
    <w:rsid w:val="007B47E8"/>
    <w:rsid w:val="007B49AE"/>
    <w:rsid w:val="007B56B4"/>
    <w:rsid w:val="007B5E18"/>
    <w:rsid w:val="007C495E"/>
    <w:rsid w:val="007D5C29"/>
    <w:rsid w:val="007F0BBA"/>
    <w:rsid w:val="007F4511"/>
    <w:rsid w:val="00816BFC"/>
    <w:rsid w:val="00820E15"/>
    <w:rsid w:val="00835B27"/>
    <w:rsid w:val="00871A99"/>
    <w:rsid w:val="00893227"/>
    <w:rsid w:val="008A50E8"/>
    <w:rsid w:val="008B119A"/>
    <w:rsid w:val="008B16D5"/>
    <w:rsid w:val="008C20FB"/>
    <w:rsid w:val="008D3707"/>
    <w:rsid w:val="008D6FC8"/>
    <w:rsid w:val="00905130"/>
    <w:rsid w:val="0092753D"/>
    <w:rsid w:val="009934EF"/>
    <w:rsid w:val="0099443B"/>
    <w:rsid w:val="009A709E"/>
    <w:rsid w:val="009C5F6E"/>
    <w:rsid w:val="00A02AF1"/>
    <w:rsid w:val="00A1572A"/>
    <w:rsid w:val="00A20C49"/>
    <w:rsid w:val="00A53374"/>
    <w:rsid w:val="00A540B7"/>
    <w:rsid w:val="00A712D9"/>
    <w:rsid w:val="00A96188"/>
    <w:rsid w:val="00AE4D8A"/>
    <w:rsid w:val="00AF5D01"/>
    <w:rsid w:val="00B208AC"/>
    <w:rsid w:val="00B31555"/>
    <w:rsid w:val="00B7149F"/>
    <w:rsid w:val="00B86944"/>
    <w:rsid w:val="00BB5F3D"/>
    <w:rsid w:val="00BC0EC2"/>
    <w:rsid w:val="00BF3D51"/>
    <w:rsid w:val="00C12B8D"/>
    <w:rsid w:val="00C15AB8"/>
    <w:rsid w:val="00C82361"/>
    <w:rsid w:val="00C979CC"/>
    <w:rsid w:val="00CA2508"/>
    <w:rsid w:val="00CD3D7E"/>
    <w:rsid w:val="00CD6002"/>
    <w:rsid w:val="00CF6495"/>
    <w:rsid w:val="00D128C3"/>
    <w:rsid w:val="00D223DC"/>
    <w:rsid w:val="00D243A7"/>
    <w:rsid w:val="00D36C53"/>
    <w:rsid w:val="00D45E0D"/>
    <w:rsid w:val="00D81626"/>
    <w:rsid w:val="00DA7231"/>
    <w:rsid w:val="00DE3662"/>
    <w:rsid w:val="00DE7078"/>
    <w:rsid w:val="00E03171"/>
    <w:rsid w:val="00E25EBE"/>
    <w:rsid w:val="00E47383"/>
    <w:rsid w:val="00E608A0"/>
    <w:rsid w:val="00E728D7"/>
    <w:rsid w:val="00E853E9"/>
    <w:rsid w:val="00E86B42"/>
    <w:rsid w:val="00E86CF5"/>
    <w:rsid w:val="00E920D1"/>
    <w:rsid w:val="00EA280B"/>
    <w:rsid w:val="00EC07A2"/>
    <w:rsid w:val="00EC7AA5"/>
    <w:rsid w:val="00ED55E8"/>
    <w:rsid w:val="00EE44FD"/>
    <w:rsid w:val="00F25C20"/>
    <w:rsid w:val="00F37136"/>
    <w:rsid w:val="00F4296A"/>
    <w:rsid w:val="00F53618"/>
    <w:rsid w:val="00F91BB1"/>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644AE"/>
    <w:rPr>
      <w:rFonts w:ascii="Perpetua Std" w:hAnsi="Perpetua Std"/>
    </w:rPr>
  </w:style>
  <w:style w:type="paragraph" w:styleId="Heading1">
    <w:name w:val="heading 1"/>
    <w:basedOn w:val="Normal"/>
    <w:next w:val="Normal"/>
    <w:link w:val="Heading1Char"/>
    <w:qFormat/>
    <w:rsid w:val="001644AE"/>
    <w:pPr>
      <w:keepNext/>
      <w:outlineLvl w:val="0"/>
    </w:pPr>
    <w:rPr>
      <w:b/>
    </w:rPr>
  </w:style>
  <w:style w:type="paragraph" w:styleId="Heading2">
    <w:name w:val="heading 2"/>
    <w:basedOn w:val="Normal"/>
    <w:next w:val="Normal"/>
    <w:link w:val="Heading2Char"/>
    <w:qFormat/>
    <w:rsid w:val="001644AE"/>
    <w:pPr>
      <w:keepNext/>
      <w:spacing w:before="240" w:after="60"/>
      <w:outlineLvl w:val="1"/>
    </w:pPr>
    <w:rPr>
      <w:rFonts w:ascii="Arial" w:hAnsi="Arial"/>
      <w:b/>
      <w:i/>
      <w:sz w:val="24"/>
    </w:rPr>
  </w:style>
  <w:style w:type="paragraph" w:styleId="Heading3">
    <w:name w:val="heading 3"/>
    <w:basedOn w:val="Normal"/>
    <w:next w:val="Normal"/>
    <w:link w:val="Heading3Char"/>
    <w:qFormat/>
    <w:rsid w:val="001644A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644AE"/>
    <w:pPr>
      <w:spacing w:after="240"/>
      <w:jc w:val="both"/>
    </w:pPr>
    <w:rPr>
      <w:rFonts w:ascii="Helvetica LT Std" w:hAnsi="Helvetica LT Std"/>
      <w:b/>
      <w:color w:val="000000"/>
      <w:sz w:val="26"/>
    </w:rPr>
  </w:style>
  <w:style w:type="paragraph" w:customStyle="1" w:styleId="PA">
    <w:name w:val="PA"/>
    <w:next w:val="Normal"/>
    <w:link w:val="PAChar"/>
    <w:rsid w:val="001644A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1644AE"/>
    <w:rPr>
      <w:rFonts w:ascii="Perpetua Std" w:hAnsi="Perpetua Std"/>
      <w:color w:val="000000"/>
      <w:sz w:val="24"/>
    </w:rPr>
  </w:style>
  <w:style w:type="paragraph" w:customStyle="1" w:styleId="PB">
    <w:name w:val="PB"/>
    <w:rsid w:val="001644AE"/>
    <w:pPr>
      <w:spacing w:after="240"/>
      <w:jc w:val="both"/>
    </w:pPr>
    <w:rPr>
      <w:rFonts w:ascii="Perpetua Std" w:hAnsi="Perpetua Std"/>
      <w:color w:val="000000"/>
      <w:sz w:val="24"/>
    </w:rPr>
  </w:style>
  <w:style w:type="paragraph" w:customStyle="1" w:styleId="PC">
    <w:name w:val="PC"/>
    <w:rsid w:val="001644A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1644A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644AE"/>
    <w:rPr>
      <w:rFonts w:ascii="Adobe Caslon Pro" w:hAnsi="Adobe Caslon Pro"/>
      <w:color w:val="000000"/>
      <w:sz w:val="14"/>
    </w:rPr>
  </w:style>
  <w:style w:type="character" w:styleId="FootnoteReference">
    <w:name w:val="footnote reference"/>
    <w:rsid w:val="001644AE"/>
    <w:rPr>
      <w:vertAlign w:val="superscript"/>
    </w:rPr>
  </w:style>
  <w:style w:type="paragraph" w:customStyle="1" w:styleId="HD">
    <w:name w:val="HD"/>
    <w:rsid w:val="001644AE"/>
    <w:pPr>
      <w:suppressAutoHyphens/>
      <w:spacing w:before="120"/>
      <w:jc w:val="center"/>
    </w:pPr>
    <w:rPr>
      <w:rFonts w:ascii="Helvetica LT Std" w:hAnsi="Helvetica LT Std"/>
      <w:sz w:val="26"/>
      <w:szCs w:val="18"/>
    </w:rPr>
  </w:style>
  <w:style w:type="paragraph" w:customStyle="1" w:styleId="PN">
    <w:name w:val="PN"/>
    <w:rsid w:val="001644A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1644A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1644A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1644AE"/>
    <w:pPr>
      <w:spacing w:before="144"/>
      <w:jc w:val="both"/>
    </w:pPr>
    <w:rPr>
      <w:noProof/>
    </w:rPr>
  </w:style>
  <w:style w:type="paragraph" w:customStyle="1" w:styleId="PD">
    <w:name w:val="PD"/>
    <w:rsid w:val="001644AE"/>
    <w:pPr>
      <w:spacing w:after="240"/>
      <w:ind w:left="720" w:firstLine="288"/>
      <w:jc w:val="both"/>
    </w:pPr>
    <w:rPr>
      <w:rFonts w:ascii="Perpetua Std" w:hAnsi="Perpetua Std"/>
      <w:color w:val="000000"/>
      <w:sz w:val="24"/>
    </w:rPr>
  </w:style>
  <w:style w:type="paragraph" w:customStyle="1" w:styleId="PE">
    <w:name w:val="PE"/>
    <w:rsid w:val="001644AE"/>
    <w:pPr>
      <w:spacing w:after="240"/>
      <w:ind w:left="720"/>
      <w:jc w:val="both"/>
    </w:pPr>
    <w:rPr>
      <w:rFonts w:ascii="Perpetua Std" w:hAnsi="Perpetua Std"/>
      <w:color w:val="000000"/>
      <w:sz w:val="24"/>
    </w:rPr>
  </w:style>
  <w:style w:type="paragraph" w:customStyle="1" w:styleId="PF">
    <w:name w:val="PF"/>
    <w:rsid w:val="001644AE"/>
    <w:pPr>
      <w:tabs>
        <w:tab w:val="left" w:pos="1080"/>
      </w:tabs>
      <w:spacing w:after="240"/>
      <w:ind w:left="1080" w:hanging="360"/>
      <w:jc w:val="both"/>
    </w:pPr>
    <w:rPr>
      <w:rFonts w:ascii="Perpetua Std" w:hAnsi="Perpetua Std"/>
      <w:color w:val="000000"/>
      <w:sz w:val="24"/>
    </w:rPr>
  </w:style>
  <w:style w:type="paragraph" w:customStyle="1" w:styleId="PG">
    <w:name w:val="PG"/>
    <w:rsid w:val="001644AE"/>
    <w:pPr>
      <w:spacing w:after="240"/>
      <w:ind w:left="360"/>
      <w:jc w:val="both"/>
    </w:pPr>
    <w:rPr>
      <w:rFonts w:ascii="Perpetua Std" w:hAnsi="Perpetua Std"/>
      <w:color w:val="000000"/>
      <w:sz w:val="24"/>
    </w:rPr>
  </w:style>
  <w:style w:type="paragraph" w:customStyle="1" w:styleId="PH">
    <w:name w:val="PH"/>
    <w:rsid w:val="001644AE"/>
    <w:pPr>
      <w:tabs>
        <w:tab w:val="left" w:pos="360"/>
      </w:tabs>
      <w:spacing w:after="240"/>
      <w:ind w:left="360" w:hanging="360"/>
      <w:jc w:val="both"/>
    </w:pPr>
    <w:rPr>
      <w:rFonts w:ascii="Perpetua Std" w:hAnsi="Perpetua Std"/>
      <w:color w:val="000000"/>
      <w:sz w:val="24"/>
    </w:rPr>
  </w:style>
  <w:style w:type="paragraph" w:customStyle="1" w:styleId="PI">
    <w:name w:val="PI"/>
    <w:rsid w:val="001644AE"/>
    <w:pPr>
      <w:spacing w:after="240"/>
      <w:ind w:left="360" w:hanging="360"/>
      <w:jc w:val="both"/>
    </w:pPr>
    <w:rPr>
      <w:rFonts w:ascii="Perpetua Std" w:hAnsi="Perpetua Std"/>
      <w:color w:val="000000"/>
      <w:sz w:val="24"/>
    </w:rPr>
  </w:style>
  <w:style w:type="paragraph" w:customStyle="1" w:styleId="PK">
    <w:name w:val="PK"/>
    <w:rsid w:val="001644AE"/>
    <w:pPr>
      <w:spacing w:after="240"/>
      <w:ind w:left="360" w:firstLine="288"/>
      <w:jc w:val="both"/>
    </w:pPr>
    <w:rPr>
      <w:rFonts w:ascii="Perpetua Std" w:hAnsi="Perpetua Std"/>
      <w:color w:val="000000"/>
      <w:sz w:val="24"/>
    </w:rPr>
  </w:style>
  <w:style w:type="paragraph" w:customStyle="1" w:styleId="PL">
    <w:name w:val="PL"/>
    <w:rsid w:val="001644A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644AE"/>
    <w:pPr>
      <w:spacing w:after="240"/>
      <w:ind w:left="432" w:right="432" w:firstLine="432"/>
      <w:jc w:val="both"/>
    </w:pPr>
    <w:rPr>
      <w:rFonts w:ascii="Minion Pro" w:hAnsi="Minion Pro"/>
    </w:rPr>
  </w:style>
  <w:style w:type="paragraph" w:customStyle="1" w:styleId="TOC">
    <w:name w:val="TOC"/>
    <w:autoRedefine/>
    <w:rsid w:val="001644A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644AE"/>
    <w:pPr>
      <w:tabs>
        <w:tab w:val="clear" w:pos="1440"/>
        <w:tab w:val="clear" w:pos="8640"/>
        <w:tab w:val="left" w:pos="240"/>
        <w:tab w:val="left" w:pos="480"/>
        <w:tab w:val="right" w:leader="dot" w:pos="4680"/>
      </w:tabs>
      <w:ind w:left="0" w:firstLine="0"/>
    </w:pPr>
    <w:rPr>
      <w:sz w:val="22"/>
    </w:rPr>
  </w:style>
  <w:style w:type="paragraph" w:customStyle="1" w:styleId="PP">
    <w:name w:val="PP"/>
    <w:rsid w:val="001644A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644AE"/>
    <w:pPr>
      <w:spacing w:before="120" w:after="120"/>
      <w:jc w:val="center"/>
    </w:pPr>
    <w:rPr>
      <w:rFonts w:ascii="Helvetica LT Std" w:hAnsi="Helvetica LT Std"/>
      <w:sz w:val="24"/>
    </w:rPr>
  </w:style>
  <w:style w:type="table" w:styleId="TableGrid">
    <w:name w:val="Table Grid"/>
    <w:basedOn w:val="TableNormal"/>
    <w:rsid w:val="0016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644AE"/>
    <w:pPr>
      <w:spacing w:after="240"/>
      <w:jc w:val="center"/>
    </w:pPr>
    <w:rPr>
      <w:rFonts w:ascii="Helvetica LT Std" w:hAnsi="Helvetica LT Std"/>
      <w:b/>
      <w:caps/>
      <w:color w:val="000000"/>
      <w:sz w:val="36"/>
      <w:szCs w:val="32"/>
    </w:rPr>
  </w:style>
  <w:style w:type="paragraph" w:customStyle="1" w:styleId="HB">
    <w:name w:val="HB"/>
    <w:rsid w:val="001644AE"/>
    <w:pPr>
      <w:spacing w:before="120" w:after="240"/>
      <w:jc w:val="center"/>
    </w:pPr>
    <w:rPr>
      <w:rFonts w:ascii="Helvetica LT Std" w:hAnsi="Helvetica LT Std"/>
      <w:b/>
      <w:color w:val="5F5F5F"/>
      <w:w w:val="105"/>
      <w:sz w:val="32"/>
    </w:rPr>
  </w:style>
  <w:style w:type="paragraph" w:customStyle="1" w:styleId="HC">
    <w:name w:val="HC"/>
    <w:autoRedefine/>
    <w:rsid w:val="001644AE"/>
    <w:pPr>
      <w:tabs>
        <w:tab w:val="left" w:pos="284"/>
      </w:tabs>
      <w:spacing w:before="120" w:after="120"/>
      <w:jc w:val="center"/>
    </w:pPr>
    <w:rPr>
      <w:rFonts w:ascii="Helvetica LT Std" w:hAnsi="Helvetica LT Std"/>
      <w:b/>
      <w:color w:val="000000"/>
      <w:w w:val="110"/>
      <w:sz w:val="26"/>
    </w:rPr>
  </w:style>
  <w:style w:type="paragraph" w:customStyle="1" w:styleId="PR">
    <w:name w:val="PR"/>
    <w:rsid w:val="001644AE"/>
    <w:pPr>
      <w:spacing w:after="240"/>
      <w:ind w:left="360" w:firstLine="288"/>
      <w:jc w:val="both"/>
    </w:pPr>
    <w:rPr>
      <w:rFonts w:ascii="Adobe Caslon Pro" w:hAnsi="Adobe Caslon Pro"/>
      <w:color w:val="000000"/>
      <w:sz w:val="14"/>
    </w:rPr>
  </w:style>
  <w:style w:type="paragraph" w:customStyle="1" w:styleId="PO">
    <w:name w:val="PO"/>
    <w:rsid w:val="001644AE"/>
    <w:pPr>
      <w:spacing w:after="240"/>
      <w:jc w:val="both"/>
    </w:pPr>
    <w:rPr>
      <w:rFonts w:ascii="Perpetua Std" w:hAnsi="Perpetua Std"/>
      <w:color w:val="000000"/>
      <w:w w:val="95"/>
      <w:szCs w:val="16"/>
    </w:rPr>
  </w:style>
  <w:style w:type="paragraph" w:customStyle="1" w:styleId="GUIDEX">
    <w:name w:val="GUIDEX"/>
    <w:rsid w:val="001644A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644AE"/>
    <w:pPr>
      <w:tabs>
        <w:tab w:val="clear" w:pos="240"/>
        <w:tab w:val="clear" w:pos="480"/>
        <w:tab w:val="clear" w:pos="720"/>
        <w:tab w:val="right" w:pos="4680"/>
      </w:tabs>
    </w:pPr>
  </w:style>
  <w:style w:type="paragraph" w:customStyle="1" w:styleId="PCB">
    <w:name w:val="PCB"/>
    <w:autoRedefine/>
    <w:rsid w:val="001644A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1644A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644AE"/>
    <w:rPr>
      <w:rFonts w:ascii="Perpetua Std" w:hAnsi="Perpetua Std"/>
    </w:rPr>
  </w:style>
  <w:style w:type="paragraph" w:styleId="NoSpacing">
    <w:name w:val="No Spacing"/>
    <w:qFormat/>
    <w:rsid w:val="001644AE"/>
    <w:rPr>
      <w:rFonts w:ascii="Perpetua" w:hAnsi="Perpetua"/>
    </w:rPr>
  </w:style>
  <w:style w:type="paragraph" w:customStyle="1" w:styleId="PCA">
    <w:name w:val="PCA"/>
    <w:rsid w:val="001644AE"/>
    <w:pPr>
      <w:numPr>
        <w:numId w:val="13"/>
      </w:numPr>
      <w:tabs>
        <w:tab w:val="left" w:pos="720"/>
      </w:tabs>
      <w:spacing w:after="240"/>
      <w:jc w:val="both"/>
    </w:pPr>
    <w:rPr>
      <w:rFonts w:ascii="Perpetua Std" w:hAnsi="Perpetua Std"/>
      <w:sz w:val="24"/>
    </w:rPr>
  </w:style>
  <w:style w:type="paragraph" w:customStyle="1" w:styleId="PHB">
    <w:name w:val="PHB"/>
    <w:rsid w:val="001644A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1644AE"/>
    <w:rPr>
      <w:rFonts w:ascii="Perpetua Std" w:eastAsia="MS Mincho" w:hAnsi="Perpetua Std"/>
      <w:color w:val="000000"/>
      <w:sz w:val="22"/>
    </w:rPr>
  </w:style>
  <w:style w:type="paragraph" w:styleId="EndnoteText">
    <w:name w:val="endnote text"/>
    <w:basedOn w:val="Normal"/>
    <w:link w:val="EndnoteTextChar"/>
    <w:semiHidden/>
    <w:unhideWhenUsed/>
    <w:rsid w:val="00905130"/>
  </w:style>
  <w:style w:type="character" w:customStyle="1" w:styleId="EndnoteTextChar">
    <w:name w:val="Endnote Text Char"/>
    <w:basedOn w:val="DefaultParagraphFont"/>
    <w:link w:val="EndnoteText"/>
    <w:semiHidden/>
    <w:rsid w:val="00905130"/>
    <w:rPr>
      <w:rFonts w:ascii="Perpetua Std" w:hAnsi="Perpetua Std"/>
    </w:rPr>
  </w:style>
  <w:style w:type="character" w:styleId="EndnoteReference">
    <w:name w:val="endnote reference"/>
    <w:basedOn w:val="DefaultParagraphFont"/>
    <w:semiHidden/>
    <w:unhideWhenUsed/>
    <w:rsid w:val="00905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644AE"/>
    <w:rPr>
      <w:rFonts w:ascii="Perpetua Std" w:hAnsi="Perpetua Std"/>
    </w:rPr>
  </w:style>
  <w:style w:type="paragraph" w:styleId="Heading1">
    <w:name w:val="heading 1"/>
    <w:basedOn w:val="Normal"/>
    <w:next w:val="Normal"/>
    <w:link w:val="Heading1Char"/>
    <w:qFormat/>
    <w:rsid w:val="001644AE"/>
    <w:pPr>
      <w:keepNext/>
      <w:outlineLvl w:val="0"/>
    </w:pPr>
    <w:rPr>
      <w:b/>
    </w:rPr>
  </w:style>
  <w:style w:type="paragraph" w:styleId="Heading2">
    <w:name w:val="heading 2"/>
    <w:basedOn w:val="Normal"/>
    <w:next w:val="Normal"/>
    <w:link w:val="Heading2Char"/>
    <w:qFormat/>
    <w:rsid w:val="001644AE"/>
    <w:pPr>
      <w:keepNext/>
      <w:spacing w:before="240" w:after="60"/>
      <w:outlineLvl w:val="1"/>
    </w:pPr>
    <w:rPr>
      <w:rFonts w:ascii="Arial" w:hAnsi="Arial"/>
      <w:b/>
      <w:i/>
      <w:sz w:val="24"/>
    </w:rPr>
  </w:style>
  <w:style w:type="paragraph" w:styleId="Heading3">
    <w:name w:val="heading 3"/>
    <w:basedOn w:val="Normal"/>
    <w:next w:val="Normal"/>
    <w:link w:val="Heading3Char"/>
    <w:qFormat/>
    <w:rsid w:val="001644AE"/>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644AE"/>
    <w:pPr>
      <w:spacing w:after="240"/>
      <w:jc w:val="both"/>
    </w:pPr>
    <w:rPr>
      <w:rFonts w:ascii="Helvetica LT Std" w:hAnsi="Helvetica LT Std"/>
      <w:b/>
      <w:color w:val="000000"/>
      <w:sz w:val="26"/>
    </w:rPr>
  </w:style>
  <w:style w:type="paragraph" w:customStyle="1" w:styleId="PA">
    <w:name w:val="PA"/>
    <w:next w:val="Normal"/>
    <w:link w:val="PAChar"/>
    <w:rsid w:val="001644AE"/>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1644AE"/>
    <w:rPr>
      <w:rFonts w:ascii="Perpetua Std" w:hAnsi="Perpetua Std"/>
      <w:color w:val="000000"/>
      <w:sz w:val="24"/>
    </w:rPr>
  </w:style>
  <w:style w:type="paragraph" w:customStyle="1" w:styleId="PB">
    <w:name w:val="PB"/>
    <w:rsid w:val="001644AE"/>
    <w:pPr>
      <w:spacing w:after="240"/>
      <w:jc w:val="both"/>
    </w:pPr>
    <w:rPr>
      <w:rFonts w:ascii="Perpetua Std" w:hAnsi="Perpetua Std"/>
      <w:color w:val="000000"/>
      <w:sz w:val="24"/>
    </w:rPr>
  </w:style>
  <w:style w:type="paragraph" w:customStyle="1" w:styleId="PC">
    <w:name w:val="PC"/>
    <w:rsid w:val="001644AE"/>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1644AE"/>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644AE"/>
    <w:rPr>
      <w:rFonts w:ascii="Adobe Caslon Pro" w:hAnsi="Adobe Caslon Pro"/>
      <w:color w:val="000000"/>
      <w:sz w:val="14"/>
    </w:rPr>
  </w:style>
  <w:style w:type="character" w:styleId="FootnoteReference">
    <w:name w:val="footnote reference"/>
    <w:rsid w:val="001644AE"/>
    <w:rPr>
      <w:vertAlign w:val="superscript"/>
    </w:rPr>
  </w:style>
  <w:style w:type="paragraph" w:customStyle="1" w:styleId="HD">
    <w:name w:val="HD"/>
    <w:rsid w:val="001644AE"/>
    <w:pPr>
      <w:suppressAutoHyphens/>
      <w:spacing w:before="120"/>
      <w:jc w:val="center"/>
    </w:pPr>
    <w:rPr>
      <w:rFonts w:ascii="Helvetica LT Std" w:hAnsi="Helvetica LT Std"/>
      <w:sz w:val="26"/>
      <w:szCs w:val="18"/>
    </w:rPr>
  </w:style>
  <w:style w:type="paragraph" w:customStyle="1" w:styleId="PN">
    <w:name w:val="PN"/>
    <w:rsid w:val="001644AE"/>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1644AE"/>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1644AE"/>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1644AE"/>
    <w:pPr>
      <w:spacing w:before="144"/>
      <w:jc w:val="both"/>
    </w:pPr>
    <w:rPr>
      <w:noProof/>
    </w:rPr>
  </w:style>
  <w:style w:type="paragraph" w:customStyle="1" w:styleId="PD">
    <w:name w:val="PD"/>
    <w:rsid w:val="001644AE"/>
    <w:pPr>
      <w:spacing w:after="240"/>
      <w:ind w:left="720" w:firstLine="288"/>
      <w:jc w:val="both"/>
    </w:pPr>
    <w:rPr>
      <w:rFonts w:ascii="Perpetua Std" w:hAnsi="Perpetua Std"/>
      <w:color w:val="000000"/>
      <w:sz w:val="24"/>
    </w:rPr>
  </w:style>
  <w:style w:type="paragraph" w:customStyle="1" w:styleId="PE">
    <w:name w:val="PE"/>
    <w:rsid w:val="001644AE"/>
    <w:pPr>
      <w:spacing w:after="240"/>
      <w:ind w:left="720"/>
      <w:jc w:val="both"/>
    </w:pPr>
    <w:rPr>
      <w:rFonts w:ascii="Perpetua Std" w:hAnsi="Perpetua Std"/>
      <w:color w:val="000000"/>
      <w:sz w:val="24"/>
    </w:rPr>
  </w:style>
  <w:style w:type="paragraph" w:customStyle="1" w:styleId="PF">
    <w:name w:val="PF"/>
    <w:rsid w:val="001644AE"/>
    <w:pPr>
      <w:tabs>
        <w:tab w:val="left" w:pos="1080"/>
      </w:tabs>
      <w:spacing w:after="240"/>
      <w:ind w:left="1080" w:hanging="360"/>
      <w:jc w:val="both"/>
    </w:pPr>
    <w:rPr>
      <w:rFonts w:ascii="Perpetua Std" w:hAnsi="Perpetua Std"/>
      <w:color w:val="000000"/>
      <w:sz w:val="24"/>
    </w:rPr>
  </w:style>
  <w:style w:type="paragraph" w:customStyle="1" w:styleId="PG">
    <w:name w:val="PG"/>
    <w:rsid w:val="001644AE"/>
    <w:pPr>
      <w:spacing w:after="240"/>
      <w:ind w:left="360"/>
      <w:jc w:val="both"/>
    </w:pPr>
    <w:rPr>
      <w:rFonts w:ascii="Perpetua Std" w:hAnsi="Perpetua Std"/>
      <w:color w:val="000000"/>
      <w:sz w:val="24"/>
    </w:rPr>
  </w:style>
  <w:style w:type="paragraph" w:customStyle="1" w:styleId="PH">
    <w:name w:val="PH"/>
    <w:rsid w:val="001644AE"/>
    <w:pPr>
      <w:tabs>
        <w:tab w:val="left" w:pos="360"/>
      </w:tabs>
      <w:spacing w:after="240"/>
      <w:ind w:left="360" w:hanging="360"/>
      <w:jc w:val="both"/>
    </w:pPr>
    <w:rPr>
      <w:rFonts w:ascii="Perpetua Std" w:hAnsi="Perpetua Std"/>
      <w:color w:val="000000"/>
      <w:sz w:val="24"/>
    </w:rPr>
  </w:style>
  <w:style w:type="paragraph" w:customStyle="1" w:styleId="PI">
    <w:name w:val="PI"/>
    <w:rsid w:val="001644AE"/>
    <w:pPr>
      <w:spacing w:after="240"/>
      <w:ind w:left="360" w:hanging="360"/>
      <w:jc w:val="both"/>
    </w:pPr>
    <w:rPr>
      <w:rFonts w:ascii="Perpetua Std" w:hAnsi="Perpetua Std"/>
      <w:color w:val="000000"/>
      <w:sz w:val="24"/>
    </w:rPr>
  </w:style>
  <w:style w:type="paragraph" w:customStyle="1" w:styleId="PK">
    <w:name w:val="PK"/>
    <w:rsid w:val="001644AE"/>
    <w:pPr>
      <w:spacing w:after="240"/>
      <w:ind w:left="360" w:firstLine="288"/>
      <w:jc w:val="both"/>
    </w:pPr>
    <w:rPr>
      <w:rFonts w:ascii="Perpetua Std" w:hAnsi="Perpetua Std"/>
      <w:color w:val="000000"/>
      <w:sz w:val="24"/>
    </w:rPr>
  </w:style>
  <w:style w:type="paragraph" w:customStyle="1" w:styleId="PL">
    <w:name w:val="PL"/>
    <w:rsid w:val="001644AE"/>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644AE"/>
    <w:pPr>
      <w:spacing w:after="240"/>
      <w:ind w:left="432" w:right="432" w:firstLine="432"/>
      <w:jc w:val="both"/>
    </w:pPr>
    <w:rPr>
      <w:rFonts w:ascii="Minion Pro" w:hAnsi="Minion Pro"/>
    </w:rPr>
  </w:style>
  <w:style w:type="paragraph" w:customStyle="1" w:styleId="TOC">
    <w:name w:val="TOC"/>
    <w:autoRedefine/>
    <w:rsid w:val="001644AE"/>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644AE"/>
    <w:pPr>
      <w:tabs>
        <w:tab w:val="clear" w:pos="1440"/>
        <w:tab w:val="clear" w:pos="8640"/>
        <w:tab w:val="left" w:pos="240"/>
        <w:tab w:val="left" w:pos="480"/>
        <w:tab w:val="right" w:leader="dot" w:pos="4680"/>
      </w:tabs>
      <w:ind w:left="0" w:firstLine="0"/>
    </w:pPr>
    <w:rPr>
      <w:sz w:val="22"/>
    </w:rPr>
  </w:style>
  <w:style w:type="paragraph" w:customStyle="1" w:styleId="PP">
    <w:name w:val="PP"/>
    <w:rsid w:val="001644AE"/>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644AE"/>
    <w:pPr>
      <w:spacing w:before="120" w:after="120"/>
      <w:jc w:val="center"/>
    </w:pPr>
    <w:rPr>
      <w:rFonts w:ascii="Helvetica LT Std" w:hAnsi="Helvetica LT Std"/>
      <w:sz w:val="24"/>
    </w:rPr>
  </w:style>
  <w:style w:type="table" w:styleId="TableGrid">
    <w:name w:val="Table Grid"/>
    <w:basedOn w:val="TableNormal"/>
    <w:rsid w:val="0016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644AE"/>
    <w:pPr>
      <w:spacing w:after="240"/>
      <w:jc w:val="center"/>
    </w:pPr>
    <w:rPr>
      <w:rFonts w:ascii="Helvetica LT Std" w:hAnsi="Helvetica LT Std"/>
      <w:b/>
      <w:caps/>
      <w:color w:val="000000"/>
      <w:sz w:val="36"/>
      <w:szCs w:val="32"/>
    </w:rPr>
  </w:style>
  <w:style w:type="paragraph" w:customStyle="1" w:styleId="HB">
    <w:name w:val="HB"/>
    <w:rsid w:val="001644AE"/>
    <w:pPr>
      <w:spacing w:before="120" w:after="240"/>
      <w:jc w:val="center"/>
    </w:pPr>
    <w:rPr>
      <w:rFonts w:ascii="Helvetica LT Std" w:hAnsi="Helvetica LT Std"/>
      <w:b/>
      <w:color w:val="5F5F5F"/>
      <w:w w:val="105"/>
      <w:sz w:val="32"/>
    </w:rPr>
  </w:style>
  <w:style w:type="paragraph" w:customStyle="1" w:styleId="HC">
    <w:name w:val="HC"/>
    <w:autoRedefine/>
    <w:rsid w:val="001644AE"/>
    <w:pPr>
      <w:tabs>
        <w:tab w:val="left" w:pos="284"/>
      </w:tabs>
      <w:spacing w:before="120" w:after="120"/>
      <w:jc w:val="center"/>
    </w:pPr>
    <w:rPr>
      <w:rFonts w:ascii="Helvetica LT Std" w:hAnsi="Helvetica LT Std"/>
      <w:b/>
      <w:color w:val="000000"/>
      <w:w w:val="110"/>
      <w:sz w:val="26"/>
    </w:rPr>
  </w:style>
  <w:style w:type="paragraph" w:customStyle="1" w:styleId="PR">
    <w:name w:val="PR"/>
    <w:rsid w:val="001644AE"/>
    <w:pPr>
      <w:spacing w:after="240"/>
      <w:ind w:left="360" w:firstLine="288"/>
      <w:jc w:val="both"/>
    </w:pPr>
    <w:rPr>
      <w:rFonts w:ascii="Adobe Caslon Pro" w:hAnsi="Adobe Caslon Pro"/>
      <w:color w:val="000000"/>
      <w:sz w:val="14"/>
    </w:rPr>
  </w:style>
  <w:style w:type="paragraph" w:customStyle="1" w:styleId="PO">
    <w:name w:val="PO"/>
    <w:rsid w:val="001644AE"/>
    <w:pPr>
      <w:spacing w:after="240"/>
      <w:jc w:val="both"/>
    </w:pPr>
    <w:rPr>
      <w:rFonts w:ascii="Perpetua Std" w:hAnsi="Perpetua Std"/>
      <w:color w:val="000000"/>
      <w:w w:val="95"/>
      <w:szCs w:val="16"/>
    </w:rPr>
  </w:style>
  <w:style w:type="paragraph" w:customStyle="1" w:styleId="GUIDEX">
    <w:name w:val="GUIDEX"/>
    <w:rsid w:val="001644AE"/>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644AE"/>
    <w:pPr>
      <w:tabs>
        <w:tab w:val="clear" w:pos="240"/>
        <w:tab w:val="clear" w:pos="480"/>
        <w:tab w:val="clear" w:pos="720"/>
        <w:tab w:val="right" w:pos="4680"/>
      </w:tabs>
    </w:pPr>
  </w:style>
  <w:style w:type="paragraph" w:customStyle="1" w:styleId="PCB">
    <w:name w:val="PCB"/>
    <w:autoRedefine/>
    <w:rsid w:val="001644AE"/>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1644AE"/>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644AE"/>
    <w:rPr>
      <w:rFonts w:ascii="Perpetua Std" w:hAnsi="Perpetua Std"/>
    </w:rPr>
  </w:style>
  <w:style w:type="paragraph" w:styleId="NoSpacing">
    <w:name w:val="No Spacing"/>
    <w:qFormat/>
    <w:rsid w:val="001644AE"/>
    <w:rPr>
      <w:rFonts w:ascii="Perpetua" w:hAnsi="Perpetua"/>
    </w:rPr>
  </w:style>
  <w:style w:type="paragraph" w:customStyle="1" w:styleId="PCA">
    <w:name w:val="PCA"/>
    <w:rsid w:val="001644AE"/>
    <w:pPr>
      <w:numPr>
        <w:numId w:val="13"/>
      </w:numPr>
      <w:tabs>
        <w:tab w:val="left" w:pos="720"/>
      </w:tabs>
      <w:spacing w:after="240"/>
      <w:jc w:val="both"/>
    </w:pPr>
    <w:rPr>
      <w:rFonts w:ascii="Perpetua Std" w:hAnsi="Perpetua Std"/>
      <w:sz w:val="24"/>
    </w:rPr>
  </w:style>
  <w:style w:type="paragraph" w:customStyle="1" w:styleId="PHB">
    <w:name w:val="PHB"/>
    <w:rsid w:val="001644AE"/>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1644AE"/>
    <w:rPr>
      <w:rFonts w:ascii="Perpetua Std" w:eastAsia="MS Mincho" w:hAnsi="Perpetua Std"/>
      <w:color w:val="000000"/>
      <w:sz w:val="22"/>
    </w:rPr>
  </w:style>
  <w:style w:type="paragraph" w:styleId="EndnoteText">
    <w:name w:val="endnote text"/>
    <w:basedOn w:val="Normal"/>
    <w:link w:val="EndnoteTextChar"/>
    <w:semiHidden/>
    <w:unhideWhenUsed/>
    <w:rsid w:val="00905130"/>
  </w:style>
  <w:style w:type="character" w:customStyle="1" w:styleId="EndnoteTextChar">
    <w:name w:val="Endnote Text Char"/>
    <w:basedOn w:val="DefaultParagraphFont"/>
    <w:link w:val="EndnoteText"/>
    <w:semiHidden/>
    <w:rsid w:val="00905130"/>
    <w:rPr>
      <w:rFonts w:ascii="Perpetua Std" w:hAnsi="Perpetua Std"/>
    </w:rPr>
  </w:style>
  <w:style w:type="character" w:styleId="EndnoteReference">
    <w:name w:val="endnote reference"/>
    <w:basedOn w:val="DefaultParagraphFont"/>
    <w:semiHidden/>
    <w:unhideWhenUsed/>
    <w:rsid w:val="00905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4391-EC56-4E70-9159-C57D1B0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8549. How is adjusted tax basis determined for purposes of determining the amount of a taxpayer’s capital gain or loss?</vt:lpstr>
    </vt:vector>
  </TitlesOfParts>
  <Company>Summit Business Media</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8549. How is adjusted tax basis determined for purposes of determining the amount of a taxpayer’s capital gain or loss?</dc:title>
  <dc:creator>Alexis Long</dc:creator>
  <cp:lastModifiedBy>rcline</cp:lastModifiedBy>
  <cp:revision>2</cp:revision>
  <cp:lastPrinted>2013-08-28T20:59:00Z</cp:lastPrinted>
  <dcterms:created xsi:type="dcterms:W3CDTF">2014-08-21T13:47:00Z</dcterms:created>
  <dcterms:modified xsi:type="dcterms:W3CDTF">2014-08-21T13:47:00Z</dcterms:modified>
</cp:coreProperties>
</file>