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A9" w:rsidRPr="005443A9" w:rsidRDefault="005443A9" w:rsidP="00B86944">
      <w:pPr>
        <w:pStyle w:val="PA"/>
        <w:rPr>
          <w:b/>
          <w:color w:val="auto"/>
        </w:rPr>
      </w:pPr>
      <w:bookmarkStart w:id="0" w:name="_GoBack"/>
      <w:bookmarkEnd w:id="0"/>
    </w:p>
    <w:p w:rsidR="005443A9" w:rsidRPr="005443A9" w:rsidRDefault="005443A9" w:rsidP="00B86944">
      <w:pPr>
        <w:pStyle w:val="PA"/>
        <w:rPr>
          <w:b/>
          <w:color w:val="auto"/>
        </w:rPr>
      </w:pPr>
      <w:r w:rsidRPr="005443A9">
        <w:rPr>
          <w:b/>
          <w:color w:val="auto"/>
        </w:rPr>
        <w:t>8547.  What new rules have been developed in the past years to change long-term capital gain rates?</w:t>
      </w:r>
    </w:p>
    <w:p w:rsidR="00F4296A" w:rsidRDefault="00E853E9" w:rsidP="00B86944">
      <w:pPr>
        <w:pStyle w:val="PA"/>
      </w:pPr>
      <w:r>
        <w:t>Congress has taken steps in recent years to reduce the rates applicable to long-term capital gains.</w:t>
      </w:r>
      <w:r w:rsidR="00816BFC">
        <w:t xml:space="preserve"> </w:t>
      </w:r>
      <w:r>
        <w:t>As such, l</w:t>
      </w:r>
      <w:r w:rsidR="00F4296A">
        <w:t xml:space="preserve">ong-term capital gains </w:t>
      </w:r>
      <w:r w:rsidR="005816C3">
        <w:t xml:space="preserve">recognized </w:t>
      </w:r>
      <w:r w:rsidR="00F4296A">
        <w:t>on or after May 6, 2003 are subject to lower tax rates</w:t>
      </w:r>
      <w:r>
        <w:t xml:space="preserve"> today</w:t>
      </w:r>
      <w:r w:rsidR="00F91BB1">
        <w:t xml:space="preserve"> than has historically been the case</w:t>
      </w:r>
      <w:r w:rsidR="00F4296A">
        <w:t>. For taxpayers in the 25, 28, 33 and 35 percent tax brackets</w:t>
      </w:r>
      <w:r w:rsidR="005816C3">
        <w:t xml:space="preserve"> with respect to ordinary income</w:t>
      </w:r>
      <w:r w:rsidR="00F4296A">
        <w:t xml:space="preserve">, the rate on long-term capital gains was reduced from 20 percent to 15 percent in 2003 through 2012. For taxpayers in the 10 and 15 percent brackets, the rate on long-term capital gains was reduced from 10 percent to 5 percent in 2003 through 2007, and </w:t>
      </w:r>
      <w:r w:rsidR="005816C3">
        <w:t xml:space="preserve">then </w:t>
      </w:r>
      <w:r w:rsidR="00F4296A">
        <w:t>down to 0 percent in 2008 through 2012. As discussed below, these lower capital gain rates have been made permanent</w:t>
      </w:r>
      <w:r>
        <w:t xml:space="preserve"> for tax years beginning after 2012</w:t>
      </w:r>
      <w:r w:rsidR="00F4296A">
        <w:t>.</w:t>
      </w:r>
      <w:r w:rsidR="00F4296A" w:rsidRPr="0074319B">
        <w:rPr>
          <w:vertAlign w:val="superscript"/>
        </w:rPr>
        <w:footnoteReference w:id="1"/>
      </w:r>
    </w:p>
    <w:p w:rsidR="005D0931" w:rsidRDefault="009934EF" w:rsidP="00B86944">
      <w:pPr>
        <w:pStyle w:val="PA"/>
      </w:pPr>
      <w:r>
        <w:t>The</w:t>
      </w:r>
      <w:r w:rsidR="00F4296A">
        <w:t xml:space="preserve"> American Taxpayer Relief Act of 2012 (“ATRA”) </w:t>
      </w:r>
      <w:r>
        <w:t>extended</w:t>
      </w:r>
      <w:r w:rsidR="00F4296A">
        <w:t xml:space="preserve"> the </w:t>
      </w:r>
      <w:r w:rsidR="00F91BB1">
        <w:t>0 percent and 15 percent</w:t>
      </w:r>
      <w:r w:rsidR="00F4296A">
        <w:t xml:space="preserve"> capital gain rates </w:t>
      </w:r>
      <w:r>
        <w:t xml:space="preserve">for </w:t>
      </w:r>
      <w:r w:rsidR="00F91BB1">
        <w:t xml:space="preserve">most </w:t>
      </w:r>
      <w:r>
        <w:t xml:space="preserve">taxpayers and </w:t>
      </w:r>
      <w:r w:rsidR="00F4296A">
        <w:t xml:space="preserve">increased </w:t>
      </w:r>
      <w:r w:rsidR="00F91BB1">
        <w:t xml:space="preserve">the rates for </w:t>
      </w:r>
      <w:r w:rsidR="00F4296A">
        <w:t>taxpayers</w:t>
      </w:r>
      <w:r>
        <w:t xml:space="preserve"> in the highest income tax bracket.</w:t>
      </w:r>
      <w:r w:rsidR="00816BFC">
        <w:t xml:space="preserve"> </w:t>
      </w:r>
    </w:p>
    <w:p w:rsidR="00F4296A" w:rsidRDefault="00F4296A" w:rsidP="00B86944">
      <w:pPr>
        <w:pStyle w:val="PA"/>
      </w:pPr>
      <w:r>
        <w:t>ATRA permanently increased the rate on long-term capital gains to 20 percent for taxpayers with taxable income exceeding an annual applicable threshold amount (</w:t>
      </w:r>
      <w:r w:rsidR="00CA4932">
        <w:t>for 2014, the threshold amount is $406,750 for single taxpayers, $457,600 for married taxpayers filing jointly, $432,200 for heads of households and $228,800 for married taxpayers filing separately and f</w:t>
      </w:r>
      <w:r>
        <w:t xml:space="preserve">or 2013, the threshold amount </w:t>
      </w:r>
      <w:r w:rsidR="00CA4932">
        <w:t xml:space="preserve">was </w:t>
      </w:r>
      <w:r>
        <w:t>$400,000 for single taxpayers, $450,000 for married taxpayers filing jointly, $425,000 for heads of households, and $225,000 for married taxpayers filing separately).</w:t>
      </w:r>
      <w:r w:rsidR="00816BFC">
        <w:t xml:space="preserve"> </w:t>
      </w:r>
      <w:r>
        <w:t>The applicable threshold amount</w:t>
      </w:r>
      <w:r w:rsidR="00475112">
        <w:t>s</w:t>
      </w:r>
      <w:r>
        <w:t xml:space="preserve"> </w:t>
      </w:r>
      <w:r w:rsidR="00475112">
        <w:t>are</w:t>
      </w:r>
      <w:r>
        <w:t xml:space="preserve"> adjusted annually for inflation.</w:t>
      </w:r>
      <w:r w:rsidRPr="0074319B">
        <w:rPr>
          <w:vertAlign w:val="superscript"/>
        </w:rPr>
        <w:footnoteReference w:id="2"/>
      </w:r>
    </w:p>
    <w:p w:rsidR="00F4296A" w:rsidRDefault="00F4296A" w:rsidP="00B86944">
      <w:pPr>
        <w:pStyle w:val="PA"/>
      </w:pPr>
      <w:r>
        <w:t>For taxpayers in the 10 or 15 percent income tax brackets, the rate on long-term capital gains is now permanently set at 0 percent. Taxpayers in the 25, 28, 33 and 35 percent tax brackets will continue to be taxed at 15 percent on long-term capital gains.</w:t>
      </w:r>
      <w:r w:rsidRPr="0074319B">
        <w:rPr>
          <w:vertAlign w:val="superscript"/>
        </w:rPr>
        <w:footnoteReference w:id="3"/>
      </w:r>
    </w:p>
    <w:p w:rsidR="00F4296A" w:rsidRDefault="00F4296A" w:rsidP="00B86944">
      <w:pPr>
        <w:pStyle w:val="PA"/>
      </w:pPr>
      <w:r>
        <w:t>In addition, beginning January 1, 2013, a new investment income tax of 3.8 percent applies to certain investment-type income (including income received from capital gains).</w:t>
      </w:r>
      <w:r w:rsidR="00816BFC">
        <w:t xml:space="preserve"> </w:t>
      </w:r>
      <w:r>
        <w:t>The investment income tax applies for taxpayers whose annual adjusted gross income exceeds the investment income threshold amount ($250,000 for married taxpayers filing jointly, $125,000 for married taxpayers filing separately and $200,000 for all other taxpayers).</w:t>
      </w:r>
      <w:r w:rsidRPr="0074319B">
        <w:rPr>
          <w:vertAlign w:val="superscript"/>
        </w:rPr>
        <w:footnoteReference w:id="4"/>
      </w:r>
      <w:r w:rsidRPr="00156083">
        <w:t xml:space="preserve"> </w:t>
      </w:r>
      <w:r w:rsidR="00F91BB1">
        <w:t>See Q</w:t>
      </w:r>
      <w:r w:rsidR="006767EC">
        <w:t xml:space="preserve"> </w:t>
      </w:r>
      <w:r w:rsidR="009C5F6E">
        <w:t>856</w:t>
      </w:r>
      <w:r w:rsidR="005D0931">
        <w:t>0</w:t>
      </w:r>
      <w:r w:rsidR="00D36C53">
        <w:t xml:space="preserve"> to </w:t>
      </w:r>
      <w:r w:rsidR="00F91BB1">
        <w:t>Q</w:t>
      </w:r>
      <w:r w:rsidR="006767EC">
        <w:t xml:space="preserve"> </w:t>
      </w:r>
      <w:r w:rsidR="009C5F6E">
        <w:t>856</w:t>
      </w:r>
      <w:r w:rsidR="005D0931">
        <w:t>6</w:t>
      </w:r>
      <w:r w:rsidR="00F91BB1">
        <w:t xml:space="preserve"> for a detailed discussion of the investment income tax.</w:t>
      </w:r>
    </w:p>
    <w:p w:rsidR="00F4296A" w:rsidRPr="00156083" w:rsidRDefault="005D0931" w:rsidP="00B86944">
      <w:pPr>
        <w:pStyle w:val="PA"/>
      </w:pPr>
      <w:r>
        <w:lastRenderedPageBreak/>
        <w:t>The rates</w:t>
      </w:r>
      <w:r w:rsidR="00F91BB1">
        <w:t xml:space="preserve"> applicable for c</w:t>
      </w:r>
      <w:r w:rsidR="00F4296A">
        <w:t xml:space="preserve">ollectibles gain, IRC Section 1202 gain (i.e., qualified small business stock), and unrecaptured IRC Section 1250 gain </w:t>
      </w:r>
      <w:r>
        <w:t>have remained</w:t>
      </w:r>
      <w:r w:rsidR="00F91BB1">
        <w:t xml:space="preserve"> unchanged</w:t>
      </w:r>
      <w:r w:rsidR="00F4296A">
        <w:t>.</w:t>
      </w:r>
      <w:r w:rsidR="00816BFC">
        <w:t xml:space="preserve"> </w:t>
      </w:r>
      <w:r w:rsidR="00475112">
        <w:t>See Q</w:t>
      </w:r>
      <w:r w:rsidR="006767EC">
        <w:t xml:space="preserve"> </w:t>
      </w:r>
      <w:r w:rsidR="009C5F6E">
        <w:t>854</w:t>
      </w:r>
      <w:r w:rsidR="00475112">
        <w:t>6.</w:t>
      </w:r>
      <w:r w:rsidR="00F4296A" w:rsidRPr="0074319B">
        <w:rPr>
          <w:vertAlign w:val="superscript"/>
        </w:rPr>
        <w:footnoteReference w:id="5"/>
      </w:r>
    </w:p>
    <w:p w:rsidR="00F4296A" w:rsidRPr="00F4296A" w:rsidRDefault="00F4296A" w:rsidP="00B86944">
      <w:pPr>
        <w:pStyle w:val="PA"/>
        <w:rPr>
          <w:szCs w:val="24"/>
        </w:rPr>
      </w:pPr>
      <w:r>
        <w:rPr>
          <w:i/>
          <w:iCs/>
        </w:rPr>
        <w:t>Repeal of qualified 5-year gain</w:t>
      </w:r>
      <w:r>
        <w:t>. For tax years beginning after December 31, 2000, if certain requirements were met, the maximum rates on “qualified 5-year gain” could be reduced to 8 percent and 18 percent (in place of 10 percent and 20 percent respectively). Furthermore, a noncorporate taxpayer in the 25 percent bracket (or higher) who held a capital asset on January 1, 2001 could elect to treat the asset as if it had been sold and repurchased for its fair market value on January 1, 2001 (or on January 2, 2001 in the case of publicly traded stock). If a noncorporate taxpayer made this election, the holding period for the elected assets began after December 31, 2000, thereby making the asset eligible for the 18 percent rate if it was later sold after having been held by the taxpayer for more than five years from the date of the deemed sale and deemed reacquisition.</w:t>
      </w:r>
      <w:r w:rsidRPr="0074319B">
        <w:rPr>
          <w:vertAlign w:val="superscript"/>
        </w:rPr>
        <w:footnoteReference w:id="6"/>
      </w:r>
      <w:r>
        <w:t xml:space="preserve"> Under JGTRRA 2003, the 5-year holding period requirement, and the 18 percent and 8 percent tax rates for qualified 5-year gain</w:t>
      </w:r>
      <w:r w:rsidR="00F91BB1">
        <w:t>,</w:t>
      </w:r>
      <w:r>
        <w:t xml:space="preserve"> </w:t>
      </w:r>
      <w:r w:rsidR="005D0931">
        <w:t>were</w:t>
      </w:r>
      <w:r>
        <w:t xml:space="preserve"> repealed. Though this repeal was scheduled to sunset along with the reduced rates</w:t>
      </w:r>
      <w:r w:rsidR="005D0931">
        <w:t xml:space="preserve"> on long-term capital gains</w:t>
      </w:r>
      <w:r>
        <w:t>, it was made permanent under ATRA.</w:t>
      </w:r>
    </w:p>
    <w:p w:rsidR="00F4296A" w:rsidRDefault="00F4296A" w:rsidP="00255005">
      <w:pPr>
        <w:pStyle w:val="PA"/>
      </w:pPr>
    </w:p>
    <w:sectPr w:rsidR="00F4296A"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07" w:rsidRDefault="00057407" w:rsidP="00F4296A">
      <w:r>
        <w:separator/>
      </w:r>
    </w:p>
  </w:endnote>
  <w:endnote w:type="continuationSeparator" w:id="0">
    <w:p w:rsidR="00057407" w:rsidRDefault="00057407" w:rsidP="00F4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07" w:rsidRDefault="00057407" w:rsidP="00F4296A">
      <w:r>
        <w:separator/>
      </w:r>
    </w:p>
  </w:footnote>
  <w:footnote w:type="continuationSeparator" w:id="0">
    <w:p w:rsidR="00057407" w:rsidRDefault="00057407" w:rsidP="00F4296A">
      <w:r>
        <w:continuationSeparator/>
      </w:r>
    </w:p>
  </w:footnote>
  <w:footnote w:id="1">
    <w:p w:rsidR="003566BE" w:rsidRPr="00156083" w:rsidRDefault="003566BE" w:rsidP="0074319B">
      <w:pPr>
        <w:pStyle w:val="PQ"/>
        <w:rPr>
          <w:rFonts w:ascii="Calibri" w:eastAsia="Calibri" w:hAnsi="Calibri"/>
        </w:rPr>
      </w:pPr>
      <w:r w:rsidRPr="00255005">
        <w:rPr>
          <w:rStyle w:val="FootnoteReference"/>
          <w:vertAlign w:val="baseline"/>
        </w:rPr>
        <w:footnoteRef/>
      </w:r>
      <w:r w:rsidR="00144D20">
        <w:t>.</w:t>
      </w:r>
      <w:r w:rsidR="00144D20">
        <w:tab/>
      </w:r>
      <w:r w:rsidR="0074319B" w:rsidRPr="00156083">
        <w:t>IRC Sec. 1(h</w:t>
      </w:r>
      <w:proofErr w:type="gramStart"/>
      <w:r w:rsidR="0074319B" w:rsidRPr="00156083">
        <w:t>)(</w:t>
      </w:r>
      <w:proofErr w:type="gramEnd"/>
      <w:r w:rsidR="0074319B" w:rsidRPr="00156083">
        <w:t>1)</w:t>
      </w:r>
      <w:r w:rsidR="0074319B">
        <w:t>, as amended by ATRA</w:t>
      </w:r>
      <w:r w:rsidR="0074319B" w:rsidRPr="00156083">
        <w:t xml:space="preserve">; TIPRA 2005 Sec. 102, </w:t>
      </w:r>
      <w:r w:rsidR="0074319B" w:rsidRPr="00156083">
        <w:rPr>
          <w:i/>
          <w:iCs/>
        </w:rPr>
        <w:t>amending</w:t>
      </w:r>
      <w:r w:rsidR="0074319B" w:rsidRPr="00156083">
        <w:t xml:space="preserve"> JGTRRA 2003 Sec. 303.</w:t>
      </w:r>
    </w:p>
  </w:footnote>
  <w:footnote w:id="2">
    <w:p w:rsidR="003566BE" w:rsidRPr="00156083" w:rsidRDefault="003566BE" w:rsidP="0074319B">
      <w:pPr>
        <w:pStyle w:val="PQ"/>
      </w:pPr>
      <w:r w:rsidRPr="00255005">
        <w:rPr>
          <w:rStyle w:val="FootnoteReference"/>
          <w:vertAlign w:val="baseline"/>
        </w:rPr>
        <w:footnoteRef/>
      </w:r>
      <w:r w:rsidR="00144D20">
        <w:t>.</w:t>
      </w:r>
      <w:r w:rsidR="00144D20">
        <w:tab/>
      </w:r>
      <w:r w:rsidR="0074319B" w:rsidRPr="00156083">
        <w:t xml:space="preserve">IRC Secs. 1(i), 1(h), as amended by </w:t>
      </w:r>
      <w:r w:rsidR="0074319B">
        <w:t>ATRA</w:t>
      </w:r>
      <w:r w:rsidR="0074319B" w:rsidRPr="00156083">
        <w:t>, Sec</w:t>
      </w:r>
      <w:r w:rsidR="0074319B">
        <w:t>s</w:t>
      </w:r>
      <w:r w:rsidR="0074319B" w:rsidRPr="00156083">
        <w:t>. 101(b</w:t>
      </w:r>
      <w:proofErr w:type="gramStart"/>
      <w:r w:rsidR="0074319B" w:rsidRPr="00156083">
        <w:t>)(</w:t>
      </w:r>
      <w:proofErr w:type="gramEnd"/>
      <w:r w:rsidR="0074319B" w:rsidRPr="00156083">
        <w:t>3)(C)</w:t>
      </w:r>
      <w:r w:rsidR="0074319B">
        <w:t xml:space="preserve"> and</w:t>
      </w:r>
      <w:r w:rsidR="0074319B" w:rsidRPr="00156083">
        <w:t xml:space="preserve"> 102(b)</w:t>
      </w:r>
      <w:r w:rsidR="00CA4932">
        <w:t>; Rev. Proc. 2013-35, 2013-47 IRB 537</w:t>
      </w:r>
      <w:r w:rsidR="0074319B">
        <w:t>.</w:t>
      </w:r>
    </w:p>
  </w:footnote>
  <w:footnote w:id="3">
    <w:p w:rsidR="003566BE" w:rsidRPr="00156083" w:rsidRDefault="003566BE" w:rsidP="0074319B">
      <w:pPr>
        <w:pStyle w:val="PQ"/>
      </w:pPr>
      <w:r w:rsidRPr="00255005">
        <w:rPr>
          <w:rStyle w:val="FootnoteReference"/>
          <w:vertAlign w:val="baseline"/>
        </w:rPr>
        <w:footnoteRef/>
      </w:r>
      <w:r w:rsidR="00144D20">
        <w:t>.</w:t>
      </w:r>
      <w:r w:rsidR="00144D20">
        <w:tab/>
      </w:r>
      <w:r w:rsidR="0074319B" w:rsidRPr="00156083">
        <w:t xml:space="preserve">IRC Sec. 1(h), as amended by </w:t>
      </w:r>
      <w:r w:rsidR="0074319B">
        <w:t>ATRA</w:t>
      </w:r>
      <w:r w:rsidR="0074319B" w:rsidRPr="00156083">
        <w:t>, Sec. 102</w:t>
      </w:r>
      <w:r w:rsidR="0074319B">
        <w:t>.</w:t>
      </w:r>
    </w:p>
  </w:footnote>
  <w:footnote w:id="4">
    <w:p w:rsidR="003566BE" w:rsidRPr="00156083" w:rsidRDefault="003566BE" w:rsidP="0074319B">
      <w:pPr>
        <w:pStyle w:val="PQ"/>
      </w:pPr>
      <w:r w:rsidRPr="00255005">
        <w:rPr>
          <w:rStyle w:val="FootnoteReference"/>
          <w:vertAlign w:val="baseline"/>
        </w:rPr>
        <w:footnoteRef/>
      </w:r>
      <w:r w:rsidR="00144D20">
        <w:t>.</w:t>
      </w:r>
      <w:r w:rsidR="00144D20">
        <w:tab/>
      </w:r>
      <w:r w:rsidR="0074319B" w:rsidRPr="00156083">
        <w:t>IRC Sec. 1411</w:t>
      </w:r>
      <w:r w:rsidR="0074319B">
        <w:t>.</w:t>
      </w:r>
    </w:p>
  </w:footnote>
  <w:footnote w:id="5">
    <w:p w:rsidR="003566BE" w:rsidRPr="00156083" w:rsidRDefault="003566BE" w:rsidP="0074319B">
      <w:pPr>
        <w:pStyle w:val="PQ"/>
      </w:pPr>
      <w:r w:rsidRPr="00255005">
        <w:rPr>
          <w:rStyle w:val="FootnoteReference"/>
          <w:vertAlign w:val="baseline"/>
        </w:rPr>
        <w:footnoteRef/>
      </w:r>
      <w:r w:rsidR="00144D20">
        <w:t>.</w:t>
      </w:r>
      <w:r w:rsidR="00144D20">
        <w:tab/>
      </w:r>
      <w:r w:rsidR="0074319B" w:rsidRPr="00156083">
        <w:t>IRC Sec. 1(h).</w:t>
      </w:r>
    </w:p>
  </w:footnote>
  <w:footnote w:id="6">
    <w:p w:rsidR="003566BE" w:rsidRPr="00156083" w:rsidRDefault="003566BE" w:rsidP="0074319B">
      <w:pPr>
        <w:pStyle w:val="PQ"/>
      </w:pPr>
      <w:r w:rsidRPr="00255005">
        <w:rPr>
          <w:rStyle w:val="FootnoteReference"/>
          <w:vertAlign w:val="baseline"/>
        </w:rPr>
        <w:footnoteRef/>
      </w:r>
      <w:r w:rsidR="00144D20">
        <w:t>.</w:t>
      </w:r>
      <w:r w:rsidR="00144D20">
        <w:tab/>
      </w:r>
      <w:r w:rsidR="0074319B" w:rsidRPr="00156083">
        <w:t>IRC Secs. 1(h)(2), 1(h)(9), prior to amendment by JGTRRA 2003; JCWAA 2002 Sec. 414(a) and CRTRA 2000 Sec. 314(c), amending TRA ’97 Sec. 311(e).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64A6A74"/>
    <w:multiLevelType w:val="hybridMultilevel"/>
    <w:tmpl w:val="0002C4EA"/>
    <w:lvl w:ilvl="0" w:tplc="72187FA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B1E04D0"/>
    <w:multiLevelType w:val="hybridMultilevel"/>
    <w:tmpl w:val="05C238FA"/>
    <w:lvl w:ilvl="0" w:tplc="0BF2A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084466"/>
    <w:multiLevelType w:val="hybridMultilevel"/>
    <w:tmpl w:val="3404044A"/>
    <w:lvl w:ilvl="0" w:tplc="529A75D0">
      <w:start w:val="4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8"/>
  </w:num>
  <w:num w:numId="2">
    <w:abstractNumId w:val="6"/>
  </w:num>
  <w:num w:numId="3">
    <w:abstractNumId w:val="1"/>
  </w:num>
  <w:num w:numId="4">
    <w:abstractNumId w:val="10"/>
  </w:num>
  <w:num w:numId="5">
    <w:abstractNumId w:val="0"/>
  </w:num>
  <w:num w:numId="6">
    <w:abstractNumId w:val="5"/>
  </w:num>
  <w:num w:numId="7">
    <w:abstractNumId w:val="13"/>
  </w:num>
  <w:num w:numId="8">
    <w:abstractNumId w:val="4"/>
  </w:num>
  <w:num w:numId="9">
    <w:abstractNumId w:val="9"/>
  </w:num>
  <w:num w:numId="10">
    <w:abstractNumId w:val="2"/>
  </w:num>
  <w:num w:numId="11">
    <w:abstractNumId w:val="3"/>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67"/>
    <w:rsid w:val="000364AA"/>
    <w:rsid w:val="00057407"/>
    <w:rsid w:val="000A22B1"/>
    <w:rsid w:val="000A53C2"/>
    <w:rsid w:val="000C1776"/>
    <w:rsid w:val="000F4FD7"/>
    <w:rsid w:val="001018D5"/>
    <w:rsid w:val="00135C9D"/>
    <w:rsid w:val="001409E2"/>
    <w:rsid w:val="00144D20"/>
    <w:rsid w:val="0016358E"/>
    <w:rsid w:val="00170900"/>
    <w:rsid w:val="001C40E6"/>
    <w:rsid w:val="001E64C8"/>
    <w:rsid w:val="001F23E9"/>
    <w:rsid w:val="001F52F4"/>
    <w:rsid w:val="001F73A2"/>
    <w:rsid w:val="00215C3D"/>
    <w:rsid w:val="00255005"/>
    <w:rsid w:val="00271A21"/>
    <w:rsid w:val="002B2E70"/>
    <w:rsid w:val="002C66E0"/>
    <w:rsid w:val="002D4314"/>
    <w:rsid w:val="00307DB9"/>
    <w:rsid w:val="003566BE"/>
    <w:rsid w:val="00366114"/>
    <w:rsid w:val="003702DB"/>
    <w:rsid w:val="004120E2"/>
    <w:rsid w:val="00442416"/>
    <w:rsid w:val="00453AA6"/>
    <w:rsid w:val="00475112"/>
    <w:rsid w:val="00491DE8"/>
    <w:rsid w:val="00494472"/>
    <w:rsid w:val="004B69F3"/>
    <w:rsid w:val="004D5C3E"/>
    <w:rsid w:val="004F216D"/>
    <w:rsid w:val="00525224"/>
    <w:rsid w:val="005443A9"/>
    <w:rsid w:val="0055012A"/>
    <w:rsid w:val="005816C3"/>
    <w:rsid w:val="005963EF"/>
    <w:rsid w:val="005B69B2"/>
    <w:rsid w:val="005D0931"/>
    <w:rsid w:val="006370D0"/>
    <w:rsid w:val="006451B3"/>
    <w:rsid w:val="00672FCA"/>
    <w:rsid w:val="0067311C"/>
    <w:rsid w:val="006767EC"/>
    <w:rsid w:val="006D7FA7"/>
    <w:rsid w:val="006F6498"/>
    <w:rsid w:val="00703A8B"/>
    <w:rsid w:val="00713384"/>
    <w:rsid w:val="00715A46"/>
    <w:rsid w:val="007202C3"/>
    <w:rsid w:val="0074319B"/>
    <w:rsid w:val="007B49AE"/>
    <w:rsid w:val="007B5E18"/>
    <w:rsid w:val="007C495E"/>
    <w:rsid w:val="007D5C29"/>
    <w:rsid w:val="007F0BBA"/>
    <w:rsid w:val="007F4511"/>
    <w:rsid w:val="00816BFC"/>
    <w:rsid w:val="00835B27"/>
    <w:rsid w:val="00871A99"/>
    <w:rsid w:val="00893227"/>
    <w:rsid w:val="008B16D5"/>
    <w:rsid w:val="008C20FB"/>
    <w:rsid w:val="008D3707"/>
    <w:rsid w:val="008D6FC8"/>
    <w:rsid w:val="0092753D"/>
    <w:rsid w:val="00944D3B"/>
    <w:rsid w:val="00976AED"/>
    <w:rsid w:val="009934EF"/>
    <w:rsid w:val="009C5F6E"/>
    <w:rsid w:val="00A02AF1"/>
    <w:rsid w:val="00A1572A"/>
    <w:rsid w:val="00A20C49"/>
    <w:rsid w:val="00A53374"/>
    <w:rsid w:val="00A540B7"/>
    <w:rsid w:val="00A96188"/>
    <w:rsid w:val="00AB7C2B"/>
    <w:rsid w:val="00AE4D8A"/>
    <w:rsid w:val="00AF5D01"/>
    <w:rsid w:val="00B305D3"/>
    <w:rsid w:val="00B31555"/>
    <w:rsid w:val="00B7149F"/>
    <w:rsid w:val="00B86944"/>
    <w:rsid w:val="00BC0EC2"/>
    <w:rsid w:val="00BE09F1"/>
    <w:rsid w:val="00BF3D51"/>
    <w:rsid w:val="00C15AB8"/>
    <w:rsid w:val="00C82361"/>
    <w:rsid w:val="00C979CC"/>
    <w:rsid w:val="00CA2508"/>
    <w:rsid w:val="00CA4932"/>
    <w:rsid w:val="00CD3D7E"/>
    <w:rsid w:val="00CD6002"/>
    <w:rsid w:val="00CF6495"/>
    <w:rsid w:val="00CF6589"/>
    <w:rsid w:val="00D128C3"/>
    <w:rsid w:val="00D223DC"/>
    <w:rsid w:val="00D243A7"/>
    <w:rsid w:val="00D36C53"/>
    <w:rsid w:val="00D45E0D"/>
    <w:rsid w:val="00D81626"/>
    <w:rsid w:val="00DA5370"/>
    <w:rsid w:val="00DA7231"/>
    <w:rsid w:val="00DB236A"/>
    <w:rsid w:val="00DB4974"/>
    <w:rsid w:val="00DE3662"/>
    <w:rsid w:val="00E03171"/>
    <w:rsid w:val="00E25EBE"/>
    <w:rsid w:val="00E728D7"/>
    <w:rsid w:val="00E853E9"/>
    <w:rsid w:val="00E86B42"/>
    <w:rsid w:val="00E86CF5"/>
    <w:rsid w:val="00EA280B"/>
    <w:rsid w:val="00EC07A2"/>
    <w:rsid w:val="00EC7AA5"/>
    <w:rsid w:val="00EE44FD"/>
    <w:rsid w:val="00F274D2"/>
    <w:rsid w:val="00F37136"/>
    <w:rsid w:val="00F4296A"/>
    <w:rsid w:val="00F53618"/>
    <w:rsid w:val="00F91BB1"/>
    <w:rsid w:val="00FA7F04"/>
    <w:rsid w:val="00FB4B66"/>
    <w:rsid w:val="00FC3367"/>
    <w:rsid w:val="00FD458C"/>
    <w:rsid w:val="00FD757B"/>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BE09F1"/>
    <w:rPr>
      <w:rFonts w:ascii="Perpetua Std" w:hAnsi="Perpetua Std"/>
    </w:rPr>
  </w:style>
  <w:style w:type="paragraph" w:styleId="Heading1">
    <w:name w:val="heading 1"/>
    <w:basedOn w:val="Normal"/>
    <w:next w:val="Normal"/>
    <w:link w:val="Heading1Char"/>
    <w:qFormat/>
    <w:rsid w:val="00BE09F1"/>
    <w:pPr>
      <w:keepNext/>
      <w:outlineLvl w:val="0"/>
    </w:pPr>
    <w:rPr>
      <w:b/>
    </w:rPr>
  </w:style>
  <w:style w:type="paragraph" w:styleId="Heading2">
    <w:name w:val="heading 2"/>
    <w:basedOn w:val="Normal"/>
    <w:next w:val="Normal"/>
    <w:link w:val="Heading2Char"/>
    <w:qFormat/>
    <w:rsid w:val="00BE09F1"/>
    <w:pPr>
      <w:keepNext/>
      <w:spacing w:before="240" w:after="60"/>
      <w:outlineLvl w:val="1"/>
    </w:pPr>
    <w:rPr>
      <w:rFonts w:ascii="Arial" w:hAnsi="Arial"/>
      <w:b/>
      <w:i/>
      <w:sz w:val="24"/>
    </w:rPr>
  </w:style>
  <w:style w:type="paragraph" w:styleId="Heading3">
    <w:name w:val="heading 3"/>
    <w:basedOn w:val="Normal"/>
    <w:next w:val="Normal"/>
    <w:link w:val="Heading3Char"/>
    <w:qFormat/>
    <w:rsid w:val="00BE09F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BE09F1"/>
    <w:pPr>
      <w:spacing w:after="240"/>
      <w:jc w:val="both"/>
    </w:pPr>
    <w:rPr>
      <w:rFonts w:ascii="Helvetica LT Std" w:hAnsi="Helvetica LT Std"/>
      <w:b/>
      <w:color w:val="000000"/>
      <w:sz w:val="26"/>
    </w:rPr>
  </w:style>
  <w:style w:type="paragraph" w:customStyle="1" w:styleId="PA">
    <w:name w:val="PA"/>
    <w:next w:val="Normal"/>
    <w:link w:val="PAChar"/>
    <w:rsid w:val="00BE09F1"/>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BE09F1"/>
    <w:rPr>
      <w:rFonts w:ascii="Perpetua Std" w:hAnsi="Perpetua Std"/>
      <w:color w:val="000000"/>
      <w:sz w:val="24"/>
    </w:rPr>
  </w:style>
  <w:style w:type="paragraph" w:customStyle="1" w:styleId="PB">
    <w:name w:val="PB"/>
    <w:rsid w:val="00BE09F1"/>
    <w:pPr>
      <w:spacing w:after="240"/>
      <w:jc w:val="both"/>
    </w:pPr>
    <w:rPr>
      <w:rFonts w:ascii="Perpetua Std" w:hAnsi="Perpetua Std"/>
      <w:color w:val="000000"/>
      <w:sz w:val="24"/>
    </w:rPr>
  </w:style>
  <w:style w:type="paragraph" w:customStyle="1" w:styleId="PC">
    <w:name w:val="PC"/>
    <w:rsid w:val="00BE09F1"/>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BE09F1"/>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BE09F1"/>
    <w:rPr>
      <w:rFonts w:ascii="Adobe Caslon Pro" w:hAnsi="Adobe Caslon Pro"/>
      <w:color w:val="000000"/>
      <w:sz w:val="14"/>
    </w:rPr>
  </w:style>
  <w:style w:type="character" w:styleId="FootnoteReference">
    <w:name w:val="footnote reference"/>
    <w:rsid w:val="00BE09F1"/>
    <w:rPr>
      <w:vertAlign w:val="superscript"/>
    </w:rPr>
  </w:style>
  <w:style w:type="paragraph" w:customStyle="1" w:styleId="HD">
    <w:name w:val="HD"/>
    <w:rsid w:val="00BE09F1"/>
    <w:pPr>
      <w:suppressAutoHyphens/>
      <w:spacing w:before="120"/>
      <w:jc w:val="center"/>
    </w:pPr>
    <w:rPr>
      <w:rFonts w:ascii="Helvetica LT Std" w:hAnsi="Helvetica LT Std"/>
      <w:sz w:val="26"/>
      <w:szCs w:val="18"/>
    </w:rPr>
  </w:style>
  <w:style w:type="paragraph" w:customStyle="1" w:styleId="PN">
    <w:name w:val="PN"/>
    <w:rsid w:val="00BE09F1"/>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BE09F1"/>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BE09F1"/>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BE09F1"/>
    <w:pPr>
      <w:spacing w:before="144"/>
      <w:jc w:val="both"/>
    </w:pPr>
    <w:rPr>
      <w:noProof/>
    </w:rPr>
  </w:style>
  <w:style w:type="paragraph" w:customStyle="1" w:styleId="PD">
    <w:name w:val="PD"/>
    <w:rsid w:val="00BE09F1"/>
    <w:pPr>
      <w:spacing w:after="240"/>
      <w:ind w:left="720" w:firstLine="288"/>
      <w:jc w:val="both"/>
    </w:pPr>
    <w:rPr>
      <w:rFonts w:ascii="Perpetua Std" w:hAnsi="Perpetua Std"/>
      <w:color w:val="000000"/>
      <w:sz w:val="24"/>
    </w:rPr>
  </w:style>
  <w:style w:type="paragraph" w:customStyle="1" w:styleId="PE">
    <w:name w:val="PE"/>
    <w:rsid w:val="00BE09F1"/>
    <w:pPr>
      <w:spacing w:after="240"/>
      <w:ind w:left="720"/>
      <w:jc w:val="both"/>
    </w:pPr>
    <w:rPr>
      <w:rFonts w:ascii="Perpetua Std" w:hAnsi="Perpetua Std"/>
      <w:color w:val="000000"/>
      <w:sz w:val="24"/>
    </w:rPr>
  </w:style>
  <w:style w:type="paragraph" w:customStyle="1" w:styleId="PF">
    <w:name w:val="PF"/>
    <w:rsid w:val="00BE09F1"/>
    <w:pPr>
      <w:tabs>
        <w:tab w:val="left" w:pos="1080"/>
      </w:tabs>
      <w:spacing w:after="240"/>
      <w:ind w:left="1080" w:hanging="360"/>
      <w:jc w:val="both"/>
    </w:pPr>
    <w:rPr>
      <w:rFonts w:ascii="Perpetua Std" w:hAnsi="Perpetua Std"/>
      <w:color w:val="000000"/>
      <w:sz w:val="24"/>
    </w:rPr>
  </w:style>
  <w:style w:type="paragraph" w:customStyle="1" w:styleId="PG">
    <w:name w:val="PG"/>
    <w:rsid w:val="00BE09F1"/>
    <w:pPr>
      <w:spacing w:after="240"/>
      <w:ind w:left="360"/>
      <w:jc w:val="both"/>
    </w:pPr>
    <w:rPr>
      <w:rFonts w:ascii="Perpetua Std" w:hAnsi="Perpetua Std"/>
      <w:color w:val="000000"/>
      <w:sz w:val="24"/>
    </w:rPr>
  </w:style>
  <w:style w:type="paragraph" w:customStyle="1" w:styleId="PH">
    <w:name w:val="PH"/>
    <w:rsid w:val="00BE09F1"/>
    <w:pPr>
      <w:tabs>
        <w:tab w:val="left" w:pos="360"/>
      </w:tabs>
      <w:spacing w:after="240"/>
      <w:ind w:left="360" w:hanging="360"/>
      <w:jc w:val="both"/>
    </w:pPr>
    <w:rPr>
      <w:rFonts w:ascii="Perpetua Std" w:hAnsi="Perpetua Std"/>
      <w:color w:val="000000"/>
      <w:sz w:val="24"/>
    </w:rPr>
  </w:style>
  <w:style w:type="paragraph" w:customStyle="1" w:styleId="PI">
    <w:name w:val="PI"/>
    <w:rsid w:val="00BE09F1"/>
    <w:pPr>
      <w:spacing w:after="240"/>
      <w:ind w:left="360" w:hanging="360"/>
      <w:jc w:val="both"/>
    </w:pPr>
    <w:rPr>
      <w:rFonts w:ascii="Perpetua Std" w:hAnsi="Perpetua Std"/>
      <w:color w:val="000000"/>
      <w:sz w:val="24"/>
    </w:rPr>
  </w:style>
  <w:style w:type="paragraph" w:customStyle="1" w:styleId="PK">
    <w:name w:val="PK"/>
    <w:rsid w:val="00BE09F1"/>
    <w:pPr>
      <w:spacing w:after="240"/>
      <w:ind w:left="360" w:firstLine="288"/>
      <w:jc w:val="both"/>
    </w:pPr>
    <w:rPr>
      <w:rFonts w:ascii="Perpetua Std" w:hAnsi="Perpetua Std"/>
      <w:color w:val="000000"/>
      <w:sz w:val="24"/>
    </w:rPr>
  </w:style>
  <w:style w:type="paragraph" w:customStyle="1" w:styleId="PL">
    <w:name w:val="PL"/>
    <w:rsid w:val="00BE09F1"/>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BE09F1"/>
    <w:pPr>
      <w:spacing w:after="240"/>
      <w:ind w:left="432" w:right="432" w:firstLine="432"/>
      <w:jc w:val="both"/>
    </w:pPr>
    <w:rPr>
      <w:rFonts w:ascii="Minion Pro" w:hAnsi="Minion Pro"/>
    </w:rPr>
  </w:style>
  <w:style w:type="paragraph" w:customStyle="1" w:styleId="TOC">
    <w:name w:val="TOC"/>
    <w:autoRedefine/>
    <w:rsid w:val="00BE09F1"/>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BE09F1"/>
    <w:pPr>
      <w:tabs>
        <w:tab w:val="clear" w:pos="1440"/>
        <w:tab w:val="clear" w:pos="8640"/>
        <w:tab w:val="left" w:pos="240"/>
        <w:tab w:val="left" w:pos="480"/>
        <w:tab w:val="right" w:leader="dot" w:pos="4680"/>
      </w:tabs>
      <w:ind w:left="0" w:firstLine="0"/>
    </w:pPr>
    <w:rPr>
      <w:sz w:val="22"/>
    </w:rPr>
  </w:style>
  <w:style w:type="paragraph" w:customStyle="1" w:styleId="PP">
    <w:name w:val="PP"/>
    <w:rsid w:val="00BE09F1"/>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BE09F1"/>
    <w:pPr>
      <w:spacing w:before="120" w:after="120"/>
      <w:jc w:val="center"/>
    </w:pPr>
    <w:rPr>
      <w:rFonts w:ascii="Helvetica LT Std" w:hAnsi="Helvetica LT Std"/>
      <w:sz w:val="24"/>
    </w:rPr>
  </w:style>
  <w:style w:type="table" w:styleId="TableGrid">
    <w:name w:val="Table Grid"/>
    <w:basedOn w:val="TableNormal"/>
    <w:rsid w:val="00BE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BE09F1"/>
    <w:pPr>
      <w:spacing w:after="240"/>
      <w:jc w:val="center"/>
    </w:pPr>
    <w:rPr>
      <w:rFonts w:ascii="Helvetica LT Std" w:hAnsi="Helvetica LT Std"/>
      <w:b/>
      <w:caps/>
      <w:color w:val="000000"/>
      <w:sz w:val="36"/>
      <w:szCs w:val="32"/>
    </w:rPr>
  </w:style>
  <w:style w:type="paragraph" w:customStyle="1" w:styleId="HB">
    <w:name w:val="HB"/>
    <w:rsid w:val="00BE09F1"/>
    <w:pPr>
      <w:spacing w:before="120" w:after="240"/>
      <w:jc w:val="center"/>
    </w:pPr>
    <w:rPr>
      <w:rFonts w:ascii="Helvetica LT Std" w:hAnsi="Helvetica LT Std"/>
      <w:b/>
      <w:color w:val="5F5F5F"/>
      <w:w w:val="105"/>
      <w:sz w:val="32"/>
    </w:rPr>
  </w:style>
  <w:style w:type="paragraph" w:customStyle="1" w:styleId="HC">
    <w:name w:val="HC"/>
    <w:autoRedefine/>
    <w:rsid w:val="00BE09F1"/>
    <w:pPr>
      <w:tabs>
        <w:tab w:val="left" w:pos="284"/>
      </w:tabs>
      <w:spacing w:before="120" w:after="120"/>
      <w:jc w:val="center"/>
    </w:pPr>
    <w:rPr>
      <w:rFonts w:ascii="Helvetica LT Std" w:hAnsi="Helvetica LT Std"/>
      <w:b/>
      <w:color w:val="000000"/>
      <w:w w:val="110"/>
      <w:sz w:val="26"/>
    </w:rPr>
  </w:style>
  <w:style w:type="paragraph" w:customStyle="1" w:styleId="PR">
    <w:name w:val="PR"/>
    <w:rsid w:val="00BE09F1"/>
    <w:pPr>
      <w:spacing w:after="240"/>
      <w:ind w:left="360" w:firstLine="288"/>
      <w:jc w:val="both"/>
    </w:pPr>
    <w:rPr>
      <w:rFonts w:ascii="Adobe Caslon Pro" w:hAnsi="Adobe Caslon Pro"/>
      <w:color w:val="000000"/>
      <w:sz w:val="14"/>
    </w:rPr>
  </w:style>
  <w:style w:type="paragraph" w:customStyle="1" w:styleId="PO">
    <w:name w:val="PO"/>
    <w:rsid w:val="00BE09F1"/>
    <w:pPr>
      <w:spacing w:after="240"/>
      <w:jc w:val="both"/>
    </w:pPr>
    <w:rPr>
      <w:rFonts w:ascii="Perpetua Std" w:hAnsi="Perpetua Std"/>
      <w:color w:val="000000"/>
      <w:w w:val="95"/>
      <w:szCs w:val="16"/>
    </w:rPr>
  </w:style>
  <w:style w:type="paragraph" w:customStyle="1" w:styleId="GUIDEX">
    <w:name w:val="GUIDEX"/>
    <w:rsid w:val="00BE09F1"/>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BE09F1"/>
    <w:pPr>
      <w:tabs>
        <w:tab w:val="clear" w:pos="240"/>
        <w:tab w:val="clear" w:pos="480"/>
        <w:tab w:val="clear" w:pos="720"/>
        <w:tab w:val="right" w:pos="4680"/>
      </w:tabs>
    </w:pPr>
  </w:style>
  <w:style w:type="paragraph" w:customStyle="1" w:styleId="PCB">
    <w:name w:val="PCB"/>
    <w:autoRedefine/>
    <w:rsid w:val="00BE09F1"/>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BE09F1"/>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BE09F1"/>
    <w:rPr>
      <w:rFonts w:ascii="Perpetua Std" w:hAnsi="Perpetua Std"/>
    </w:rPr>
  </w:style>
  <w:style w:type="paragraph" w:styleId="NoSpacing">
    <w:name w:val="No Spacing"/>
    <w:qFormat/>
    <w:rsid w:val="00BE09F1"/>
    <w:rPr>
      <w:rFonts w:ascii="Perpetua" w:hAnsi="Perpetua"/>
    </w:rPr>
  </w:style>
  <w:style w:type="paragraph" w:customStyle="1" w:styleId="PCA">
    <w:name w:val="PCA"/>
    <w:rsid w:val="00BE09F1"/>
    <w:pPr>
      <w:numPr>
        <w:numId w:val="13"/>
      </w:numPr>
      <w:tabs>
        <w:tab w:val="left" w:pos="720"/>
      </w:tabs>
      <w:spacing w:after="240"/>
      <w:jc w:val="both"/>
    </w:pPr>
    <w:rPr>
      <w:rFonts w:ascii="Perpetua Std" w:hAnsi="Perpetua Std"/>
      <w:sz w:val="24"/>
    </w:rPr>
  </w:style>
  <w:style w:type="paragraph" w:customStyle="1" w:styleId="PHB">
    <w:name w:val="PHB"/>
    <w:rsid w:val="00BE09F1"/>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BE09F1"/>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BE09F1"/>
    <w:rPr>
      <w:rFonts w:ascii="Perpetua Std" w:hAnsi="Perpetua Std"/>
    </w:rPr>
  </w:style>
  <w:style w:type="paragraph" w:styleId="Heading1">
    <w:name w:val="heading 1"/>
    <w:basedOn w:val="Normal"/>
    <w:next w:val="Normal"/>
    <w:link w:val="Heading1Char"/>
    <w:qFormat/>
    <w:rsid w:val="00BE09F1"/>
    <w:pPr>
      <w:keepNext/>
      <w:outlineLvl w:val="0"/>
    </w:pPr>
    <w:rPr>
      <w:b/>
    </w:rPr>
  </w:style>
  <w:style w:type="paragraph" w:styleId="Heading2">
    <w:name w:val="heading 2"/>
    <w:basedOn w:val="Normal"/>
    <w:next w:val="Normal"/>
    <w:link w:val="Heading2Char"/>
    <w:qFormat/>
    <w:rsid w:val="00BE09F1"/>
    <w:pPr>
      <w:keepNext/>
      <w:spacing w:before="240" w:after="60"/>
      <w:outlineLvl w:val="1"/>
    </w:pPr>
    <w:rPr>
      <w:rFonts w:ascii="Arial" w:hAnsi="Arial"/>
      <w:b/>
      <w:i/>
      <w:sz w:val="24"/>
    </w:rPr>
  </w:style>
  <w:style w:type="paragraph" w:styleId="Heading3">
    <w:name w:val="heading 3"/>
    <w:basedOn w:val="Normal"/>
    <w:next w:val="Normal"/>
    <w:link w:val="Heading3Char"/>
    <w:qFormat/>
    <w:rsid w:val="00BE09F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BE09F1"/>
    <w:pPr>
      <w:spacing w:after="240"/>
      <w:jc w:val="both"/>
    </w:pPr>
    <w:rPr>
      <w:rFonts w:ascii="Helvetica LT Std" w:hAnsi="Helvetica LT Std"/>
      <w:b/>
      <w:color w:val="000000"/>
      <w:sz w:val="26"/>
    </w:rPr>
  </w:style>
  <w:style w:type="paragraph" w:customStyle="1" w:styleId="PA">
    <w:name w:val="PA"/>
    <w:next w:val="Normal"/>
    <w:link w:val="PAChar"/>
    <w:rsid w:val="00BE09F1"/>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BE09F1"/>
    <w:rPr>
      <w:rFonts w:ascii="Perpetua Std" w:hAnsi="Perpetua Std"/>
      <w:color w:val="000000"/>
      <w:sz w:val="24"/>
    </w:rPr>
  </w:style>
  <w:style w:type="paragraph" w:customStyle="1" w:styleId="PB">
    <w:name w:val="PB"/>
    <w:rsid w:val="00BE09F1"/>
    <w:pPr>
      <w:spacing w:after="240"/>
      <w:jc w:val="both"/>
    </w:pPr>
    <w:rPr>
      <w:rFonts w:ascii="Perpetua Std" w:hAnsi="Perpetua Std"/>
      <w:color w:val="000000"/>
      <w:sz w:val="24"/>
    </w:rPr>
  </w:style>
  <w:style w:type="paragraph" w:customStyle="1" w:styleId="PC">
    <w:name w:val="PC"/>
    <w:rsid w:val="00BE09F1"/>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BE09F1"/>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BE09F1"/>
    <w:rPr>
      <w:rFonts w:ascii="Adobe Caslon Pro" w:hAnsi="Adobe Caslon Pro"/>
      <w:color w:val="000000"/>
      <w:sz w:val="14"/>
    </w:rPr>
  </w:style>
  <w:style w:type="character" w:styleId="FootnoteReference">
    <w:name w:val="footnote reference"/>
    <w:rsid w:val="00BE09F1"/>
    <w:rPr>
      <w:vertAlign w:val="superscript"/>
    </w:rPr>
  </w:style>
  <w:style w:type="paragraph" w:customStyle="1" w:styleId="HD">
    <w:name w:val="HD"/>
    <w:rsid w:val="00BE09F1"/>
    <w:pPr>
      <w:suppressAutoHyphens/>
      <w:spacing w:before="120"/>
      <w:jc w:val="center"/>
    </w:pPr>
    <w:rPr>
      <w:rFonts w:ascii="Helvetica LT Std" w:hAnsi="Helvetica LT Std"/>
      <w:sz w:val="26"/>
      <w:szCs w:val="18"/>
    </w:rPr>
  </w:style>
  <w:style w:type="paragraph" w:customStyle="1" w:styleId="PN">
    <w:name w:val="PN"/>
    <w:rsid w:val="00BE09F1"/>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BE09F1"/>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BE09F1"/>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BE09F1"/>
    <w:pPr>
      <w:spacing w:before="144"/>
      <w:jc w:val="both"/>
    </w:pPr>
    <w:rPr>
      <w:noProof/>
    </w:rPr>
  </w:style>
  <w:style w:type="paragraph" w:customStyle="1" w:styleId="PD">
    <w:name w:val="PD"/>
    <w:rsid w:val="00BE09F1"/>
    <w:pPr>
      <w:spacing w:after="240"/>
      <w:ind w:left="720" w:firstLine="288"/>
      <w:jc w:val="both"/>
    </w:pPr>
    <w:rPr>
      <w:rFonts w:ascii="Perpetua Std" w:hAnsi="Perpetua Std"/>
      <w:color w:val="000000"/>
      <w:sz w:val="24"/>
    </w:rPr>
  </w:style>
  <w:style w:type="paragraph" w:customStyle="1" w:styleId="PE">
    <w:name w:val="PE"/>
    <w:rsid w:val="00BE09F1"/>
    <w:pPr>
      <w:spacing w:after="240"/>
      <w:ind w:left="720"/>
      <w:jc w:val="both"/>
    </w:pPr>
    <w:rPr>
      <w:rFonts w:ascii="Perpetua Std" w:hAnsi="Perpetua Std"/>
      <w:color w:val="000000"/>
      <w:sz w:val="24"/>
    </w:rPr>
  </w:style>
  <w:style w:type="paragraph" w:customStyle="1" w:styleId="PF">
    <w:name w:val="PF"/>
    <w:rsid w:val="00BE09F1"/>
    <w:pPr>
      <w:tabs>
        <w:tab w:val="left" w:pos="1080"/>
      </w:tabs>
      <w:spacing w:after="240"/>
      <w:ind w:left="1080" w:hanging="360"/>
      <w:jc w:val="both"/>
    </w:pPr>
    <w:rPr>
      <w:rFonts w:ascii="Perpetua Std" w:hAnsi="Perpetua Std"/>
      <w:color w:val="000000"/>
      <w:sz w:val="24"/>
    </w:rPr>
  </w:style>
  <w:style w:type="paragraph" w:customStyle="1" w:styleId="PG">
    <w:name w:val="PG"/>
    <w:rsid w:val="00BE09F1"/>
    <w:pPr>
      <w:spacing w:after="240"/>
      <w:ind w:left="360"/>
      <w:jc w:val="both"/>
    </w:pPr>
    <w:rPr>
      <w:rFonts w:ascii="Perpetua Std" w:hAnsi="Perpetua Std"/>
      <w:color w:val="000000"/>
      <w:sz w:val="24"/>
    </w:rPr>
  </w:style>
  <w:style w:type="paragraph" w:customStyle="1" w:styleId="PH">
    <w:name w:val="PH"/>
    <w:rsid w:val="00BE09F1"/>
    <w:pPr>
      <w:tabs>
        <w:tab w:val="left" w:pos="360"/>
      </w:tabs>
      <w:spacing w:after="240"/>
      <w:ind w:left="360" w:hanging="360"/>
      <w:jc w:val="both"/>
    </w:pPr>
    <w:rPr>
      <w:rFonts w:ascii="Perpetua Std" w:hAnsi="Perpetua Std"/>
      <w:color w:val="000000"/>
      <w:sz w:val="24"/>
    </w:rPr>
  </w:style>
  <w:style w:type="paragraph" w:customStyle="1" w:styleId="PI">
    <w:name w:val="PI"/>
    <w:rsid w:val="00BE09F1"/>
    <w:pPr>
      <w:spacing w:after="240"/>
      <w:ind w:left="360" w:hanging="360"/>
      <w:jc w:val="both"/>
    </w:pPr>
    <w:rPr>
      <w:rFonts w:ascii="Perpetua Std" w:hAnsi="Perpetua Std"/>
      <w:color w:val="000000"/>
      <w:sz w:val="24"/>
    </w:rPr>
  </w:style>
  <w:style w:type="paragraph" w:customStyle="1" w:styleId="PK">
    <w:name w:val="PK"/>
    <w:rsid w:val="00BE09F1"/>
    <w:pPr>
      <w:spacing w:after="240"/>
      <w:ind w:left="360" w:firstLine="288"/>
      <w:jc w:val="both"/>
    </w:pPr>
    <w:rPr>
      <w:rFonts w:ascii="Perpetua Std" w:hAnsi="Perpetua Std"/>
      <w:color w:val="000000"/>
      <w:sz w:val="24"/>
    </w:rPr>
  </w:style>
  <w:style w:type="paragraph" w:customStyle="1" w:styleId="PL">
    <w:name w:val="PL"/>
    <w:rsid w:val="00BE09F1"/>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BE09F1"/>
    <w:pPr>
      <w:spacing w:after="240"/>
      <w:ind w:left="432" w:right="432" w:firstLine="432"/>
      <w:jc w:val="both"/>
    </w:pPr>
    <w:rPr>
      <w:rFonts w:ascii="Minion Pro" w:hAnsi="Minion Pro"/>
    </w:rPr>
  </w:style>
  <w:style w:type="paragraph" w:customStyle="1" w:styleId="TOC">
    <w:name w:val="TOC"/>
    <w:autoRedefine/>
    <w:rsid w:val="00BE09F1"/>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BE09F1"/>
    <w:pPr>
      <w:tabs>
        <w:tab w:val="clear" w:pos="1440"/>
        <w:tab w:val="clear" w:pos="8640"/>
        <w:tab w:val="left" w:pos="240"/>
        <w:tab w:val="left" w:pos="480"/>
        <w:tab w:val="right" w:leader="dot" w:pos="4680"/>
      </w:tabs>
      <w:ind w:left="0" w:firstLine="0"/>
    </w:pPr>
    <w:rPr>
      <w:sz w:val="22"/>
    </w:rPr>
  </w:style>
  <w:style w:type="paragraph" w:customStyle="1" w:styleId="PP">
    <w:name w:val="PP"/>
    <w:rsid w:val="00BE09F1"/>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BE09F1"/>
    <w:pPr>
      <w:spacing w:before="120" w:after="120"/>
      <w:jc w:val="center"/>
    </w:pPr>
    <w:rPr>
      <w:rFonts w:ascii="Helvetica LT Std" w:hAnsi="Helvetica LT Std"/>
      <w:sz w:val="24"/>
    </w:rPr>
  </w:style>
  <w:style w:type="table" w:styleId="TableGrid">
    <w:name w:val="Table Grid"/>
    <w:basedOn w:val="TableNormal"/>
    <w:rsid w:val="00BE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BE09F1"/>
    <w:pPr>
      <w:spacing w:after="240"/>
      <w:jc w:val="center"/>
    </w:pPr>
    <w:rPr>
      <w:rFonts w:ascii="Helvetica LT Std" w:hAnsi="Helvetica LT Std"/>
      <w:b/>
      <w:caps/>
      <w:color w:val="000000"/>
      <w:sz w:val="36"/>
      <w:szCs w:val="32"/>
    </w:rPr>
  </w:style>
  <w:style w:type="paragraph" w:customStyle="1" w:styleId="HB">
    <w:name w:val="HB"/>
    <w:rsid w:val="00BE09F1"/>
    <w:pPr>
      <w:spacing w:before="120" w:after="240"/>
      <w:jc w:val="center"/>
    </w:pPr>
    <w:rPr>
      <w:rFonts w:ascii="Helvetica LT Std" w:hAnsi="Helvetica LT Std"/>
      <w:b/>
      <w:color w:val="5F5F5F"/>
      <w:w w:val="105"/>
      <w:sz w:val="32"/>
    </w:rPr>
  </w:style>
  <w:style w:type="paragraph" w:customStyle="1" w:styleId="HC">
    <w:name w:val="HC"/>
    <w:autoRedefine/>
    <w:rsid w:val="00BE09F1"/>
    <w:pPr>
      <w:tabs>
        <w:tab w:val="left" w:pos="284"/>
      </w:tabs>
      <w:spacing w:before="120" w:after="120"/>
      <w:jc w:val="center"/>
    </w:pPr>
    <w:rPr>
      <w:rFonts w:ascii="Helvetica LT Std" w:hAnsi="Helvetica LT Std"/>
      <w:b/>
      <w:color w:val="000000"/>
      <w:w w:val="110"/>
      <w:sz w:val="26"/>
    </w:rPr>
  </w:style>
  <w:style w:type="paragraph" w:customStyle="1" w:styleId="PR">
    <w:name w:val="PR"/>
    <w:rsid w:val="00BE09F1"/>
    <w:pPr>
      <w:spacing w:after="240"/>
      <w:ind w:left="360" w:firstLine="288"/>
      <w:jc w:val="both"/>
    </w:pPr>
    <w:rPr>
      <w:rFonts w:ascii="Adobe Caslon Pro" w:hAnsi="Adobe Caslon Pro"/>
      <w:color w:val="000000"/>
      <w:sz w:val="14"/>
    </w:rPr>
  </w:style>
  <w:style w:type="paragraph" w:customStyle="1" w:styleId="PO">
    <w:name w:val="PO"/>
    <w:rsid w:val="00BE09F1"/>
    <w:pPr>
      <w:spacing w:after="240"/>
      <w:jc w:val="both"/>
    </w:pPr>
    <w:rPr>
      <w:rFonts w:ascii="Perpetua Std" w:hAnsi="Perpetua Std"/>
      <w:color w:val="000000"/>
      <w:w w:val="95"/>
      <w:szCs w:val="16"/>
    </w:rPr>
  </w:style>
  <w:style w:type="paragraph" w:customStyle="1" w:styleId="GUIDEX">
    <w:name w:val="GUIDEX"/>
    <w:rsid w:val="00BE09F1"/>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BE09F1"/>
    <w:pPr>
      <w:tabs>
        <w:tab w:val="clear" w:pos="240"/>
        <w:tab w:val="clear" w:pos="480"/>
        <w:tab w:val="clear" w:pos="720"/>
        <w:tab w:val="right" w:pos="4680"/>
      </w:tabs>
    </w:pPr>
  </w:style>
  <w:style w:type="paragraph" w:customStyle="1" w:styleId="PCB">
    <w:name w:val="PCB"/>
    <w:autoRedefine/>
    <w:rsid w:val="00BE09F1"/>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BE09F1"/>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BE09F1"/>
    <w:rPr>
      <w:rFonts w:ascii="Perpetua Std" w:hAnsi="Perpetua Std"/>
    </w:rPr>
  </w:style>
  <w:style w:type="paragraph" w:styleId="NoSpacing">
    <w:name w:val="No Spacing"/>
    <w:qFormat/>
    <w:rsid w:val="00BE09F1"/>
    <w:rPr>
      <w:rFonts w:ascii="Perpetua" w:hAnsi="Perpetua"/>
    </w:rPr>
  </w:style>
  <w:style w:type="paragraph" w:customStyle="1" w:styleId="PCA">
    <w:name w:val="PCA"/>
    <w:rsid w:val="00BE09F1"/>
    <w:pPr>
      <w:numPr>
        <w:numId w:val="13"/>
      </w:numPr>
      <w:tabs>
        <w:tab w:val="left" w:pos="720"/>
      </w:tabs>
      <w:spacing w:after="240"/>
      <w:jc w:val="both"/>
    </w:pPr>
    <w:rPr>
      <w:rFonts w:ascii="Perpetua Std" w:hAnsi="Perpetua Std"/>
      <w:sz w:val="24"/>
    </w:rPr>
  </w:style>
  <w:style w:type="paragraph" w:customStyle="1" w:styleId="PHB">
    <w:name w:val="PHB"/>
    <w:rsid w:val="00BE09F1"/>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BE09F1"/>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0552">
      <w:bodyDiv w:val="1"/>
      <w:marLeft w:val="0"/>
      <w:marRight w:val="0"/>
      <w:marTop w:val="0"/>
      <w:marBottom w:val="0"/>
      <w:divBdr>
        <w:top w:val="none" w:sz="0" w:space="0" w:color="auto"/>
        <w:left w:val="none" w:sz="0" w:space="0" w:color="auto"/>
        <w:bottom w:val="none" w:sz="0" w:space="0" w:color="auto"/>
        <w:right w:val="none" w:sz="0" w:space="0" w:color="auto"/>
      </w:divBdr>
      <w:divsChild>
        <w:div w:id="130700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787751">
      <w:bodyDiv w:val="1"/>
      <w:marLeft w:val="0"/>
      <w:marRight w:val="0"/>
      <w:marTop w:val="0"/>
      <w:marBottom w:val="0"/>
      <w:divBdr>
        <w:top w:val="none" w:sz="0" w:space="0" w:color="auto"/>
        <w:left w:val="none" w:sz="0" w:space="0" w:color="auto"/>
        <w:bottom w:val="none" w:sz="0" w:space="0" w:color="auto"/>
        <w:right w:val="none" w:sz="0" w:space="0" w:color="auto"/>
      </w:divBdr>
    </w:div>
    <w:div w:id="561211357">
      <w:bodyDiv w:val="1"/>
      <w:marLeft w:val="0"/>
      <w:marRight w:val="0"/>
      <w:marTop w:val="0"/>
      <w:marBottom w:val="0"/>
      <w:divBdr>
        <w:top w:val="none" w:sz="0" w:space="0" w:color="auto"/>
        <w:left w:val="none" w:sz="0" w:space="0" w:color="auto"/>
        <w:bottom w:val="none" w:sz="0" w:space="0" w:color="auto"/>
        <w:right w:val="none" w:sz="0" w:space="0" w:color="auto"/>
      </w:divBdr>
    </w:div>
    <w:div w:id="622620511">
      <w:bodyDiv w:val="1"/>
      <w:marLeft w:val="0"/>
      <w:marRight w:val="0"/>
      <w:marTop w:val="0"/>
      <w:marBottom w:val="0"/>
      <w:divBdr>
        <w:top w:val="none" w:sz="0" w:space="0" w:color="auto"/>
        <w:left w:val="none" w:sz="0" w:space="0" w:color="auto"/>
        <w:bottom w:val="none" w:sz="0" w:space="0" w:color="auto"/>
        <w:right w:val="none" w:sz="0" w:space="0" w:color="auto"/>
      </w:divBdr>
    </w:div>
    <w:div w:id="756366267">
      <w:bodyDiv w:val="1"/>
      <w:marLeft w:val="0"/>
      <w:marRight w:val="0"/>
      <w:marTop w:val="0"/>
      <w:marBottom w:val="0"/>
      <w:divBdr>
        <w:top w:val="none" w:sz="0" w:space="0" w:color="auto"/>
        <w:left w:val="none" w:sz="0" w:space="0" w:color="auto"/>
        <w:bottom w:val="none" w:sz="0" w:space="0" w:color="auto"/>
        <w:right w:val="none" w:sz="0" w:space="0" w:color="auto"/>
      </w:divBdr>
    </w:div>
    <w:div w:id="766072808">
      <w:bodyDiv w:val="1"/>
      <w:marLeft w:val="0"/>
      <w:marRight w:val="0"/>
      <w:marTop w:val="0"/>
      <w:marBottom w:val="0"/>
      <w:divBdr>
        <w:top w:val="none" w:sz="0" w:space="0" w:color="auto"/>
        <w:left w:val="none" w:sz="0" w:space="0" w:color="auto"/>
        <w:bottom w:val="none" w:sz="0" w:space="0" w:color="auto"/>
        <w:right w:val="none" w:sz="0" w:space="0" w:color="auto"/>
      </w:divBdr>
    </w:div>
    <w:div w:id="770050089">
      <w:bodyDiv w:val="1"/>
      <w:marLeft w:val="0"/>
      <w:marRight w:val="0"/>
      <w:marTop w:val="0"/>
      <w:marBottom w:val="0"/>
      <w:divBdr>
        <w:top w:val="none" w:sz="0" w:space="0" w:color="auto"/>
        <w:left w:val="none" w:sz="0" w:space="0" w:color="auto"/>
        <w:bottom w:val="none" w:sz="0" w:space="0" w:color="auto"/>
        <w:right w:val="none" w:sz="0" w:space="0" w:color="auto"/>
      </w:divBdr>
      <w:divsChild>
        <w:div w:id="192965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992362">
      <w:bodyDiv w:val="1"/>
      <w:marLeft w:val="0"/>
      <w:marRight w:val="0"/>
      <w:marTop w:val="0"/>
      <w:marBottom w:val="0"/>
      <w:divBdr>
        <w:top w:val="none" w:sz="0" w:space="0" w:color="auto"/>
        <w:left w:val="none" w:sz="0" w:space="0" w:color="auto"/>
        <w:bottom w:val="none" w:sz="0" w:space="0" w:color="auto"/>
        <w:right w:val="none" w:sz="0" w:space="0" w:color="auto"/>
      </w:divBdr>
      <w:divsChild>
        <w:div w:id="28778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3003">
      <w:bodyDiv w:val="1"/>
      <w:marLeft w:val="0"/>
      <w:marRight w:val="0"/>
      <w:marTop w:val="0"/>
      <w:marBottom w:val="0"/>
      <w:divBdr>
        <w:top w:val="none" w:sz="0" w:space="0" w:color="auto"/>
        <w:left w:val="none" w:sz="0" w:space="0" w:color="auto"/>
        <w:bottom w:val="none" w:sz="0" w:space="0" w:color="auto"/>
        <w:right w:val="none" w:sz="0" w:space="0" w:color="auto"/>
      </w:divBdr>
    </w:div>
    <w:div w:id="1183056715">
      <w:bodyDiv w:val="1"/>
      <w:marLeft w:val="0"/>
      <w:marRight w:val="0"/>
      <w:marTop w:val="0"/>
      <w:marBottom w:val="0"/>
      <w:divBdr>
        <w:top w:val="none" w:sz="0" w:space="0" w:color="auto"/>
        <w:left w:val="none" w:sz="0" w:space="0" w:color="auto"/>
        <w:bottom w:val="none" w:sz="0" w:space="0" w:color="auto"/>
        <w:right w:val="none" w:sz="0" w:space="0" w:color="auto"/>
      </w:divBdr>
    </w:div>
    <w:div w:id="1393651878">
      <w:bodyDiv w:val="1"/>
      <w:marLeft w:val="0"/>
      <w:marRight w:val="0"/>
      <w:marTop w:val="0"/>
      <w:marBottom w:val="0"/>
      <w:divBdr>
        <w:top w:val="none" w:sz="0" w:space="0" w:color="auto"/>
        <w:left w:val="none" w:sz="0" w:space="0" w:color="auto"/>
        <w:bottom w:val="none" w:sz="0" w:space="0" w:color="auto"/>
        <w:right w:val="none" w:sz="0" w:space="0" w:color="auto"/>
      </w:divBdr>
    </w:div>
    <w:div w:id="1441680622">
      <w:bodyDiv w:val="1"/>
      <w:marLeft w:val="0"/>
      <w:marRight w:val="0"/>
      <w:marTop w:val="0"/>
      <w:marBottom w:val="0"/>
      <w:divBdr>
        <w:top w:val="none" w:sz="0" w:space="0" w:color="auto"/>
        <w:left w:val="none" w:sz="0" w:space="0" w:color="auto"/>
        <w:bottom w:val="none" w:sz="0" w:space="0" w:color="auto"/>
        <w:right w:val="none" w:sz="0" w:space="0" w:color="auto"/>
      </w:divBdr>
    </w:div>
    <w:div w:id="1466045711">
      <w:bodyDiv w:val="1"/>
      <w:marLeft w:val="0"/>
      <w:marRight w:val="0"/>
      <w:marTop w:val="0"/>
      <w:marBottom w:val="0"/>
      <w:divBdr>
        <w:top w:val="none" w:sz="0" w:space="0" w:color="auto"/>
        <w:left w:val="none" w:sz="0" w:space="0" w:color="auto"/>
        <w:bottom w:val="none" w:sz="0" w:space="0" w:color="auto"/>
        <w:right w:val="none" w:sz="0" w:space="0" w:color="auto"/>
      </w:divBdr>
    </w:div>
    <w:div w:id="1491601637">
      <w:bodyDiv w:val="1"/>
      <w:marLeft w:val="0"/>
      <w:marRight w:val="0"/>
      <w:marTop w:val="0"/>
      <w:marBottom w:val="0"/>
      <w:divBdr>
        <w:top w:val="none" w:sz="0" w:space="0" w:color="auto"/>
        <w:left w:val="none" w:sz="0" w:space="0" w:color="auto"/>
        <w:bottom w:val="none" w:sz="0" w:space="0" w:color="auto"/>
        <w:right w:val="none" w:sz="0" w:space="0" w:color="auto"/>
      </w:divBdr>
    </w:div>
    <w:div w:id="1492524510">
      <w:bodyDiv w:val="1"/>
      <w:marLeft w:val="0"/>
      <w:marRight w:val="0"/>
      <w:marTop w:val="0"/>
      <w:marBottom w:val="0"/>
      <w:divBdr>
        <w:top w:val="none" w:sz="0" w:space="0" w:color="auto"/>
        <w:left w:val="none" w:sz="0" w:space="0" w:color="auto"/>
        <w:bottom w:val="none" w:sz="0" w:space="0" w:color="auto"/>
        <w:right w:val="none" w:sz="0" w:space="0" w:color="auto"/>
      </w:divBdr>
    </w:div>
    <w:div w:id="1499464918">
      <w:bodyDiv w:val="1"/>
      <w:marLeft w:val="0"/>
      <w:marRight w:val="0"/>
      <w:marTop w:val="0"/>
      <w:marBottom w:val="0"/>
      <w:divBdr>
        <w:top w:val="none" w:sz="0" w:space="0" w:color="auto"/>
        <w:left w:val="none" w:sz="0" w:space="0" w:color="auto"/>
        <w:bottom w:val="none" w:sz="0" w:space="0" w:color="auto"/>
        <w:right w:val="none" w:sz="0" w:space="0" w:color="auto"/>
      </w:divBdr>
    </w:div>
    <w:div w:id="1589926582">
      <w:bodyDiv w:val="1"/>
      <w:marLeft w:val="0"/>
      <w:marRight w:val="0"/>
      <w:marTop w:val="0"/>
      <w:marBottom w:val="0"/>
      <w:divBdr>
        <w:top w:val="none" w:sz="0" w:space="0" w:color="auto"/>
        <w:left w:val="none" w:sz="0" w:space="0" w:color="auto"/>
        <w:bottom w:val="none" w:sz="0" w:space="0" w:color="auto"/>
        <w:right w:val="none" w:sz="0" w:space="0" w:color="auto"/>
      </w:divBdr>
      <w:divsChild>
        <w:div w:id="70059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981397">
      <w:bodyDiv w:val="1"/>
      <w:marLeft w:val="0"/>
      <w:marRight w:val="0"/>
      <w:marTop w:val="0"/>
      <w:marBottom w:val="0"/>
      <w:divBdr>
        <w:top w:val="none" w:sz="0" w:space="0" w:color="auto"/>
        <w:left w:val="none" w:sz="0" w:space="0" w:color="auto"/>
        <w:bottom w:val="none" w:sz="0" w:space="0" w:color="auto"/>
        <w:right w:val="none" w:sz="0" w:space="0" w:color="auto"/>
      </w:divBdr>
    </w:div>
    <w:div w:id="1830051275">
      <w:bodyDiv w:val="1"/>
      <w:marLeft w:val="0"/>
      <w:marRight w:val="0"/>
      <w:marTop w:val="0"/>
      <w:marBottom w:val="0"/>
      <w:divBdr>
        <w:top w:val="none" w:sz="0" w:space="0" w:color="auto"/>
        <w:left w:val="none" w:sz="0" w:space="0" w:color="auto"/>
        <w:bottom w:val="none" w:sz="0" w:space="0" w:color="auto"/>
        <w:right w:val="none" w:sz="0" w:space="0" w:color="auto"/>
      </w:divBdr>
    </w:div>
    <w:div w:id="1995641455">
      <w:bodyDiv w:val="1"/>
      <w:marLeft w:val="0"/>
      <w:marRight w:val="0"/>
      <w:marTop w:val="0"/>
      <w:marBottom w:val="0"/>
      <w:divBdr>
        <w:top w:val="none" w:sz="0" w:space="0" w:color="auto"/>
        <w:left w:val="none" w:sz="0" w:space="0" w:color="auto"/>
        <w:bottom w:val="none" w:sz="0" w:space="0" w:color="auto"/>
        <w:right w:val="none" w:sz="0" w:space="0" w:color="auto"/>
      </w:divBdr>
      <w:divsChild>
        <w:div w:id="186489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220234">
      <w:bodyDiv w:val="1"/>
      <w:marLeft w:val="0"/>
      <w:marRight w:val="0"/>
      <w:marTop w:val="0"/>
      <w:marBottom w:val="0"/>
      <w:divBdr>
        <w:top w:val="none" w:sz="0" w:space="0" w:color="auto"/>
        <w:left w:val="none" w:sz="0" w:space="0" w:color="auto"/>
        <w:bottom w:val="none" w:sz="0" w:space="0" w:color="auto"/>
        <w:right w:val="none" w:sz="0" w:space="0" w:color="auto"/>
      </w:divBdr>
    </w:div>
    <w:div w:id="2096631146">
      <w:bodyDiv w:val="1"/>
      <w:marLeft w:val="0"/>
      <w:marRight w:val="0"/>
      <w:marTop w:val="0"/>
      <w:marBottom w:val="0"/>
      <w:divBdr>
        <w:top w:val="none" w:sz="0" w:space="0" w:color="auto"/>
        <w:left w:val="none" w:sz="0" w:space="0" w:color="auto"/>
        <w:bottom w:val="none" w:sz="0" w:space="0" w:color="auto"/>
        <w:right w:val="none" w:sz="0" w:space="0" w:color="auto"/>
      </w:divBdr>
      <w:divsChild>
        <w:div w:id="139966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8547. What new rules have been developed in the past years to change long-term capital gain rates?</vt:lpstr>
    </vt:vector>
  </TitlesOfParts>
  <Company>Summit Business Media</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8547. What new rules have been developed in the past years to change long-term capital gain rates?</dc:title>
  <dc:creator>Alexis Long</dc:creator>
  <cp:lastModifiedBy>rcline</cp:lastModifiedBy>
  <cp:revision>2</cp:revision>
  <cp:lastPrinted>2013-08-28T20:59:00Z</cp:lastPrinted>
  <dcterms:created xsi:type="dcterms:W3CDTF">2014-08-21T13:08:00Z</dcterms:created>
  <dcterms:modified xsi:type="dcterms:W3CDTF">2014-08-21T13:08:00Z</dcterms:modified>
</cp:coreProperties>
</file>