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7" w:rsidRDefault="008523A7" w:rsidP="00B86944">
      <w:pPr>
        <w:pStyle w:val="PA"/>
      </w:pPr>
      <w:bookmarkStart w:id="0" w:name="_GoBack"/>
      <w:bookmarkEnd w:id="0"/>
    </w:p>
    <w:p w:rsidR="008523A7" w:rsidRPr="008523A7" w:rsidRDefault="008523A7" w:rsidP="00B86944">
      <w:pPr>
        <w:pStyle w:val="PA"/>
        <w:rPr>
          <w:b/>
          <w:color w:val="auto"/>
        </w:rPr>
      </w:pPr>
      <w:r w:rsidRPr="008523A7">
        <w:rPr>
          <w:b/>
          <w:color w:val="auto"/>
        </w:rPr>
        <w:t xml:space="preserve">8545.  </w:t>
      </w:r>
      <w:r w:rsidR="0017019E">
        <w:rPr>
          <w:b/>
          <w:color w:val="auto"/>
        </w:rPr>
        <w:t xml:space="preserve">How is </w:t>
      </w:r>
      <w:r w:rsidRPr="008523A7">
        <w:rPr>
          <w:b/>
          <w:color w:val="auto"/>
        </w:rPr>
        <w:t>net capital gain</w:t>
      </w:r>
      <w:r w:rsidR="0017019E">
        <w:rPr>
          <w:b/>
          <w:color w:val="auto"/>
        </w:rPr>
        <w:t xml:space="preserve"> taxed</w:t>
      </w:r>
      <w:r w:rsidRPr="008523A7">
        <w:rPr>
          <w:b/>
          <w:color w:val="auto"/>
        </w:rPr>
        <w:t>?</w:t>
      </w:r>
    </w:p>
    <w:p w:rsidR="009934EF" w:rsidRDefault="00F216E2" w:rsidP="00B86944">
      <w:pPr>
        <w:pStyle w:val="PA"/>
      </w:pPr>
      <w:r w:rsidRPr="00C433EB">
        <w:t xml:space="preserve"> </w:t>
      </w:r>
      <w:r w:rsidR="009934EF" w:rsidRPr="00C433EB">
        <w:t>“</w:t>
      </w:r>
      <w:r w:rsidR="009934EF" w:rsidRPr="00C433EB">
        <w:rPr>
          <w:i/>
          <w:iCs/>
        </w:rPr>
        <w:t>Net capital gain</w:t>
      </w:r>
      <w:r w:rsidR="009934EF">
        <w:t xml:space="preserve"> is the excess of net long-</w:t>
      </w:r>
      <w:r w:rsidR="009934EF" w:rsidRPr="00C433EB">
        <w:t xml:space="preserve">term capital gain for </w:t>
      </w:r>
      <w:r w:rsidR="005963EF">
        <w:t>the taxable year over net short-</w:t>
      </w:r>
      <w:r w:rsidR="009934EF" w:rsidRPr="00C433EB">
        <w:t>term capital loss for such year.</w:t>
      </w:r>
      <w:r w:rsidR="00255005" w:rsidRPr="0074319B">
        <w:rPr>
          <w:rStyle w:val="FootnoteReference"/>
        </w:rPr>
        <w:footnoteReference w:id="1"/>
      </w:r>
      <w:r w:rsidR="00255005">
        <w:t xml:space="preserve"> </w:t>
      </w:r>
      <w:r w:rsidR="009934EF" w:rsidRPr="00C433EB">
        <w:t>However, net capital gain for any taxable year is reduced (but not below zero) by any amount the taxpayer takes into account under the investment income exception to the investment interest deduction.</w:t>
      </w:r>
      <w:r w:rsidR="00255005" w:rsidRPr="0074319B">
        <w:rPr>
          <w:rStyle w:val="FootnoteReference"/>
        </w:rPr>
        <w:footnoteReference w:id="2"/>
      </w:r>
    </w:p>
    <w:p w:rsidR="009934EF" w:rsidRDefault="009934EF" w:rsidP="00B86944">
      <w:pPr>
        <w:pStyle w:val="PA"/>
      </w:pPr>
      <w:r>
        <w:t>If a taxpayer has net capital gain for any tax year</w:t>
      </w:r>
      <w:r w:rsidRPr="00C433EB">
        <w:t xml:space="preserve">, </w:t>
      </w:r>
      <w:r>
        <w:t xml:space="preserve">the IRC provides that </w:t>
      </w:r>
      <w:r w:rsidRPr="00C433EB">
        <w:t xml:space="preserve">the tax will not exceed the </w:t>
      </w:r>
      <w:r w:rsidRPr="00C433EB">
        <w:rPr>
          <w:i/>
          <w:iCs/>
        </w:rPr>
        <w:t>sum</w:t>
      </w:r>
      <w:r w:rsidRPr="00C433EB">
        <w:t xml:space="preserve"> of the following </w:t>
      </w:r>
      <w:r>
        <w:t>six</w:t>
      </w:r>
      <w:r w:rsidRPr="00C433EB">
        <w:t xml:space="preserve"> items:</w:t>
      </w:r>
    </w:p>
    <w:p w:rsidR="009934EF" w:rsidRDefault="009934EF" w:rsidP="00B86944">
      <w:pPr>
        <w:pStyle w:val="PC"/>
      </w:pPr>
      <w:r w:rsidRPr="00C433EB">
        <w:t>(A)</w:t>
      </w:r>
      <w:r w:rsidR="00B86944">
        <w:tab/>
      </w:r>
      <w:r w:rsidRPr="00C433EB">
        <w:t xml:space="preserve">the tax computed at regular rates (without regard to the rules for capital gain) on the </w:t>
      </w:r>
      <w:r w:rsidRPr="00C433EB">
        <w:rPr>
          <w:i/>
          <w:iCs/>
        </w:rPr>
        <w:t>greater</w:t>
      </w:r>
      <w:r w:rsidRPr="00C433EB">
        <w:t xml:space="preserve"> of (i) taxable income reduced by the net capital gain, or (ii) the </w:t>
      </w:r>
      <w:r w:rsidRPr="00C433EB">
        <w:rPr>
          <w:i/>
          <w:iCs/>
        </w:rPr>
        <w:t>lesser</w:t>
      </w:r>
      <w:r w:rsidRPr="00C433EB">
        <w:t xml:space="preserve"> of (I) the amount of taxable income taxed at a rate below 25</w:t>
      </w:r>
      <w:r>
        <w:t xml:space="preserve"> percen</w:t>
      </w:r>
      <w:r w:rsidR="00FD458C">
        <w:t>t</w:t>
      </w:r>
      <w:r w:rsidRPr="00C433EB">
        <w:t xml:space="preserve">, </w:t>
      </w:r>
      <w:r w:rsidRPr="00C433EB">
        <w:rPr>
          <w:i/>
          <w:iCs/>
        </w:rPr>
        <w:t>or</w:t>
      </w:r>
      <w:r w:rsidRPr="00C433EB">
        <w:t xml:space="preserve"> (II) taxable income reduced by the adjusted net capital gain;</w:t>
      </w:r>
    </w:p>
    <w:p w:rsidR="009934EF" w:rsidRDefault="009934EF" w:rsidP="00B86944">
      <w:pPr>
        <w:pStyle w:val="PC"/>
      </w:pPr>
      <w:r>
        <w:t>(B)</w:t>
      </w:r>
      <w:r>
        <w:tab/>
      </w:r>
      <w:r w:rsidRPr="00C433EB">
        <w:t>0</w:t>
      </w:r>
      <w:r>
        <w:t xml:space="preserve"> percent</w:t>
      </w:r>
      <w:r w:rsidRPr="00C433EB">
        <w:t xml:space="preserve"> of the taxpayer’s adjusted net capital gain (or, if less, taxable income) </w:t>
      </w:r>
      <w:r w:rsidR="005963EF">
        <w:t>that</w:t>
      </w:r>
      <w:r w:rsidRPr="00C433EB">
        <w:t xml:space="preserve"> does not exceed the </w:t>
      </w:r>
      <w:r w:rsidRPr="00C433EB">
        <w:rPr>
          <w:i/>
          <w:iCs/>
        </w:rPr>
        <w:t>excess</w:t>
      </w:r>
      <w:r w:rsidRPr="00C433EB">
        <w:t xml:space="preserve"> (if any) of (i) the amount of taxable income that would (without regard to this paragraph) be taxed at a rate below 25</w:t>
      </w:r>
      <w:r>
        <w:t xml:space="preserve"> percent</w:t>
      </w:r>
      <w:r w:rsidR="00816BFC">
        <w:t xml:space="preserve"> </w:t>
      </w:r>
      <w:r w:rsidRPr="00C433EB">
        <w:rPr>
          <w:i/>
          <w:iCs/>
        </w:rPr>
        <w:t>over</w:t>
      </w:r>
      <w:r w:rsidRPr="00C433EB">
        <w:t xml:space="preserve"> (ii) the taxable income reduced by the adjusted net capital gain;</w:t>
      </w:r>
    </w:p>
    <w:p w:rsidR="009934EF" w:rsidRDefault="009934EF" w:rsidP="00B86944">
      <w:pPr>
        <w:pStyle w:val="PC"/>
      </w:pPr>
      <w:r w:rsidRPr="00C433EB">
        <w:t>(C)</w:t>
      </w:r>
      <w:r>
        <w:tab/>
      </w:r>
      <w:r w:rsidRPr="00FA6134">
        <w:t xml:space="preserve">15 percent of </w:t>
      </w:r>
      <w:r>
        <w:t xml:space="preserve">the lesser of (i) so much of the taxpayer’s adjusted net capital gain (or, if less, taxable income) as </w:t>
      </w:r>
      <w:r w:rsidRPr="005668DF">
        <w:rPr>
          <w:i/>
        </w:rPr>
        <w:t>exceeds</w:t>
      </w:r>
      <w:r>
        <w:t xml:space="preserve"> the amount on which a tax is determined under (B), above, or (ii) the </w:t>
      </w:r>
      <w:r w:rsidRPr="005668DF">
        <w:rPr>
          <w:i/>
        </w:rPr>
        <w:t>excess</w:t>
      </w:r>
      <w:r>
        <w:t xml:space="preserve"> of (I) the amount of taxable </w:t>
      </w:r>
      <w:r w:rsidRPr="00CA0A0E">
        <w:t>income</w:t>
      </w:r>
      <w:r>
        <w:t xml:space="preserve"> which would be taxed at below 39.6 percent </w:t>
      </w:r>
      <w:r w:rsidRPr="005668DF">
        <w:rPr>
          <w:i/>
        </w:rPr>
        <w:t>over</w:t>
      </w:r>
      <w:r>
        <w:t xml:space="preserve"> (II) the sum of the amounts on which a tax is determined under (A) and (B), above</w:t>
      </w:r>
      <w:r w:rsidRPr="00C433EB">
        <w:t>;</w:t>
      </w:r>
    </w:p>
    <w:p w:rsidR="009934EF" w:rsidRDefault="009934EF" w:rsidP="005963EF">
      <w:pPr>
        <w:pStyle w:val="PC"/>
      </w:pPr>
      <w:r>
        <w:t>(D)</w:t>
      </w:r>
      <w:r>
        <w:tab/>
        <w:t xml:space="preserve">20 percent of the taxpayer’s adjusted net capital gain (or, if less, taxable income) in </w:t>
      </w:r>
      <w:r w:rsidRPr="005668DF">
        <w:rPr>
          <w:i/>
        </w:rPr>
        <w:t>excess</w:t>
      </w:r>
      <w:r>
        <w:t xml:space="preserve"> of the sum of the amounts on which tax is determined under (B) and (C), above</w:t>
      </w:r>
      <w:r w:rsidRPr="00FA6134">
        <w:t>;</w:t>
      </w:r>
    </w:p>
    <w:p w:rsidR="009934EF" w:rsidRDefault="009934EF" w:rsidP="00B86944">
      <w:pPr>
        <w:pStyle w:val="PC"/>
      </w:pPr>
      <w:r w:rsidRPr="00C433EB">
        <w:t>(</w:t>
      </w:r>
      <w:r>
        <w:t>E</w:t>
      </w:r>
      <w:r w:rsidRPr="00C433EB">
        <w:t>)</w:t>
      </w:r>
      <w:r w:rsidRPr="00C433EB">
        <w:tab/>
        <w:t>25</w:t>
      </w:r>
      <w:r>
        <w:t xml:space="preserve"> percent</w:t>
      </w:r>
      <w:r w:rsidRPr="00C433EB">
        <w:t xml:space="preserve"> of the </w:t>
      </w:r>
      <w:r w:rsidRPr="00C433EB">
        <w:rPr>
          <w:i/>
          <w:iCs/>
        </w:rPr>
        <w:t>excess</w:t>
      </w:r>
      <w:r w:rsidRPr="00C433EB">
        <w:t xml:space="preserve"> (if any) of (i) the unrecaptured IRC Section 1250 gain (or, if less, the net capital gain (determined without regard to qualified dividend income)), </w:t>
      </w:r>
      <w:r w:rsidRPr="00C433EB">
        <w:rPr>
          <w:i/>
          <w:iCs/>
        </w:rPr>
        <w:t>over</w:t>
      </w:r>
      <w:r w:rsidRPr="00C433EB">
        <w:t xml:space="preserve"> (ii) the </w:t>
      </w:r>
      <w:r w:rsidRPr="00C433EB">
        <w:rPr>
          <w:i/>
          <w:iCs/>
        </w:rPr>
        <w:t>excess</w:t>
      </w:r>
      <w:r w:rsidRPr="00C433EB">
        <w:t xml:space="preserve"> (if any) of (I) the sum of the amount on which tax is determined under (A) above, </w:t>
      </w:r>
      <w:r w:rsidRPr="00C433EB">
        <w:rPr>
          <w:i/>
          <w:iCs/>
        </w:rPr>
        <w:t>plus</w:t>
      </w:r>
      <w:r w:rsidRPr="00C433EB">
        <w:t xml:space="preserve"> the net capital gain, </w:t>
      </w:r>
      <w:r w:rsidRPr="00C433EB">
        <w:rPr>
          <w:i/>
          <w:iCs/>
        </w:rPr>
        <w:t>over</w:t>
      </w:r>
      <w:r w:rsidRPr="00C433EB">
        <w:t xml:space="preserve"> (II) taxable income</w:t>
      </w:r>
      <w:r w:rsidR="0017019E">
        <w:t xml:space="preserve"> (See Q 8546 for a discussion of </w:t>
      </w:r>
      <w:proofErr w:type="spellStart"/>
      <w:r w:rsidR="0017019E">
        <w:t>unrecaptured</w:t>
      </w:r>
      <w:proofErr w:type="spellEnd"/>
      <w:r w:rsidR="0017019E">
        <w:t xml:space="preserve"> IRC Section 1250 gain)</w:t>
      </w:r>
      <w:r w:rsidRPr="00C433EB">
        <w:t xml:space="preserve">; </w:t>
      </w:r>
      <w:r w:rsidRPr="00C433EB">
        <w:rPr>
          <w:i/>
          <w:iCs/>
        </w:rPr>
        <w:t>and</w:t>
      </w:r>
    </w:p>
    <w:p w:rsidR="009934EF" w:rsidRDefault="009934EF" w:rsidP="00B86944">
      <w:pPr>
        <w:pStyle w:val="PC"/>
      </w:pPr>
      <w:r>
        <w:t>(F</w:t>
      </w:r>
      <w:r w:rsidRPr="00C433EB">
        <w:t>)</w:t>
      </w:r>
      <w:r w:rsidRPr="00C433EB">
        <w:tab/>
        <w:t>28</w:t>
      </w:r>
      <w:r>
        <w:t xml:space="preserve"> percent</w:t>
      </w:r>
      <w:r w:rsidRPr="00C433EB">
        <w:t xml:space="preserve"> of the amount of taxable income in </w:t>
      </w:r>
      <w:r w:rsidRPr="00C433EB">
        <w:rPr>
          <w:i/>
          <w:iCs/>
        </w:rPr>
        <w:t>excess</w:t>
      </w:r>
      <w:r w:rsidRPr="00C433EB">
        <w:t xml:space="preserve"> of the sum of the amounts on which tax is determined under (A) through (D) above</w:t>
      </w:r>
      <w:r>
        <w:t>.</w:t>
      </w:r>
      <w:r w:rsidR="00816BFC">
        <w:t xml:space="preserve"> </w:t>
      </w:r>
      <w:r>
        <w:t>See Q</w:t>
      </w:r>
      <w:r w:rsidR="00E03171">
        <w:t xml:space="preserve"> </w:t>
      </w:r>
      <w:r w:rsidR="009C5F6E">
        <w:t>854</w:t>
      </w:r>
      <w:r>
        <w:t>6 for a discussion of 28 percent gain</w:t>
      </w:r>
      <w:r w:rsidRPr="00C433EB">
        <w:t>.</w:t>
      </w:r>
    </w:p>
    <w:p w:rsidR="009934EF" w:rsidRPr="005963EF" w:rsidRDefault="005963EF" w:rsidP="00B86944">
      <w:pPr>
        <w:pStyle w:val="PA"/>
      </w:pPr>
      <w:r>
        <w:t>For most long-term capital gains, this</w:t>
      </w:r>
      <w:r w:rsidR="009934EF">
        <w:t xml:space="preserve"> complicated formula generally results in a</w:t>
      </w:r>
      <w:r w:rsidR="009934EF" w:rsidRPr="00C433EB">
        <w:t xml:space="preserve"> maximum capital gains rate on </w:t>
      </w:r>
      <w:r w:rsidR="009934EF" w:rsidRPr="00A96188">
        <w:rPr>
          <w:iCs/>
        </w:rPr>
        <w:t>adjusted net capital gain</w:t>
      </w:r>
      <w:r w:rsidR="009934EF" w:rsidRPr="00C433EB">
        <w:t xml:space="preserve"> </w:t>
      </w:r>
      <w:r w:rsidR="009934EF">
        <w:t xml:space="preserve">for </w:t>
      </w:r>
      <w:r w:rsidR="00EE0302">
        <w:t xml:space="preserve">2014 </w:t>
      </w:r>
      <w:r w:rsidR="009934EF">
        <w:t>equal to:</w:t>
      </w:r>
      <w:r w:rsidR="009934EF" w:rsidRPr="00C433EB">
        <w:t xml:space="preserve"> </w:t>
      </w:r>
      <w:r w:rsidR="009934EF">
        <w:t>(</w:t>
      </w:r>
      <w:proofErr w:type="spellStart"/>
      <w:r w:rsidR="009934EF">
        <w:t>i</w:t>
      </w:r>
      <w:proofErr w:type="spellEnd"/>
      <w:r w:rsidR="009934EF">
        <w:t xml:space="preserve">) </w:t>
      </w:r>
      <w:r w:rsidR="009934EF" w:rsidRPr="00CA0A0E">
        <w:t xml:space="preserve">20 percent </w:t>
      </w:r>
      <w:r w:rsidR="00E728D7">
        <w:lastRenderedPageBreak/>
        <w:t>for individuals</w:t>
      </w:r>
      <w:r w:rsidR="009934EF" w:rsidRPr="00CA0A0E">
        <w:t xml:space="preserve"> taxed at the 39.6 percent </w:t>
      </w:r>
      <w:r w:rsidR="009934EF">
        <w:t xml:space="preserve">income tax </w:t>
      </w:r>
      <w:r w:rsidR="009934EF" w:rsidRPr="00CA0A0E">
        <w:t xml:space="preserve">rate, </w:t>
      </w:r>
      <w:r w:rsidR="009934EF">
        <w:t xml:space="preserve">(ii) </w:t>
      </w:r>
      <w:r w:rsidR="00E728D7">
        <w:t xml:space="preserve">15 percent for individuals </w:t>
      </w:r>
      <w:r w:rsidR="009934EF" w:rsidRPr="00C433EB">
        <w:t>taxed at the 25</w:t>
      </w:r>
      <w:r w:rsidR="009934EF">
        <w:t xml:space="preserve">, 28, 33 or 35 percent income tax rates, </w:t>
      </w:r>
      <w:r w:rsidR="009934EF" w:rsidRPr="00C433EB">
        <w:t xml:space="preserve">and </w:t>
      </w:r>
      <w:r w:rsidR="009934EF">
        <w:t xml:space="preserve">(iii) </w:t>
      </w:r>
      <w:r w:rsidR="009934EF" w:rsidRPr="00C433EB">
        <w:t>0</w:t>
      </w:r>
      <w:r w:rsidR="009934EF">
        <w:t xml:space="preserve"> percent </w:t>
      </w:r>
      <w:r w:rsidR="00E728D7">
        <w:t>for individuals</w:t>
      </w:r>
      <w:r w:rsidR="009934EF" w:rsidRPr="00C433EB">
        <w:t xml:space="preserve"> taxed at the 15</w:t>
      </w:r>
      <w:r w:rsidR="009934EF">
        <w:t xml:space="preserve"> percent</w:t>
      </w:r>
      <w:r w:rsidR="009934EF" w:rsidRPr="00C433EB">
        <w:t xml:space="preserve"> or 10</w:t>
      </w:r>
      <w:r w:rsidR="009934EF">
        <w:t xml:space="preserve"> percent</w:t>
      </w:r>
      <w:r w:rsidR="009934EF" w:rsidRPr="00C433EB">
        <w:t xml:space="preserve"> </w:t>
      </w:r>
      <w:r w:rsidR="009934EF">
        <w:t xml:space="preserve">income tax </w:t>
      </w:r>
      <w:r w:rsidR="009934EF" w:rsidRPr="00C433EB">
        <w:t>rates.</w:t>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11" w:rsidRDefault="00F72511" w:rsidP="00F4296A">
      <w:r>
        <w:separator/>
      </w:r>
    </w:p>
  </w:endnote>
  <w:endnote w:type="continuationSeparator" w:id="0">
    <w:p w:rsidR="00F72511" w:rsidRDefault="00F72511"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Times New Roman"/>
    <w:panose1 w:val="00000000000000000000"/>
    <w:charset w:val="00"/>
    <w:family w:val="roman"/>
    <w:notTrueType/>
    <w:pitch w:val="default"/>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11" w:rsidRDefault="00F72511" w:rsidP="00F4296A">
      <w:r>
        <w:separator/>
      </w:r>
    </w:p>
  </w:footnote>
  <w:footnote w:type="continuationSeparator" w:id="0">
    <w:p w:rsidR="00F72511" w:rsidRDefault="00F72511" w:rsidP="00F4296A">
      <w:r>
        <w:continuationSeparator/>
      </w:r>
    </w:p>
  </w:footnote>
  <w:footnote w:id="1">
    <w:p w:rsidR="00255005" w:rsidRDefault="00255005" w:rsidP="0074319B">
      <w:pPr>
        <w:pStyle w:val="PQ"/>
      </w:pPr>
      <w:r w:rsidRPr="00255005">
        <w:rPr>
          <w:rStyle w:val="FootnoteReference"/>
          <w:vertAlign w:val="baseline"/>
        </w:rPr>
        <w:footnoteRef/>
      </w:r>
      <w:r w:rsidR="00144D20">
        <w:t>.</w:t>
      </w:r>
      <w:r w:rsidR="00144D20">
        <w:tab/>
      </w:r>
      <w:r w:rsidR="0074319B">
        <w:t>IRC Sec. 1222(11).</w:t>
      </w:r>
    </w:p>
  </w:footnote>
  <w:footnote w:id="2">
    <w:p w:rsidR="00255005" w:rsidRDefault="00255005" w:rsidP="0074319B">
      <w:pPr>
        <w:pStyle w:val="PQ"/>
      </w:pPr>
      <w:r w:rsidRPr="00255005">
        <w:rPr>
          <w:rStyle w:val="FootnoteReference"/>
          <w:vertAlign w:val="baseline"/>
        </w:rPr>
        <w:footnoteRef/>
      </w:r>
      <w:r w:rsidR="00144D20">
        <w:t>.</w:t>
      </w:r>
      <w:r w:rsidR="00144D20">
        <w:tab/>
      </w:r>
      <w:r w:rsidR="0074319B">
        <w:t>IRC Secs. 163(d</w:t>
      </w:r>
      <w:proofErr w:type="gramStart"/>
      <w:r w:rsidR="0074319B">
        <w:t>)(</w:t>
      </w:r>
      <w:proofErr w:type="gramEnd"/>
      <w:r w:rsidR="0074319B">
        <w:t>4)(B)(iii), 1(h)(2).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559B"/>
    <w:rsid w:val="000364AA"/>
    <w:rsid w:val="000A22B1"/>
    <w:rsid w:val="000A53C2"/>
    <w:rsid w:val="000C1776"/>
    <w:rsid w:val="000F4FD7"/>
    <w:rsid w:val="001018D5"/>
    <w:rsid w:val="00135C9D"/>
    <w:rsid w:val="001409E2"/>
    <w:rsid w:val="00144D20"/>
    <w:rsid w:val="0016358E"/>
    <w:rsid w:val="0017019E"/>
    <w:rsid w:val="00170900"/>
    <w:rsid w:val="001C40E6"/>
    <w:rsid w:val="001E4B7E"/>
    <w:rsid w:val="001E64C8"/>
    <w:rsid w:val="001F52F4"/>
    <w:rsid w:val="001F73A2"/>
    <w:rsid w:val="00215C3D"/>
    <w:rsid w:val="00255005"/>
    <w:rsid w:val="00271A21"/>
    <w:rsid w:val="00274431"/>
    <w:rsid w:val="002D4314"/>
    <w:rsid w:val="002F0AE8"/>
    <w:rsid w:val="00307DB9"/>
    <w:rsid w:val="003566BE"/>
    <w:rsid w:val="00366114"/>
    <w:rsid w:val="00442416"/>
    <w:rsid w:val="00453AA6"/>
    <w:rsid w:val="00475112"/>
    <w:rsid w:val="00491DE8"/>
    <w:rsid w:val="00494472"/>
    <w:rsid w:val="004B69F3"/>
    <w:rsid w:val="004D5C3E"/>
    <w:rsid w:val="004F216D"/>
    <w:rsid w:val="00525224"/>
    <w:rsid w:val="0055012A"/>
    <w:rsid w:val="00571288"/>
    <w:rsid w:val="005963EF"/>
    <w:rsid w:val="005D0931"/>
    <w:rsid w:val="005F396B"/>
    <w:rsid w:val="006370D0"/>
    <w:rsid w:val="00640A83"/>
    <w:rsid w:val="006451B3"/>
    <w:rsid w:val="00672FCA"/>
    <w:rsid w:val="0067311C"/>
    <w:rsid w:val="006767EC"/>
    <w:rsid w:val="006D7FA7"/>
    <w:rsid w:val="006F6498"/>
    <w:rsid w:val="00702810"/>
    <w:rsid w:val="00713384"/>
    <w:rsid w:val="00715A46"/>
    <w:rsid w:val="007202C3"/>
    <w:rsid w:val="0074319B"/>
    <w:rsid w:val="007B49AE"/>
    <w:rsid w:val="007B5E18"/>
    <w:rsid w:val="007D5C29"/>
    <w:rsid w:val="007F0BBA"/>
    <w:rsid w:val="007F4511"/>
    <w:rsid w:val="007F5ADF"/>
    <w:rsid w:val="00816BFC"/>
    <w:rsid w:val="00835B27"/>
    <w:rsid w:val="008523A7"/>
    <w:rsid w:val="00871A99"/>
    <w:rsid w:val="00877C24"/>
    <w:rsid w:val="00893227"/>
    <w:rsid w:val="008B16D5"/>
    <w:rsid w:val="008C20FB"/>
    <w:rsid w:val="008D36BC"/>
    <w:rsid w:val="008D3707"/>
    <w:rsid w:val="008D6FC8"/>
    <w:rsid w:val="0092753D"/>
    <w:rsid w:val="009934EF"/>
    <w:rsid w:val="009C5F6E"/>
    <w:rsid w:val="00A02AF1"/>
    <w:rsid w:val="00A1572A"/>
    <w:rsid w:val="00A20C49"/>
    <w:rsid w:val="00A53374"/>
    <w:rsid w:val="00A540B7"/>
    <w:rsid w:val="00A96188"/>
    <w:rsid w:val="00AE4D8A"/>
    <w:rsid w:val="00AF5D01"/>
    <w:rsid w:val="00AF71F5"/>
    <w:rsid w:val="00B31555"/>
    <w:rsid w:val="00B7149F"/>
    <w:rsid w:val="00B86944"/>
    <w:rsid w:val="00BC0EC2"/>
    <w:rsid w:val="00BF3D51"/>
    <w:rsid w:val="00C15AB8"/>
    <w:rsid w:val="00C82361"/>
    <w:rsid w:val="00C979CC"/>
    <w:rsid w:val="00CA2508"/>
    <w:rsid w:val="00CD3D7E"/>
    <w:rsid w:val="00CD6002"/>
    <w:rsid w:val="00CF6495"/>
    <w:rsid w:val="00D128C3"/>
    <w:rsid w:val="00D223DC"/>
    <w:rsid w:val="00D243A7"/>
    <w:rsid w:val="00D36C53"/>
    <w:rsid w:val="00D45E0D"/>
    <w:rsid w:val="00D81626"/>
    <w:rsid w:val="00DA7231"/>
    <w:rsid w:val="00DE3662"/>
    <w:rsid w:val="00E03171"/>
    <w:rsid w:val="00E25EBE"/>
    <w:rsid w:val="00E728D7"/>
    <w:rsid w:val="00E8017A"/>
    <w:rsid w:val="00E853E9"/>
    <w:rsid w:val="00E86B42"/>
    <w:rsid w:val="00E86CF5"/>
    <w:rsid w:val="00EA280B"/>
    <w:rsid w:val="00EC07A2"/>
    <w:rsid w:val="00EC7AA5"/>
    <w:rsid w:val="00EE0302"/>
    <w:rsid w:val="00EE44FD"/>
    <w:rsid w:val="00F216E2"/>
    <w:rsid w:val="00F37136"/>
    <w:rsid w:val="00F4296A"/>
    <w:rsid w:val="00F53618"/>
    <w:rsid w:val="00F72511"/>
    <w:rsid w:val="00F91BB1"/>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F396B"/>
    <w:rPr>
      <w:rFonts w:ascii="Perpetua Std" w:hAnsi="Perpetua Std"/>
    </w:rPr>
  </w:style>
  <w:style w:type="paragraph" w:styleId="Heading1">
    <w:name w:val="heading 1"/>
    <w:basedOn w:val="Normal"/>
    <w:next w:val="Normal"/>
    <w:link w:val="Heading1Char"/>
    <w:qFormat/>
    <w:rsid w:val="005F396B"/>
    <w:pPr>
      <w:keepNext/>
      <w:outlineLvl w:val="0"/>
    </w:pPr>
    <w:rPr>
      <w:b/>
    </w:rPr>
  </w:style>
  <w:style w:type="paragraph" w:styleId="Heading2">
    <w:name w:val="heading 2"/>
    <w:basedOn w:val="Normal"/>
    <w:next w:val="Normal"/>
    <w:link w:val="Heading2Char"/>
    <w:qFormat/>
    <w:rsid w:val="005F396B"/>
    <w:pPr>
      <w:keepNext/>
      <w:spacing w:before="240" w:after="60"/>
      <w:outlineLvl w:val="1"/>
    </w:pPr>
    <w:rPr>
      <w:rFonts w:ascii="Arial" w:hAnsi="Arial"/>
      <w:b/>
      <w:i/>
      <w:sz w:val="24"/>
    </w:rPr>
  </w:style>
  <w:style w:type="paragraph" w:styleId="Heading3">
    <w:name w:val="heading 3"/>
    <w:basedOn w:val="Normal"/>
    <w:next w:val="Normal"/>
    <w:link w:val="Heading3Char"/>
    <w:qFormat/>
    <w:rsid w:val="005F396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5F396B"/>
    <w:pPr>
      <w:spacing w:after="240"/>
      <w:jc w:val="both"/>
    </w:pPr>
    <w:rPr>
      <w:rFonts w:ascii="Helvetica LT Std" w:hAnsi="Helvetica LT Std"/>
      <w:b/>
      <w:color w:val="000000"/>
      <w:sz w:val="26"/>
    </w:rPr>
  </w:style>
  <w:style w:type="paragraph" w:customStyle="1" w:styleId="PA">
    <w:name w:val="PA"/>
    <w:next w:val="Normal"/>
    <w:link w:val="PAChar"/>
    <w:rsid w:val="005F396B"/>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5F396B"/>
    <w:rPr>
      <w:rFonts w:ascii="Perpetua Std" w:hAnsi="Perpetua Std"/>
      <w:color w:val="000000"/>
      <w:sz w:val="24"/>
    </w:rPr>
  </w:style>
  <w:style w:type="paragraph" w:customStyle="1" w:styleId="PB">
    <w:name w:val="PB"/>
    <w:rsid w:val="005F396B"/>
    <w:pPr>
      <w:spacing w:after="240"/>
      <w:jc w:val="both"/>
    </w:pPr>
    <w:rPr>
      <w:rFonts w:ascii="Perpetua Std" w:hAnsi="Perpetua Std"/>
      <w:color w:val="000000"/>
      <w:sz w:val="24"/>
    </w:rPr>
  </w:style>
  <w:style w:type="paragraph" w:customStyle="1" w:styleId="PC">
    <w:name w:val="PC"/>
    <w:rsid w:val="005F396B"/>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5F396B"/>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F396B"/>
    <w:rPr>
      <w:rFonts w:ascii="Adobe Caslon Pro" w:hAnsi="Adobe Caslon Pro"/>
      <w:color w:val="000000"/>
      <w:sz w:val="14"/>
    </w:rPr>
  </w:style>
  <w:style w:type="character" w:styleId="FootnoteReference">
    <w:name w:val="footnote reference"/>
    <w:rsid w:val="005F396B"/>
    <w:rPr>
      <w:vertAlign w:val="superscript"/>
    </w:rPr>
  </w:style>
  <w:style w:type="paragraph" w:customStyle="1" w:styleId="HD">
    <w:name w:val="HD"/>
    <w:rsid w:val="005F396B"/>
    <w:pPr>
      <w:suppressAutoHyphens/>
      <w:spacing w:before="120"/>
      <w:jc w:val="center"/>
    </w:pPr>
    <w:rPr>
      <w:rFonts w:ascii="Helvetica LT Std" w:hAnsi="Helvetica LT Std"/>
      <w:sz w:val="26"/>
      <w:szCs w:val="18"/>
    </w:rPr>
  </w:style>
  <w:style w:type="paragraph" w:customStyle="1" w:styleId="PN">
    <w:name w:val="PN"/>
    <w:rsid w:val="005F396B"/>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5F396B"/>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5F396B"/>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5F396B"/>
    <w:pPr>
      <w:spacing w:before="144"/>
      <w:jc w:val="both"/>
    </w:pPr>
    <w:rPr>
      <w:noProof/>
    </w:rPr>
  </w:style>
  <w:style w:type="paragraph" w:customStyle="1" w:styleId="PD">
    <w:name w:val="PD"/>
    <w:rsid w:val="005F396B"/>
    <w:pPr>
      <w:spacing w:after="240"/>
      <w:ind w:left="720" w:firstLine="288"/>
      <w:jc w:val="both"/>
    </w:pPr>
    <w:rPr>
      <w:rFonts w:ascii="Perpetua Std" w:hAnsi="Perpetua Std"/>
      <w:color w:val="000000"/>
      <w:sz w:val="24"/>
    </w:rPr>
  </w:style>
  <w:style w:type="paragraph" w:customStyle="1" w:styleId="PE">
    <w:name w:val="PE"/>
    <w:rsid w:val="005F396B"/>
    <w:pPr>
      <w:spacing w:after="240"/>
      <w:ind w:left="720"/>
      <w:jc w:val="both"/>
    </w:pPr>
    <w:rPr>
      <w:rFonts w:ascii="Perpetua Std" w:hAnsi="Perpetua Std"/>
      <w:color w:val="000000"/>
      <w:sz w:val="24"/>
    </w:rPr>
  </w:style>
  <w:style w:type="paragraph" w:customStyle="1" w:styleId="PF">
    <w:name w:val="PF"/>
    <w:rsid w:val="005F396B"/>
    <w:pPr>
      <w:tabs>
        <w:tab w:val="left" w:pos="1080"/>
      </w:tabs>
      <w:spacing w:after="240"/>
      <w:ind w:left="1080" w:hanging="360"/>
      <w:jc w:val="both"/>
    </w:pPr>
    <w:rPr>
      <w:rFonts w:ascii="Perpetua Std" w:hAnsi="Perpetua Std"/>
      <w:color w:val="000000"/>
      <w:sz w:val="24"/>
    </w:rPr>
  </w:style>
  <w:style w:type="paragraph" w:customStyle="1" w:styleId="PG">
    <w:name w:val="PG"/>
    <w:rsid w:val="005F396B"/>
    <w:pPr>
      <w:spacing w:after="240"/>
      <w:ind w:left="360"/>
      <w:jc w:val="both"/>
    </w:pPr>
    <w:rPr>
      <w:rFonts w:ascii="Perpetua Std" w:hAnsi="Perpetua Std"/>
      <w:color w:val="000000"/>
      <w:sz w:val="24"/>
    </w:rPr>
  </w:style>
  <w:style w:type="paragraph" w:customStyle="1" w:styleId="PH">
    <w:name w:val="PH"/>
    <w:rsid w:val="005F396B"/>
    <w:pPr>
      <w:tabs>
        <w:tab w:val="left" w:pos="360"/>
      </w:tabs>
      <w:spacing w:after="240"/>
      <w:ind w:left="360" w:hanging="360"/>
      <w:jc w:val="both"/>
    </w:pPr>
    <w:rPr>
      <w:rFonts w:ascii="Perpetua Std" w:hAnsi="Perpetua Std"/>
      <w:color w:val="000000"/>
      <w:sz w:val="24"/>
    </w:rPr>
  </w:style>
  <w:style w:type="paragraph" w:customStyle="1" w:styleId="PI">
    <w:name w:val="PI"/>
    <w:rsid w:val="005F396B"/>
    <w:pPr>
      <w:spacing w:after="240"/>
      <w:ind w:left="360" w:hanging="360"/>
      <w:jc w:val="both"/>
    </w:pPr>
    <w:rPr>
      <w:rFonts w:ascii="Perpetua Std" w:hAnsi="Perpetua Std"/>
      <w:color w:val="000000"/>
      <w:sz w:val="24"/>
    </w:rPr>
  </w:style>
  <w:style w:type="paragraph" w:customStyle="1" w:styleId="PK">
    <w:name w:val="PK"/>
    <w:rsid w:val="005F396B"/>
    <w:pPr>
      <w:spacing w:after="240"/>
      <w:ind w:left="360" w:firstLine="288"/>
      <w:jc w:val="both"/>
    </w:pPr>
    <w:rPr>
      <w:rFonts w:ascii="Perpetua Std" w:hAnsi="Perpetua Std"/>
      <w:color w:val="000000"/>
      <w:sz w:val="24"/>
    </w:rPr>
  </w:style>
  <w:style w:type="paragraph" w:customStyle="1" w:styleId="PL">
    <w:name w:val="PL"/>
    <w:rsid w:val="005F396B"/>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F396B"/>
    <w:pPr>
      <w:spacing w:after="240"/>
      <w:ind w:left="432" w:right="432" w:firstLine="432"/>
      <w:jc w:val="both"/>
    </w:pPr>
    <w:rPr>
      <w:rFonts w:ascii="Minion Pro" w:hAnsi="Minion Pro"/>
    </w:rPr>
  </w:style>
  <w:style w:type="paragraph" w:customStyle="1" w:styleId="TOC">
    <w:name w:val="TOC"/>
    <w:autoRedefine/>
    <w:rsid w:val="005F396B"/>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F396B"/>
    <w:pPr>
      <w:tabs>
        <w:tab w:val="clear" w:pos="1440"/>
        <w:tab w:val="clear" w:pos="8640"/>
        <w:tab w:val="left" w:pos="240"/>
        <w:tab w:val="left" w:pos="480"/>
        <w:tab w:val="right" w:leader="dot" w:pos="4680"/>
      </w:tabs>
      <w:ind w:left="0" w:firstLine="0"/>
    </w:pPr>
    <w:rPr>
      <w:sz w:val="22"/>
    </w:rPr>
  </w:style>
  <w:style w:type="paragraph" w:customStyle="1" w:styleId="PP">
    <w:name w:val="PP"/>
    <w:rsid w:val="005F396B"/>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F396B"/>
    <w:pPr>
      <w:spacing w:before="120" w:after="120"/>
      <w:jc w:val="center"/>
    </w:pPr>
    <w:rPr>
      <w:rFonts w:ascii="Helvetica LT Std" w:hAnsi="Helvetica LT Std"/>
      <w:sz w:val="24"/>
    </w:rPr>
  </w:style>
  <w:style w:type="table" w:styleId="TableGrid">
    <w:name w:val="Table Grid"/>
    <w:basedOn w:val="TableNormal"/>
    <w:rsid w:val="005F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5F396B"/>
    <w:pPr>
      <w:spacing w:after="240"/>
      <w:jc w:val="center"/>
    </w:pPr>
    <w:rPr>
      <w:rFonts w:ascii="Helvetica LT Std" w:hAnsi="Helvetica LT Std"/>
      <w:b/>
      <w:caps/>
      <w:color w:val="000000"/>
      <w:sz w:val="36"/>
      <w:szCs w:val="32"/>
    </w:rPr>
  </w:style>
  <w:style w:type="paragraph" w:customStyle="1" w:styleId="HB">
    <w:name w:val="HB"/>
    <w:rsid w:val="005F396B"/>
    <w:pPr>
      <w:spacing w:before="120" w:after="240"/>
      <w:jc w:val="center"/>
    </w:pPr>
    <w:rPr>
      <w:rFonts w:ascii="Helvetica LT Std" w:hAnsi="Helvetica LT Std"/>
      <w:b/>
      <w:color w:val="5F5F5F"/>
      <w:w w:val="105"/>
      <w:sz w:val="32"/>
    </w:rPr>
  </w:style>
  <w:style w:type="paragraph" w:customStyle="1" w:styleId="HC">
    <w:name w:val="HC"/>
    <w:autoRedefine/>
    <w:rsid w:val="005F396B"/>
    <w:pPr>
      <w:tabs>
        <w:tab w:val="left" w:pos="284"/>
      </w:tabs>
      <w:spacing w:before="120" w:after="120"/>
      <w:jc w:val="center"/>
    </w:pPr>
    <w:rPr>
      <w:rFonts w:ascii="Helvetica LT Std" w:hAnsi="Helvetica LT Std"/>
      <w:b/>
      <w:color w:val="000000"/>
      <w:w w:val="110"/>
      <w:sz w:val="26"/>
    </w:rPr>
  </w:style>
  <w:style w:type="paragraph" w:customStyle="1" w:styleId="PR">
    <w:name w:val="PR"/>
    <w:rsid w:val="005F396B"/>
    <w:pPr>
      <w:spacing w:after="240"/>
      <w:ind w:left="360" w:firstLine="288"/>
      <w:jc w:val="both"/>
    </w:pPr>
    <w:rPr>
      <w:rFonts w:ascii="Adobe Caslon Pro" w:hAnsi="Adobe Caslon Pro"/>
      <w:color w:val="000000"/>
      <w:sz w:val="14"/>
    </w:rPr>
  </w:style>
  <w:style w:type="paragraph" w:customStyle="1" w:styleId="PO">
    <w:name w:val="PO"/>
    <w:rsid w:val="005F396B"/>
    <w:pPr>
      <w:spacing w:after="240"/>
      <w:jc w:val="both"/>
    </w:pPr>
    <w:rPr>
      <w:rFonts w:ascii="Perpetua Std" w:hAnsi="Perpetua Std"/>
      <w:color w:val="000000"/>
      <w:w w:val="95"/>
      <w:szCs w:val="16"/>
    </w:rPr>
  </w:style>
  <w:style w:type="paragraph" w:customStyle="1" w:styleId="GUIDEX">
    <w:name w:val="GUIDEX"/>
    <w:rsid w:val="005F396B"/>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F396B"/>
    <w:pPr>
      <w:tabs>
        <w:tab w:val="clear" w:pos="240"/>
        <w:tab w:val="clear" w:pos="480"/>
        <w:tab w:val="clear" w:pos="720"/>
        <w:tab w:val="right" w:pos="4680"/>
      </w:tabs>
    </w:pPr>
  </w:style>
  <w:style w:type="paragraph" w:customStyle="1" w:styleId="PCB">
    <w:name w:val="PCB"/>
    <w:autoRedefine/>
    <w:rsid w:val="005F396B"/>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5F396B"/>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F396B"/>
    <w:rPr>
      <w:rFonts w:ascii="Perpetua Std" w:hAnsi="Perpetua Std"/>
    </w:rPr>
  </w:style>
  <w:style w:type="paragraph" w:styleId="NoSpacing">
    <w:name w:val="No Spacing"/>
    <w:qFormat/>
    <w:rsid w:val="005F396B"/>
    <w:rPr>
      <w:rFonts w:ascii="Perpetua" w:hAnsi="Perpetua"/>
    </w:rPr>
  </w:style>
  <w:style w:type="paragraph" w:customStyle="1" w:styleId="PCA">
    <w:name w:val="PCA"/>
    <w:rsid w:val="005F396B"/>
    <w:pPr>
      <w:numPr>
        <w:numId w:val="13"/>
      </w:numPr>
      <w:tabs>
        <w:tab w:val="left" w:pos="720"/>
      </w:tabs>
      <w:spacing w:after="240"/>
      <w:jc w:val="both"/>
    </w:pPr>
    <w:rPr>
      <w:rFonts w:ascii="Perpetua Std" w:hAnsi="Perpetua Std"/>
      <w:sz w:val="24"/>
    </w:rPr>
  </w:style>
  <w:style w:type="paragraph" w:customStyle="1" w:styleId="PHB">
    <w:name w:val="PHB"/>
    <w:rsid w:val="005F396B"/>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5F396B"/>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5F396B"/>
    <w:rPr>
      <w:rFonts w:ascii="Perpetua Std" w:hAnsi="Perpetua Std"/>
    </w:rPr>
  </w:style>
  <w:style w:type="paragraph" w:styleId="Heading1">
    <w:name w:val="heading 1"/>
    <w:basedOn w:val="Normal"/>
    <w:next w:val="Normal"/>
    <w:link w:val="Heading1Char"/>
    <w:qFormat/>
    <w:rsid w:val="005F396B"/>
    <w:pPr>
      <w:keepNext/>
      <w:outlineLvl w:val="0"/>
    </w:pPr>
    <w:rPr>
      <w:b/>
    </w:rPr>
  </w:style>
  <w:style w:type="paragraph" w:styleId="Heading2">
    <w:name w:val="heading 2"/>
    <w:basedOn w:val="Normal"/>
    <w:next w:val="Normal"/>
    <w:link w:val="Heading2Char"/>
    <w:qFormat/>
    <w:rsid w:val="005F396B"/>
    <w:pPr>
      <w:keepNext/>
      <w:spacing w:before="240" w:after="60"/>
      <w:outlineLvl w:val="1"/>
    </w:pPr>
    <w:rPr>
      <w:rFonts w:ascii="Arial" w:hAnsi="Arial"/>
      <w:b/>
      <w:i/>
      <w:sz w:val="24"/>
    </w:rPr>
  </w:style>
  <w:style w:type="paragraph" w:styleId="Heading3">
    <w:name w:val="heading 3"/>
    <w:basedOn w:val="Normal"/>
    <w:next w:val="Normal"/>
    <w:link w:val="Heading3Char"/>
    <w:qFormat/>
    <w:rsid w:val="005F396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5F396B"/>
    <w:pPr>
      <w:spacing w:after="240"/>
      <w:jc w:val="both"/>
    </w:pPr>
    <w:rPr>
      <w:rFonts w:ascii="Helvetica LT Std" w:hAnsi="Helvetica LT Std"/>
      <w:b/>
      <w:color w:val="000000"/>
      <w:sz w:val="26"/>
    </w:rPr>
  </w:style>
  <w:style w:type="paragraph" w:customStyle="1" w:styleId="PA">
    <w:name w:val="PA"/>
    <w:next w:val="Normal"/>
    <w:link w:val="PAChar"/>
    <w:rsid w:val="005F396B"/>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5F396B"/>
    <w:rPr>
      <w:rFonts w:ascii="Perpetua Std" w:hAnsi="Perpetua Std"/>
      <w:color w:val="000000"/>
      <w:sz w:val="24"/>
    </w:rPr>
  </w:style>
  <w:style w:type="paragraph" w:customStyle="1" w:styleId="PB">
    <w:name w:val="PB"/>
    <w:rsid w:val="005F396B"/>
    <w:pPr>
      <w:spacing w:after="240"/>
      <w:jc w:val="both"/>
    </w:pPr>
    <w:rPr>
      <w:rFonts w:ascii="Perpetua Std" w:hAnsi="Perpetua Std"/>
      <w:color w:val="000000"/>
      <w:sz w:val="24"/>
    </w:rPr>
  </w:style>
  <w:style w:type="paragraph" w:customStyle="1" w:styleId="PC">
    <w:name w:val="PC"/>
    <w:rsid w:val="005F396B"/>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5F396B"/>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5F396B"/>
    <w:rPr>
      <w:rFonts w:ascii="Adobe Caslon Pro" w:hAnsi="Adobe Caslon Pro"/>
      <w:color w:val="000000"/>
      <w:sz w:val="14"/>
    </w:rPr>
  </w:style>
  <w:style w:type="character" w:styleId="FootnoteReference">
    <w:name w:val="footnote reference"/>
    <w:rsid w:val="005F396B"/>
    <w:rPr>
      <w:vertAlign w:val="superscript"/>
    </w:rPr>
  </w:style>
  <w:style w:type="paragraph" w:customStyle="1" w:styleId="HD">
    <w:name w:val="HD"/>
    <w:rsid w:val="005F396B"/>
    <w:pPr>
      <w:suppressAutoHyphens/>
      <w:spacing w:before="120"/>
      <w:jc w:val="center"/>
    </w:pPr>
    <w:rPr>
      <w:rFonts w:ascii="Helvetica LT Std" w:hAnsi="Helvetica LT Std"/>
      <w:sz w:val="26"/>
      <w:szCs w:val="18"/>
    </w:rPr>
  </w:style>
  <w:style w:type="paragraph" w:customStyle="1" w:styleId="PN">
    <w:name w:val="PN"/>
    <w:rsid w:val="005F396B"/>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5F396B"/>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5F396B"/>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5F396B"/>
    <w:pPr>
      <w:spacing w:before="144"/>
      <w:jc w:val="both"/>
    </w:pPr>
    <w:rPr>
      <w:noProof/>
    </w:rPr>
  </w:style>
  <w:style w:type="paragraph" w:customStyle="1" w:styleId="PD">
    <w:name w:val="PD"/>
    <w:rsid w:val="005F396B"/>
    <w:pPr>
      <w:spacing w:after="240"/>
      <w:ind w:left="720" w:firstLine="288"/>
      <w:jc w:val="both"/>
    </w:pPr>
    <w:rPr>
      <w:rFonts w:ascii="Perpetua Std" w:hAnsi="Perpetua Std"/>
      <w:color w:val="000000"/>
      <w:sz w:val="24"/>
    </w:rPr>
  </w:style>
  <w:style w:type="paragraph" w:customStyle="1" w:styleId="PE">
    <w:name w:val="PE"/>
    <w:rsid w:val="005F396B"/>
    <w:pPr>
      <w:spacing w:after="240"/>
      <w:ind w:left="720"/>
      <w:jc w:val="both"/>
    </w:pPr>
    <w:rPr>
      <w:rFonts w:ascii="Perpetua Std" w:hAnsi="Perpetua Std"/>
      <w:color w:val="000000"/>
      <w:sz w:val="24"/>
    </w:rPr>
  </w:style>
  <w:style w:type="paragraph" w:customStyle="1" w:styleId="PF">
    <w:name w:val="PF"/>
    <w:rsid w:val="005F396B"/>
    <w:pPr>
      <w:tabs>
        <w:tab w:val="left" w:pos="1080"/>
      </w:tabs>
      <w:spacing w:after="240"/>
      <w:ind w:left="1080" w:hanging="360"/>
      <w:jc w:val="both"/>
    </w:pPr>
    <w:rPr>
      <w:rFonts w:ascii="Perpetua Std" w:hAnsi="Perpetua Std"/>
      <w:color w:val="000000"/>
      <w:sz w:val="24"/>
    </w:rPr>
  </w:style>
  <w:style w:type="paragraph" w:customStyle="1" w:styleId="PG">
    <w:name w:val="PG"/>
    <w:rsid w:val="005F396B"/>
    <w:pPr>
      <w:spacing w:after="240"/>
      <w:ind w:left="360"/>
      <w:jc w:val="both"/>
    </w:pPr>
    <w:rPr>
      <w:rFonts w:ascii="Perpetua Std" w:hAnsi="Perpetua Std"/>
      <w:color w:val="000000"/>
      <w:sz w:val="24"/>
    </w:rPr>
  </w:style>
  <w:style w:type="paragraph" w:customStyle="1" w:styleId="PH">
    <w:name w:val="PH"/>
    <w:rsid w:val="005F396B"/>
    <w:pPr>
      <w:tabs>
        <w:tab w:val="left" w:pos="360"/>
      </w:tabs>
      <w:spacing w:after="240"/>
      <w:ind w:left="360" w:hanging="360"/>
      <w:jc w:val="both"/>
    </w:pPr>
    <w:rPr>
      <w:rFonts w:ascii="Perpetua Std" w:hAnsi="Perpetua Std"/>
      <w:color w:val="000000"/>
      <w:sz w:val="24"/>
    </w:rPr>
  </w:style>
  <w:style w:type="paragraph" w:customStyle="1" w:styleId="PI">
    <w:name w:val="PI"/>
    <w:rsid w:val="005F396B"/>
    <w:pPr>
      <w:spacing w:after="240"/>
      <w:ind w:left="360" w:hanging="360"/>
      <w:jc w:val="both"/>
    </w:pPr>
    <w:rPr>
      <w:rFonts w:ascii="Perpetua Std" w:hAnsi="Perpetua Std"/>
      <w:color w:val="000000"/>
      <w:sz w:val="24"/>
    </w:rPr>
  </w:style>
  <w:style w:type="paragraph" w:customStyle="1" w:styleId="PK">
    <w:name w:val="PK"/>
    <w:rsid w:val="005F396B"/>
    <w:pPr>
      <w:spacing w:after="240"/>
      <w:ind w:left="360" w:firstLine="288"/>
      <w:jc w:val="both"/>
    </w:pPr>
    <w:rPr>
      <w:rFonts w:ascii="Perpetua Std" w:hAnsi="Perpetua Std"/>
      <w:color w:val="000000"/>
      <w:sz w:val="24"/>
    </w:rPr>
  </w:style>
  <w:style w:type="paragraph" w:customStyle="1" w:styleId="PL">
    <w:name w:val="PL"/>
    <w:rsid w:val="005F396B"/>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F396B"/>
    <w:pPr>
      <w:spacing w:after="240"/>
      <w:ind w:left="432" w:right="432" w:firstLine="432"/>
      <w:jc w:val="both"/>
    </w:pPr>
    <w:rPr>
      <w:rFonts w:ascii="Minion Pro" w:hAnsi="Minion Pro"/>
    </w:rPr>
  </w:style>
  <w:style w:type="paragraph" w:customStyle="1" w:styleId="TOC">
    <w:name w:val="TOC"/>
    <w:autoRedefine/>
    <w:rsid w:val="005F396B"/>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5F396B"/>
    <w:pPr>
      <w:tabs>
        <w:tab w:val="clear" w:pos="1440"/>
        <w:tab w:val="clear" w:pos="8640"/>
        <w:tab w:val="left" w:pos="240"/>
        <w:tab w:val="left" w:pos="480"/>
        <w:tab w:val="right" w:leader="dot" w:pos="4680"/>
      </w:tabs>
      <w:ind w:left="0" w:firstLine="0"/>
    </w:pPr>
    <w:rPr>
      <w:sz w:val="22"/>
    </w:rPr>
  </w:style>
  <w:style w:type="paragraph" w:customStyle="1" w:styleId="PP">
    <w:name w:val="PP"/>
    <w:rsid w:val="005F396B"/>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5F396B"/>
    <w:pPr>
      <w:spacing w:before="120" w:after="120"/>
      <w:jc w:val="center"/>
    </w:pPr>
    <w:rPr>
      <w:rFonts w:ascii="Helvetica LT Std" w:hAnsi="Helvetica LT Std"/>
      <w:sz w:val="24"/>
    </w:rPr>
  </w:style>
  <w:style w:type="table" w:styleId="TableGrid">
    <w:name w:val="Table Grid"/>
    <w:basedOn w:val="TableNormal"/>
    <w:rsid w:val="005F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5F396B"/>
    <w:pPr>
      <w:spacing w:after="240"/>
      <w:jc w:val="center"/>
    </w:pPr>
    <w:rPr>
      <w:rFonts w:ascii="Helvetica LT Std" w:hAnsi="Helvetica LT Std"/>
      <w:b/>
      <w:caps/>
      <w:color w:val="000000"/>
      <w:sz w:val="36"/>
      <w:szCs w:val="32"/>
    </w:rPr>
  </w:style>
  <w:style w:type="paragraph" w:customStyle="1" w:styleId="HB">
    <w:name w:val="HB"/>
    <w:rsid w:val="005F396B"/>
    <w:pPr>
      <w:spacing w:before="120" w:after="240"/>
      <w:jc w:val="center"/>
    </w:pPr>
    <w:rPr>
      <w:rFonts w:ascii="Helvetica LT Std" w:hAnsi="Helvetica LT Std"/>
      <w:b/>
      <w:color w:val="5F5F5F"/>
      <w:w w:val="105"/>
      <w:sz w:val="32"/>
    </w:rPr>
  </w:style>
  <w:style w:type="paragraph" w:customStyle="1" w:styleId="HC">
    <w:name w:val="HC"/>
    <w:autoRedefine/>
    <w:rsid w:val="005F396B"/>
    <w:pPr>
      <w:tabs>
        <w:tab w:val="left" w:pos="284"/>
      </w:tabs>
      <w:spacing w:before="120" w:after="120"/>
      <w:jc w:val="center"/>
    </w:pPr>
    <w:rPr>
      <w:rFonts w:ascii="Helvetica LT Std" w:hAnsi="Helvetica LT Std"/>
      <w:b/>
      <w:color w:val="000000"/>
      <w:w w:val="110"/>
      <w:sz w:val="26"/>
    </w:rPr>
  </w:style>
  <w:style w:type="paragraph" w:customStyle="1" w:styleId="PR">
    <w:name w:val="PR"/>
    <w:rsid w:val="005F396B"/>
    <w:pPr>
      <w:spacing w:after="240"/>
      <w:ind w:left="360" w:firstLine="288"/>
      <w:jc w:val="both"/>
    </w:pPr>
    <w:rPr>
      <w:rFonts w:ascii="Adobe Caslon Pro" w:hAnsi="Adobe Caslon Pro"/>
      <w:color w:val="000000"/>
      <w:sz w:val="14"/>
    </w:rPr>
  </w:style>
  <w:style w:type="paragraph" w:customStyle="1" w:styleId="PO">
    <w:name w:val="PO"/>
    <w:rsid w:val="005F396B"/>
    <w:pPr>
      <w:spacing w:after="240"/>
      <w:jc w:val="both"/>
    </w:pPr>
    <w:rPr>
      <w:rFonts w:ascii="Perpetua Std" w:hAnsi="Perpetua Std"/>
      <w:color w:val="000000"/>
      <w:w w:val="95"/>
      <w:szCs w:val="16"/>
    </w:rPr>
  </w:style>
  <w:style w:type="paragraph" w:customStyle="1" w:styleId="GUIDEX">
    <w:name w:val="GUIDEX"/>
    <w:rsid w:val="005F396B"/>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5F396B"/>
    <w:pPr>
      <w:tabs>
        <w:tab w:val="clear" w:pos="240"/>
        <w:tab w:val="clear" w:pos="480"/>
        <w:tab w:val="clear" w:pos="720"/>
        <w:tab w:val="right" w:pos="4680"/>
      </w:tabs>
    </w:pPr>
  </w:style>
  <w:style w:type="paragraph" w:customStyle="1" w:styleId="PCB">
    <w:name w:val="PCB"/>
    <w:autoRedefine/>
    <w:rsid w:val="005F396B"/>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5F396B"/>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5F396B"/>
    <w:rPr>
      <w:rFonts w:ascii="Perpetua Std" w:hAnsi="Perpetua Std"/>
    </w:rPr>
  </w:style>
  <w:style w:type="paragraph" w:styleId="NoSpacing">
    <w:name w:val="No Spacing"/>
    <w:qFormat/>
    <w:rsid w:val="005F396B"/>
    <w:rPr>
      <w:rFonts w:ascii="Perpetua" w:hAnsi="Perpetua"/>
    </w:rPr>
  </w:style>
  <w:style w:type="paragraph" w:customStyle="1" w:styleId="PCA">
    <w:name w:val="PCA"/>
    <w:rsid w:val="005F396B"/>
    <w:pPr>
      <w:numPr>
        <w:numId w:val="13"/>
      </w:numPr>
      <w:tabs>
        <w:tab w:val="left" w:pos="720"/>
      </w:tabs>
      <w:spacing w:after="240"/>
      <w:jc w:val="both"/>
    </w:pPr>
    <w:rPr>
      <w:rFonts w:ascii="Perpetua Std" w:hAnsi="Perpetua Std"/>
      <w:sz w:val="24"/>
    </w:rPr>
  </w:style>
  <w:style w:type="paragraph" w:customStyle="1" w:styleId="PHB">
    <w:name w:val="PHB"/>
    <w:rsid w:val="005F396B"/>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5F396B"/>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8545. What is adjusted net capital gain?</vt:lpstr>
    </vt:vector>
  </TitlesOfParts>
  <Company>Summit Business Media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8545. What is adjusted net capital gain?</dc:title>
  <dc:creator>Alexis Long</dc:creator>
  <cp:lastModifiedBy>rcline</cp:lastModifiedBy>
  <cp:revision>2</cp:revision>
  <cp:lastPrinted>2013-08-28T20:59:00Z</cp:lastPrinted>
  <dcterms:created xsi:type="dcterms:W3CDTF">2014-09-21T14:47:00Z</dcterms:created>
  <dcterms:modified xsi:type="dcterms:W3CDTF">2014-09-21T14:47:00Z</dcterms:modified>
</cp:coreProperties>
</file>