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7" w:rsidRPr="003C2689" w:rsidRDefault="00B86944" w:rsidP="00B86944">
      <w:pPr>
        <w:pStyle w:val="HA"/>
      </w:pPr>
      <w:bookmarkStart w:id="0" w:name="_GoBack"/>
      <w:bookmarkEnd w:id="0"/>
      <w:r>
        <w:t xml:space="preserve">Part II: </w:t>
      </w:r>
      <w:r w:rsidR="00FC3367" w:rsidRPr="00B86944">
        <w:t xml:space="preserve">CAPITAL GAINS </w:t>
      </w:r>
      <w:r w:rsidR="00DA7231">
        <w:t>AND</w:t>
      </w:r>
      <w:r w:rsidR="00FC3367" w:rsidRPr="00B86944">
        <w:t xml:space="preserve"> LOSSES</w:t>
      </w:r>
    </w:p>
    <w:p w:rsidR="005D319B" w:rsidRDefault="005D319B" w:rsidP="00B86944">
      <w:pPr>
        <w:pStyle w:val="PA"/>
        <w:rPr>
          <w:b/>
          <w:sz w:val="28"/>
          <w:szCs w:val="28"/>
        </w:rPr>
      </w:pPr>
    </w:p>
    <w:p w:rsidR="005D319B" w:rsidRPr="005D319B" w:rsidRDefault="005D319B" w:rsidP="005D319B">
      <w:pPr>
        <w:pStyle w:val="PA"/>
        <w:rPr>
          <w:b/>
          <w:sz w:val="28"/>
          <w:szCs w:val="28"/>
        </w:rPr>
      </w:pPr>
      <w:r w:rsidRPr="005D319B">
        <w:rPr>
          <w:b/>
          <w:sz w:val="28"/>
          <w:szCs w:val="28"/>
        </w:rPr>
        <w:t>8543.  What is a “capital asset”?</w:t>
      </w:r>
    </w:p>
    <w:p w:rsidR="00FA7F04" w:rsidRDefault="00FA7F04" w:rsidP="00B86944">
      <w:pPr>
        <w:pStyle w:val="PA"/>
      </w:pPr>
      <w:r w:rsidRPr="005C6944">
        <w:t xml:space="preserve">Generally, any property held as an investment is a capital asset, except that rental real estate is </w:t>
      </w:r>
      <w:r>
        <w:t>typically</w:t>
      </w:r>
      <w:r w:rsidRPr="005C6944">
        <w:t xml:space="preserve"> not a capital asset because it is treated as a trade or business asset.</w:t>
      </w:r>
      <w:r w:rsidRPr="0074319B">
        <w:rPr>
          <w:vertAlign w:val="superscript"/>
        </w:rPr>
        <w:footnoteReference w:id="1"/>
      </w:r>
    </w:p>
    <w:p w:rsidR="00FD757B" w:rsidRDefault="00FA7F04" w:rsidP="00B86944">
      <w:pPr>
        <w:pStyle w:val="PA"/>
      </w:pPr>
      <w:r>
        <w:t xml:space="preserve">The </w:t>
      </w:r>
      <w:r w:rsidR="00AE05FF">
        <w:t xml:space="preserve">Code defines a </w:t>
      </w:r>
      <w:r w:rsidR="00CD3D7E">
        <w:t xml:space="preserve">“capital asset” </w:t>
      </w:r>
      <w:r w:rsidR="00AE05FF">
        <w:t>by what it is not.  So f</w:t>
      </w:r>
      <w:r w:rsidR="00FD757B" w:rsidRPr="00CD3D7E">
        <w:t>or</w:t>
      </w:r>
      <w:r w:rsidR="00FD757B">
        <w:t xml:space="preserve"> </w:t>
      </w:r>
      <w:r w:rsidR="00AE05FF">
        <w:t xml:space="preserve">purposes of determining whether a certain type of property is a capital asset, it cannot be </w:t>
      </w:r>
      <w:r w:rsidR="00FD757B">
        <w:t>any of the following types of property</w:t>
      </w:r>
      <w:r w:rsidR="00F4296A" w:rsidRPr="005C6944">
        <w:t xml:space="preserve">: </w:t>
      </w:r>
    </w:p>
    <w:p w:rsidR="00FD757B" w:rsidRDefault="00F4296A" w:rsidP="00B86944">
      <w:pPr>
        <w:pStyle w:val="PC"/>
      </w:pPr>
      <w:r w:rsidRPr="005C6944">
        <w:t>(1)</w:t>
      </w:r>
      <w:r w:rsidR="00B86944">
        <w:tab/>
      </w:r>
      <w:proofErr w:type="gramStart"/>
      <w:r w:rsidRPr="005C6944">
        <w:t>property</w:t>
      </w:r>
      <w:proofErr w:type="gramEnd"/>
      <w:r w:rsidRPr="005C6944">
        <w:t xml:space="preserve"> (including inventory and stock in trade) held primarily for sale to customers; </w:t>
      </w:r>
    </w:p>
    <w:p w:rsidR="00FD757B" w:rsidRDefault="00F4296A" w:rsidP="00B86944">
      <w:pPr>
        <w:pStyle w:val="PC"/>
      </w:pPr>
      <w:r w:rsidRPr="005C6944">
        <w:t>(2)</w:t>
      </w:r>
      <w:r w:rsidR="00B86944">
        <w:tab/>
      </w:r>
      <w:proofErr w:type="gramStart"/>
      <w:r w:rsidRPr="005C6944">
        <w:t>real</w:t>
      </w:r>
      <w:proofErr w:type="gramEnd"/>
      <w:r w:rsidRPr="005C6944">
        <w:t xml:space="preserve"> or depreciable property used in </w:t>
      </w:r>
      <w:r w:rsidR="00FD757B">
        <w:t>the taxpayer’s</w:t>
      </w:r>
      <w:r w:rsidRPr="005C6944">
        <w:t xml:space="preserve"> trade or business; </w:t>
      </w:r>
    </w:p>
    <w:p w:rsidR="00FD757B" w:rsidRDefault="00F4296A" w:rsidP="00B86944">
      <w:pPr>
        <w:pStyle w:val="PC"/>
      </w:pPr>
      <w:r w:rsidRPr="005C6944">
        <w:t>(3)</w:t>
      </w:r>
      <w:r w:rsidR="00B86944">
        <w:tab/>
      </w:r>
      <w:r w:rsidRPr="005C6944">
        <w:t xml:space="preserve">copyrights and literary, musical, or artistic compositions (or similar properties) created by the taxpayer, or merely owned by him, if </w:t>
      </w:r>
      <w:r w:rsidR="00D223DC">
        <w:t>the taxpayer’s</w:t>
      </w:r>
      <w:r w:rsidR="00816BFC">
        <w:t xml:space="preserve"> </w:t>
      </w:r>
      <w:r w:rsidRPr="005C6944">
        <w:t xml:space="preserve">basis in the property is determined (other than by reason of IRC Section 1022, which governs the basis determination of inherited property) by reference to the creator’s tax basis; </w:t>
      </w:r>
    </w:p>
    <w:p w:rsidR="00FD757B" w:rsidRDefault="00F4296A" w:rsidP="00B86944">
      <w:pPr>
        <w:pStyle w:val="PC"/>
      </w:pPr>
      <w:r w:rsidRPr="005C6944">
        <w:t>(4)</w:t>
      </w:r>
      <w:r w:rsidR="00B86944">
        <w:tab/>
      </w:r>
      <w:proofErr w:type="gramStart"/>
      <w:r w:rsidRPr="005C6944">
        <w:t>letters</w:t>
      </w:r>
      <w:proofErr w:type="gramEnd"/>
      <w:r w:rsidRPr="005C6944">
        <w:t xml:space="preserve">, memoranda, and similar properties produced by or for the taxpayer, or </w:t>
      </w:r>
      <w:r w:rsidR="00F53618">
        <w:t>owned by him</w:t>
      </w:r>
      <w:r w:rsidRPr="005C6944">
        <w:t xml:space="preserve"> if </w:t>
      </w:r>
      <w:r w:rsidR="00D223DC">
        <w:t>the taxpayer’s</w:t>
      </w:r>
      <w:r w:rsidR="00816BFC">
        <w:t xml:space="preserve"> </w:t>
      </w:r>
      <w:r w:rsidRPr="005C6944">
        <w:t xml:space="preserve">basis is determined by reference to the tax basis of </w:t>
      </w:r>
      <w:r w:rsidR="00F53618">
        <w:t>the</w:t>
      </w:r>
      <w:r w:rsidRPr="005C6944">
        <w:t xml:space="preserve"> producer or recipient; </w:t>
      </w:r>
    </w:p>
    <w:p w:rsidR="00FD757B" w:rsidRDefault="00F4296A" w:rsidP="00B86944">
      <w:pPr>
        <w:pStyle w:val="PC"/>
      </w:pPr>
      <w:r w:rsidRPr="005C6944">
        <w:t>(5)</w:t>
      </w:r>
      <w:r w:rsidR="00B86944">
        <w:tab/>
      </w:r>
      <w:r w:rsidRPr="005C6944">
        <w:t xml:space="preserve">accounts or notes receivable acquired in </w:t>
      </w:r>
      <w:r w:rsidR="00FD757B">
        <w:t>the taxpayer’s</w:t>
      </w:r>
      <w:r w:rsidRPr="005C6944">
        <w:t xml:space="preserve"> trade or business for services rendered or sales of property described in (1), above; </w:t>
      </w:r>
    </w:p>
    <w:p w:rsidR="00FD757B" w:rsidRDefault="00F4296A" w:rsidP="00B86944">
      <w:pPr>
        <w:pStyle w:val="PC"/>
      </w:pPr>
      <w:r w:rsidRPr="005C6944">
        <w:t>(6)</w:t>
      </w:r>
      <w:r w:rsidR="00B86944">
        <w:tab/>
      </w:r>
      <w:proofErr w:type="gramStart"/>
      <w:r w:rsidRPr="005C6944">
        <w:t>certain</w:t>
      </w:r>
      <w:proofErr w:type="gramEnd"/>
      <w:r w:rsidRPr="005C6944">
        <w:t xml:space="preserve"> publications of the United States government; </w:t>
      </w:r>
    </w:p>
    <w:p w:rsidR="00FD757B" w:rsidRDefault="00F4296A" w:rsidP="00B86944">
      <w:pPr>
        <w:pStyle w:val="PC"/>
      </w:pPr>
      <w:r w:rsidRPr="005C6944">
        <w:t>(7)</w:t>
      </w:r>
      <w:r w:rsidR="00B86944">
        <w:tab/>
      </w:r>
      <w:proofErr w:type="gramStart"/>
      <w:r w:rsidRPr="005C6944">
        <w:t>any</w:t>
      </w:r>
      <w:proofErr w:type="gramEnd"/>
      <w:r w:rsidRPr="005C6944">
        <w:t xml:space="preserve"> commodities derivative financial instrument held by a commodities derivatives dealer; </w:t>
      </w:r>
    </w:p>
    <w:p w:rsidR="00FD757B" w:rsidRDefault="00F4296A" w:rsidP="00B86944">
      <w:pPr>
        <w:pStyle w:val="PC"/>
      </w:pPr>
      <w:r w:rsidRPr="005C6944">
        <w:t>(8)</w:t>
      </w:r>
      <w:r w:rsidR="00B86944">
        <w:tab/>
      </w:r>
      <w:proofErr w:type="gramStart"/>
      <w:r w:rsidRPr="005C6944">
        <w:t>any</w:t>
      </w:r>
      <w:proofErr w:type="gramEnd"/>
      <w:r w:rsidRPr="005C6944">
        <w:t xml:space="preserve"> hedging instrument clearly identified as such by the required time; </w:t>
      </w:r>
      <w:r w:rsidR="00FD757B">
        <w:t>or</w:t>
      </w:r>
      <w:r w:rsidRPr="005C6944">
        <w:t xml:space="preserve"> </w:t>
      </w:r>
    </w:p>
    <w:p w:rsidR="00F4296A" w:rsidRDefault="00F4296A" w:rsidP="00B86944">
      <w:pPr>
        <w:pStyle w:val="PC"/>
      </w:pPr>
      <w:r w:rsidRPr="005C6944">
        <w:t>(9)</w:t>
      </w:r>
      <w:r w:rsidR="00B86944">
        <w:tab/>
      </w:r>
      <w:proofErr w:type="gramStart"/>
      <w:r w:rsidRPr="005C6944">
        <w:t>supplies</w:t>
      </w:r>
      <w:proofErr w:type="gramEnd"/>
      <w:r w:rsidRPr="005C6944">
        <w:t xml:space="preserve"> of a type regularly used or consumed by the taxpayer in the ordinary course of </w:t>
      </w:r>
      <w:r w:rsidR="00D223DC">
        <w:t>the taxpayer’s</w:t>
      </w:r>
      <w:r w:rsidR="00816BFC">
        <w:t xml:space="preserve"> </w:t>
      </w:r>
      <w:r w:rsidRPr="005C6944">
        <w:t>trade or business.</w:t>
      </w:r>
      <w:r w:rsidRPr="0074319B">
        <w:rPr>
          <w:vertAlign w:val="superscript"/>
        </w:rPr>
        <w:footnoteReference w:id="2"/>
      </w:r>
    </w:p>
    <w:p w:rsidR="00F4296A" w:rsidRDefault="00F4296A" w:rsidP="00255005">
      <w:pPr>
        <w:pStyle w:val="PA"/>
      </w:pPr>
    </w:p>
    <w:sectPr w:rsidR="00F4296A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9" w:rsidRDefault="005C0739" w:rsidP="00F4296A">
      <w:r>
        <w:separator/>
      </w:r>
    </w:p>
  </w:endnote>
  <w:endnote w:type="continuationSeparator" w:id="0">
    <w:p w:rsidR="005C0739" w:rsidRDefault="005C0739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9" w:rsidRDefault="005C0739" w:rsidP="00F4296A">
      <w:r>
        <w:separator/>
      </w:r>
    </w:p>
  </w:footnote>
  <w:footnote w:type="continuationSeparator" w:id="0">
    <w:p w:rsidR="005C0739" w:rsidRDefault="005C0739" w:rsidP="00F4296A">
      <w:r>
        <w:continuationSeparator/>
      </w:r>
    </w:p>
  </w:footnote>
  <w:footnote w:id="1">
    <w:p w:rsidR="003566BE" w:rsidRPr="005C6944" w:rsidRDefault="003566BE" w:rsidP="0074319B">
      <w:pPr>
        <w:pStyle w:val="PQ"/>
      </w:pPr>
      <w:r w:rsidRPr="005C6944">
        <w:footnoteRef/>
      </w:r>
      <w:r w:rsidR="00144D20">
        <w:t>.</w:t>
      </w:r>
      <w:r w:rsidR="00144D20">
        <w:tab/>
      </w:r>
      <w:r w:rsidR="0074319B" w:rsidRPr="005C6944">
        <w:t>See IRS Pub. 544.</w:t>
      </w:r>
    </w:p>
  </w:footnote>
  <w:footnote w:id="2">
    <w:p w:rsidR="003566BE" w:rsidRPr="005C6944" w:rsidRDefault="003566BE" w:rsidP="0074319B">
      <w:pPr>
        <w:pStyle w:val="PQ"/>
      </w:pPr>
      <w:r w:rsidRPr="005C6944">
        <w:footnoteRef/>
      </w:r>
      <w:r w:rsidR="00144D20">
        <w:t>.</w:t>
      </w:r>
      <w:r w:rsidR="00144D20">
        <w:tab/>
      </w:r>
      <w:r w:rsidR="0074319B" w:rsidRPr="005C6944">
        <w:t>IRC Sec. 1221; Treas. Reg. §1.1221-1.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A22B1"/>
    <w:rsid w:val="000A53C2"/>
    <w:rsid w:val="000C1776"/>
    <w:rsid w:val="000F4FD7"/>
    <w:rsid w:val="001018D5"/>
    <w:rsid w:val="00135C9D"/>
    <w:rsid w:val="001409E2"/>
    <w:rsid w:val="00144D20"/>
    <w:rsid w:val="0016358E"/>
    <w:rsid w:val="00170900"/>
    <w:rsid w:val="001C40E6"/>
    <w:rsid w:val="001F52F4"/>
    <w:rsid w:val="001F73A2"/>
    <w:rsid w:val="00215C3D"/>
    <w:rsid w:val="00255005"/>
    <w:rsid w:val="00271A21"/>
    <w:rsid w:val="002B438C"/>
    <w:rsid w:val="002D4314"/>
    <w:rsid w:val="00307DB9"/>
    <w:rsid w:val="003566BE"/>
    <w:rsid w:val="00366114"/>
    <w:rsid w:val="00424E7B"/>
    <w:rsid w:val="004406FD"/>
    <w:rsid w:val="00442416"/>
    <w:rsid w:val="00453AA6"/>
    <w:rsid w:val="00475112"/>
    <w:rsid w:val="00491DE8"/>
    <w:rsid w:val="00494472"/>
    <w:rsid w:val="004A3275"/>
    <w:rsid w:val="004B69F3"/>
    <w:rsid w:val="004D5C3E"/>
    <w:rsid w:val="004F216D"/>
    <w:rsid w:val="00525224"/>
    <w:rsid w:val="0055012A"/>
    <w:rsid w:val="0057053C"/>
    <w:rsid w:val="005963EF"/>
    <w:rsid w:val="005C0739"/>
    <w:rsid w:val="005D0931"/>
    <w:rsid w:val="005D319B"/>
    <w:rsid w:val="006370D0"/>
    <w:rsid w:val="006451B3"/>
    <w:rsid w:val="00672FCA"/>
    <w:rsid w:val="0067311C"/>
    <w:rsid w:val="006767EC"/>
    <w:rsid w:val="006D7FA7"/>
    <w:rsid w:val="006F6498"/>
    <w:rsid w:val="00713384"/>
    <w:rsid w:val="00715A46"/>
    <w:rsid w:val="007202C3"/>
    <w:rsid w:val="0074319B"/>
    <w:rsid w:val="007B5E18"/>
    <w:rsid w:val="007D5C29"/>
    <w:rsid w:val="007F0BBA"/>
    <w:rsid w:val="007F4511"/>
    <w:rsid w:val="00816BFC"/>
    <w:rsid w:val="00835B27"/>
    <w:rsid w:val="00871A99"/>
    <w:rsid w:val="00893227"/>
    <w:rsid w:val="008B16D5"/>
    <w:rsid w:val="008C20FB"/>
    <w:rsid w:val="008D3707"/>
    <w:rsid w:val="008D6FC8"/>
    <w:rsid w:val="0092753D"/>
    <w:rsid w:val="009934EF"/>
    <w:rsid w:val="009C5F6E"/>
    <w:rsid w:val="00A02AF1"/>
    <w:rsid w:val="00A1572A"/>
    <w:rsid w:val="00A20C49"/>
    <w:rsid w:val="00A53374"/>
    <w:rsid w:val="00A540B7"/>
    <w:rsid w:val="00A96188"/>
    <w:rsid w:val="00AB31AE"/>
    <w:rsid w:val="00AE05FF"/>
    <w:rsid w:val="00AE4D8A"/>
    <w:rsid w:val="00AF5D01"/>
    <w:rsid w:val="00B31555"/>
    <w:rsid w:val="00B7149F"/>
    <w:rsid w:val="00B86944"/>
    <w:rsid w:val="00BC0EC2"/>
    <w:rsid w:val="00BF3D51"/>
    <w:rsid w:val="00BF4219"/>
    <w:rsid w:val="00C15AB8"/>
    <w:rsid w:val="00C223B6"/>
    <w:rsid w:val="00C51F31"/>
    <w:rsid w:val="00C82361"/>
    <w:rsid w:val="00C979CC"/>
    <w:rsid w:val="00CA2508"/>
    <w:rsid w:val="00CD3D7E"/>
    <w:rsid w:val="00CD6002"/>
    <w:rsid w:val="00CE476F"/>
    <w:rsid w:val="00CF6495"/>
    <w:rsid w:val="00D128C3"/>
    <w:rsid w:val="00D223DC"/>
    <w:rsid w:val="00D243A7"/>
    <w:rsid w:val="00D36C53"/>
    <w:rsid w:val="00D45E0D"/>
    <w:rsid w:val="00D81626"/>
    <w:rsid w:val="00DA7231"/>
    <w:rsid w:val="00DE3662"/>
    <w:rsid w:val="00E03171"/>
    <w:rsid w:val="00E25EBE"/>
    <w:rsid w:val="00E728D7"/>
    <w:rsid w:val="00E853E9"/>
    <w:rsid w:val="00E86B42"/>
    <w:rsid w:val="00E86CF5"/>
    <w:rsid w:val="00EA280B"/>
    <w:rsid w:val="00EC07A2"/>
    <w:rsid w:val="00EC6225"/>
    <w:rsid w:val="00EC7AA5"/>
    <w:rsid w:val="00EE44FD"/>
    <w:rsid w:val="00F37136"/>
    <w:rsid w:val="00F4296A"/>
    <w:rsid w:val="00F530D4"/>
    <w:rsid w:val="00F53618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AB31A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AB31A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31A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B31A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AB31A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AB31A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AB31AE"/>
    <w:rPr>
      <w:rFonts w:ascii="Perpetua Std" w:hAnsi="Perpetua Std"/>
      <w:color w:val="000000"/>
      <w:sz w:val="24"/>
    </w:rPr>
  </w:style>
  <w:style w:type="paragraph" w:customStyle="1" w:styleId="PB">
    <w:name w:val="PB"/>
    <w:rsid w:val="00AB31A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AB31A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AB31A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AB31AE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AB31AE"/>
    <w:rPr>
      <w:vertAlign w:val="superscript"/>
    </w:rPr>
  </w:style>
  <w:style w:type="paragraph" w:customStyle="1" w:styleId="HD">
    <w:name w:val="HD"/>
    <w:rsid w:val="00AB31A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AB31A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AB31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AB31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AB31AE"/>
    <w:pPr>
      <w:spacing w:before="144"/>
      <w:jc w:val="both"/>
    </w:pPr>
    <w:rPr>
      <w:noProof/>
    </w:rPr>
  </w:style>
  <w:style w:type="paragraph" w:customStyle="1" w:styleId="PD">
    <w:name w:val="PD"/>
    <w:rsid w:val="00AB31A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AB31A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AB31A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AB31A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AB31A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AB31A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AB31A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AB31A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AB31A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AB31A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AB31A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AB31A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AB31AE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AB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AB31A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AB31AE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AB31A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AB31A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AB31A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AB31A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AB31A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AB31AE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AB31AE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AB31AE"/>
    <w:rPr>
      <w:rFonts w:ascii="Perpetua Std" w:hAnsi="Perpetua Std"/>
    </w:rPr>
  </w:style>
  <w:style w:type="paragraph" w:styleId="NoSpacing">
    <w:name w:val="No Spacing"/>
    <w:qFormat/>
    <w:rsid w:val="00AB31AE"/>
    <w:rPr>
      <w:rFonts w:ascii="Perpetua" w:hAnsi="Perpetua"/>
    </w:rPr>
  </w:style>
  <w:style w:type="paragraph" w:customStyle="1" w:styleId="PCA">
    <w:name w:val="PCA"/>
    <w:rsid w:val="00AB31AE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AB31AE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AB31AE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AB31A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AB31A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31A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B31A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AB31A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AB31A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AB31AE"/>
    <w:rPr>
      <w:rFonts w:ascii="Perpetua Std" w:hAnsi="Perpetua Std"/>
      <w:color w:val="000000"/>
      <w:sz w:val="24"/>
    </w:rPr>
  </w:style>
  <w:style w:type="paragraph" w:customStyle="1" w:styleId="PB">
    <w:name w:val="PB"/>
    <w:rsid w:val="00AB31A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AB31A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AB31A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AB31AE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AB31AE"/>
    <w:rPr>
      <w:vertAlign w:val="superscript"/>
    </w:rPr>
  </w:style>
  <w:style w:type="paragraph" w:customStyle="1" w:styleId="HD">
    <w:name w:val="HD"/>
    <w:rsid w:val="00AB31A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AB31A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AB31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AB31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AB31AE"/>
    <w:pPr>
      <w:spacing w:before="144"/>
      <w:jc w:val="both"/>
    </w:pPr>
    <w:rPr>
      <w:noProof/>
    </w:rPr>
  </w:style>
  <w:style w:type="paragraph" w:customStyle="1" w:styleId="PD">
    <w:name w:val="PD"/>
    <w:rsid w:val="00AB31A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AB31A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AB31A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AB31A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AB31A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AB31A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AB31A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AB31A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AB31A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AB31A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AB31A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AB31A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AB31AE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AB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AB31A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AB31AE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AB31A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AB31A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AB31A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AB31A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AB31A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AB31AE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AB31AE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AB31AE"/>
    <w:rPr>
      <w:rFonts w:ascii="Perpetua Std" w:hAnsi="Perpetua Std"/>
    </w:rPr>
  </w:style>
  <w:style w:type="paragraph" w:styleId="NoSpacing">
    <w:name w:val="No Spacing"/>
    <w:qFormat/>
    <w:rsid w:val="00AB31AE"/>
    <w:rPr>
      <w:rFonts w:ascii="Perpetua" w:hAnsi="Perpetua"/>
    </w:rPr>
  </w:style>
  <w:style w:type="paragraph" w:customStyle="1" w:styleId="PCA">
    <w:name w:val="PCA"/>
    <w:rsid w:val="00AB31AE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AB31AE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AB31AE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8543. What is a “capital asset”?</vt:lpstr>
    </vt:vector>
  </TitlesOfParts>
  <Company>Summit Business Media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8543. What is a “capital asset”?</dc:title>
  <dc:creator>Alexis Long</dc:creator>
  <cp:lastModifiedBy>rcline</cp:lastModifiedBy>
  <cp:revision>2</cp:revision>
  <cp:lastPrinted>2013-08-28T20:59:00Z</cp:lastPrinted>
  <dcterms:created xsi:type="dcterms:W3CDTF">2014-08-21T12:57:00Z</dcterms:created>
  <dcterms:modified xsi:type="dcterms:W3CDTF">2014-08-21T12:57:00Z</dcterms:modified>
</cp:coreProperties>
</file>