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57" w:rsidRPr="00FF4E57" w:rsidRDefault="00FF4E57" w:rsidP="00FF4E57">
      <w:pPr>
        <w:pStyle w:val="PA"/>
        <w:rPr>
          <w:b/>
          <w:sz w:val="28"/>
          <w:szCs w:val="28"/>
        </w:rPr>
      </w:pPr>
      <w:bookmarkStart w:id="0" w:name="_GoBack"/>
      <w:bookmarkEnd w:id="0"/>
      <w:r w:rsidRPr="00FF4E57">
        <w:rPr>
          <w:b/>
          <w:sz w:val="28"/>
          <w:szCs w:val="28"/>
        </w:rPr>
        <w:t xml:space="preserve">8538.  </w:t>
      </w:r>
      <w:r w:rsidR="00D76655">
        <w:rPr>
          <w:b/>
          <w:sz w:val="28"/>
          <w:szCs w:val="28"/>
        </w:rPr>
        <w:t xml:space="preserve">How </w:t>
      </w:r>
      <w:r w:rsidRPr="00FF4E57">
        <w:rPr>
          <w:b/>
          <w:sz w:val="28"/>
          <w:szCs w:val="28"/>
        </w:rPr>
        <w:t xml:space="preserve">is alternative minimum taxable income (AMTI) </w:t>
      </w:r>
      <w:r w:rsidR="00D76655">
        <w:rPr>
          <w:b/>
          <w:sz w:val="28"/>
          <w:szCs w:val="28"/>
        </w:rPr>
        <w:t>computed</w:t>
      </w:r>
      <w:r w:rsidR="00952273">
        <w:rPr>
          <w:b/>
          <w:sz w:val="28"/>
          <w:szCs w:val="28"/>
        </w:rPr>
        <w:t>?</w:t>
      </w:r>
    </w:p>
    <w:p w:rsidR="00427B74" w:rsidRPr="00532B64" w:rsidRDefault="007865B2" w:rsidP="004E7836">
      <w:pPr>
        <w:pStyle w:val="PA"/>
      </w:pPr>
      <w:r w:rsidRPr="00532B64">
        <w:t xml:space="preserve">Alternative minimum taxable income </w:t>
      </w:r>
      <w:r w:rsidR="00CB0AF1" w:rsidRPr="00532B64">
        <w:t xml:space="preserve">(AMTI) </w:t>
      </w:r>
      <w:r w:rsidRPr="00532B64">
        <w:t xml:space="preserve">is taxable income, with adjustments made </w:t>
      </w:r>
      <w:r w:rsidR="00D76655">
        <w:t xml:space="preserve">in the way certain </w:t>
      </w:r>
      <w:r w:rsidRPr="00532B64">
        <w:t>items</w:t>
      </w:r>
      <w:r w:rsidR="00D76655">
        <w:t xml:space="preserve"> are treated for AMT purposes</w:t>
      </w:r>
      <w:r w:rsidR="00952273">
        <w:t xml:space="preserve"> and increased by tax preference items</w:t>
      </w:r>
      <w:r w:rsidRPr="00532B64">
        <w:t>.</w:t>
      </w:r>
      <w:r w:rsidRPr="00532B64">
        <w:rPr>
          <w:vertAlign w:val="superscript"/>
        </w:rPr>
        <w:footnoteReference w:id="1"/>
      </w:r>
    </w:p>
    <w:p w:rsidR="00427B74" w:rsidRPr="00532B64" w:rsidRDefault="007865B2" w:rsidP="004E7836">
      <w:pPr>
        <w:pStyle w:val="PA"/>
      </w:pPr>
      <w:r w:rsidRPr="00532B64">
        <w:t xml:space="preserve">Except as otherwise provided </w:t>
      </w:r>
      <w:r w:rsidR="00CB0AF1" w:rsidRPr="00532B64">
        <w:t xml:space="preserve">below and in </w:t>
      </w:r>
      <w:r w:rsidR="000465CA" w:rsidRPr="00532B64">
        <w:t>Q 85</w:t>
      </w:r>
      <w:r w:rsidR="00A82E6D" w:rsidRPr="00532B64">
        <w:t xml:space="preserve">39 and </w:t>
      </w:r>
      <w:r w:rsidR="000465CA" w:rsidRPr="00532B64">
        <w:t>Q 85</w:t>
      </w:r>
      <w:r w:rsidR="00A82E6D" w:rsidRPr="00532B64">
        <w:t>40</w:t>
      </w:r>
      <w:r w:rsidRPr="00532B64">
        <w:t>, the provisions that apply in determining the regular taxable income of a taxpayer also generally apply in determining the AMTI of the taxpayer.</w:t>
      </w:r>
      <w:r w:rsidRPr="00532B64">
        <w:rPr>
          <w:vertAlign w:val="superscript"/>
        </w:rPr>
        <w:footnoteReference w:id="2"/>
      </w:r>
      <w:r w:rsidRPr="00532B64">
        <w:t xml:space="preserve"> In addition, references to a non</w:t>
      </w:r>
      <w:r w:rsidR="00A82E6D" w:rsidRPr="00532B64">
        <w:t>-</w:t>
      </w:r>
      <w:r w:rsidRPr="00532B64">
        <w:t>corporate taxpayer’s adjusted gross income (AGI) or modified AGI in determining the amount of items of income, exclusion, or deduction must be treated as references to the taxpayer’s AGI or modified AGI as determined for regular tax purposes.</w:t>
      </w:r>
      <w:r w:rsidRPr="00532B64">
        <w:rPr>
          <w:vertAlign w:val="superscript"/>
        </w:rPr>
        <w:footnoteReference w:id="3"/>
      </w:r>
    </w:p>
    <w:p w:rsidR="009A22C7" w:rsidRDefault="009A22C7" w:rsidP="004E7836">
      <w:pPr>
        <w:pStyle w:val="PA"/>
      </w:pPr>
      <w:r>
        <w:t>The following chart is a non-exclusive comparison of the different treatment of certain items in the computation of regular income tax as compared to the computation of AMT:</w:t>
      </w:r>
      <w:r w:rsidR="00D76655">
        <w:rPr>
          <w:rStyle w:val="EndnoteReference"/>
        </w:rPr>
        <w:endnoteReference w:id="1"/>
      </w:r>
    </w:p>
    <w:tbl>
      <w:tblPr>
        <w:tblStyle w:val="TableGrid"/>
        <w:tblW w:w="0" w:type="auto"/>
        <w:tblLook w:val="04A0" w:firstRow="1" w:lastRow="0" w:firstColumn="1" w:lastColumn="0" w:noHBand="0" w:noVBand="1"/>
      </w:tblPr>
      <w:tblGrid>
        <w:gridCol w:w="3192"/>
        <w:gridCol w:w="3192"/>
        <w:gridCol w:w="3192"/>
      </w:tblGrid>
      <w:tr w:rsidR="009A22C7" w:rsidTr="009A22C7">
        <w:tc>
          <w:tcPr>
            <w:tcW w:w="3192" w:type="dxa"/>
          </w:tcPr>
          <w:p w:rsidR="009A22C7" w:rsidRDefault="009A22C7" w:rsidP="004E7836">
            <w:pPr>
              <w:pStyle w:val="PA"/>
              <w:ind w:firstLine="0"/>
            </w:pPr>
            <w:r>
              <w:t>Item</w:t>
            </w:r>
          </w:p>
        </w:tc>
        <w:tc>
          <w:tcPr>
            <w:tcW w:w="3192" w:type="dxa"/>
          </w:tcPr>
          <w:p w:rsidR="009A22C7" w:rsidRDefault="009A22C7" w:rsidP="004E7836">
            <w:pPr>
              <w:pStyle w:val="PA"/>
              <w:ind w:firstLine="0"/>
            </w:pPr>
            <w:r>
              <w:t>Regular Income Tax Computation</w:t>
            </w:r>
          </w:p>
        </w:tc>
        <w:tc>
          <w:tcPr>
            <w:tcW w:w="3192" w:type="dxa"/>
          </w:tcPr>
          <w:p w:rsidR="009A22C7" w:rsidRDefault="009A22C7" w:rsidP="004E7836">
            <w:pPr>
              <w:pStyle w:val="PA"/>
              <w:ind w:firstLine="0"/>
            </w:pPr>
            <w:r>
              <w:t>AMT Computation</w:t>
            </w:r>
          </w:p>
        </w:tc>
      </w:tr>
      <w:tr w:rsidR="009A22C7" w:rsidTr="009A22C7">
        <w:tc>
          <w:tcPr>
            <w:tcW w:w="3192" w:type="dxa"/>
          </w:tcPr>
          <w:p w:rsidR="009A22C7" w:rsidRDefault="009A22C7" w:rsidP="00D76655">
            <w:pPr>
              <w:pStyle w:val="PA"/>
              <w:ind w:firstLine="0"/>
              <w:jc w:val="left"/>
            </w:pPr>
            <w:r>
              <w:t>Standard deduction (taxpayer does not itemize)</w:t>
            </w:r>
          </w:p>
        </w:tc>
        <w:tc>
          <w:tcPr>
            <w:tcW w:w="3192" w:type="dxa"/>
          </w:tcPr>
          <w:p w:rsidR="009A22C7" w:rsidRDefault="009A22C7" w:rsidP="004E7836">
            <w:pPr>
              <w:pStyle w:val="PA"/>
              <w:ind w:firstLine="0"/>
            </w:pPr>
            <w:r>
              <w:t>Allowed</w:t>
            </w:r>
          </w:p>
        </w:tc>
        <w:tc>
          <w:tcPr>
            <w:tcW w:w="3192" w:type="dxa"/>
          </w:tcPr>
          <w:p w:rsidR="009A22C7" w:rsidRDefault="009A22C7" w:rsidP="004E7836">
            <w:pPr>
              <w:pStyle w:val="PA"/>
              <w:ind w:firstLine="0"/>
            </w:pPr>
            <w:r>
              <w:t>Not allowed</w:t>
            </w:r>
          </w:p>
        </w:tc>
      </w:tr>
      <w:tr w:rsidR="009A22C7" w:rsidTr="009A22C7">
        <w:tc>
          <w:tcPr>
            <w:tcW w:w="3192" w:type="dxa"/>
          </w:tcPr>
          <w:p w:rsidR="009A22C7" w:rsidRDefault="009A22C7" w:rsidP="004E7836">
            <w:pPr>
              <w:pStyle w:val="PA"/>
              <w:ind w:firstLine="0"/>
            </w:pPr>
            <w:r>
              <w:t>Phase out of itemized deductions</w:t>
            </w:r>
          </w:p>
        </w:tc>
        <w:tc>
          <w:tcPr>
            <w:tcW w:w="3192" w:type="dxa"/>
          </w:tcPr>
          <w:p w:rsidR="009A22C7" w:rsidRDefault="009A22C7" w:rsidP="004E7836">
            <w:pPr>
              <w:pStyle w:val="PA"/>
              <w:ind w:firstLine="0"/>
            </w:pPr>
            <w:r>
              <w:t>Phased out if AGI exceeds applicable thresholds</w:t>
            </w:r>
          </w:p>
        </w:tc>
        <w:tc>
          <w:tcPr>
            <w:tcW w:w="3192" w:type="dxa"/>
          </w:tcPr>
          <w:p w:rsidR="009A22C7" w:rsidRDefault="009A22C7" w:rsidP="004E7836">
            <w:pPr>
              <w:pStyle w:val="PA"/>
              <w:ind w:firstLine="0"/>
            </w:pPr>
            <w:r>
              <w:t>No phase out</w:t>
            </w:r>
          </w:p>
        </w:tc>
      </w:tr>
      <w:tr w:rsidR="009A22C7" w:rsidTr="009A22C7">
        <w:tc>
          <w:tcPr>
            <w:tcW w:w="3192" w:type="dxa"/>
          </w:tcPr>
          <w:p w:rsidR="009A22C7" w:rsidRDefault="005540E0" w:rsidP="004E7836">
            <w:pPr>
              <w:pStyle w:val="PA"/>
              <w:ind w:firstLine="0"/>
            </w:pPr>
            <w:r>
              <w:t>Medical Expenses</w:t>
            </w:r>
          </w:p>
        </w:tc>
        <w:tc>
          <w:tcPr>
            <w:tcW w:w="3192" w:type="dxa"/>
          </w:tcPr>
          <w:p w:rsidR="009A22C7" w:rsidRDefault="005540E0" w:rsidP="004E7836">
            <w:pPr>
              <w:pStyle w:val="PA"/>
              <w:ind w:firstLine="0"/>
            </w:pPr>
            <w:r>
              <w:t>Allowed as itemized deductions to the extent they exceed 10% of AGI</w:t>
            </w:r>
          </w:p>
        </w:tc>
        <w:tc>
          <w:tcPr>
            <w:tcW w:w="3192" w:type="dxa"/>
          </w:tcPr>
          <w:p w:rsidR="009A22C7" w:rsidRDefault="005540E0" w:rsidP="004E7836">
            <w:pPr>
              <w:pStyle w:val="PA"/>
              <w:ind w:firstLine="0"/>
            </w:pPr>
            <w:r>
              <w:t>Same.</w:t>
            </w:r>
          </w:p>
        </w:tc>
      </w:tr>
      <w:tr w:rsidR="009A22C7" w:rsidTr="009A22C7">
        <w:tc>
          <w:tcPr>
            <w:tcW w:w="3192" w:type="dxa"/>
          </w:tcPr>
          <w:p w:rsidR="009A22C7" w:rsidRDefault="005540E0" w:rsidP="004E7836">
            <w:pPr>
              <w:pStyle w:val="PA"/>
              <w:ind w:firstLine="0"/>
            </w:pPr>
            <w:r>
              <w:t>Taxes</w:t>
            </w:r>
          </w:p>
        </w:tc>
        <w:tc>
          <w:tcPr>
            <w:tcW w:w="3192" w:type="dxa"/>
          </w:tcPr>
          <w:p w:rsidR="009A22C7" w:rsidRDefault="005540E0" w:rsidP="004E7836">
            <w:pPr>
              <w:pStyle w:val="PA"/>
              <w:ind w:firstLine="0"/>
            </w:pPr>
            <w:r>
              <w:t>State income taxes, property taxes, etc. allowed as itemized deduction</w:t>
            </w:r>
          </w:p>
        </w:tc>
        <w:tc>
          <w:tcPr>
            <w:tcW w:w="3192" w:type="dxa"/>
          </w:tcPr>
          <w:p w:rsidR="009A22C7" w:rsidRDefault="005540E0" w:rsidP="004E7836">
            <w:pPr>
              <w:pStyle w:val="PA"/>
              <w:ind w:firstLine="0"/>
            </w:pPr>
            <w:r>
              <w:t>Not allowed</w:t>
            </w:r>
          </w:p>
        </w:tc>
      </w:tr>
      <w:tr w:rsidR="009A22C7" w:rsidTr="009A22C7">
        <w:tc>
          <w:tcPr>
            <w:tcW w:w="3192" w:type="dxa"/>
          </w:tcPr>
          <w:p w:rsidR="009A22C7" w:rsidRDefault="005540E0" w:rsidP="004E7836">
            <w:pPr>
              <w:pStyle w:val="PA"/>
              <w:ind w:firstLine="0"/>
            </w:pPr>
            <w:r>
              <w:t>Home Mortgage Interest</w:t>
            </w:r>
          </w:p>
        </w:tc>
        <w:tc>
          <w:tcPr>
            <w:tcW w:w="3192" w:type="dxa"/>
          </w:tcPr>
          <w:p w:rsidR="009A22C7" w:rsidRDefault="005540E0" w:rsidP="004E7836">
            <w:pPr>
              <w:pStyle w:val="PA"/>
              <w:ind w:firstLine="0"/>
            </w:pPr>
            <w:r>
              <w:t>Allowed</w:t>
            </w:r>
          </w:p>
        </w:tc>
        <w:tc>
          <w:tcPr>
            <w:tcW w:w="3192" w:type="dxa"/>
          </w:tcPr>
          <w:p w:rsidR="009A22C7" w:rsidRDefault="005540E0" w:rsidP="004E7836">
            <w:pPr>
              <w:pStyle w:val="PA"/>
              <w:ind w:firstLine="0"/>
            </w:pPr>
            <w:r>
              <w:t>Allows only acquisition indebtedness including loan to improve principal residence or second home.  Interest attributed to refinanced amounts in excess of original loan not allowed.</w:t>
            </w:r>
          </w:p>
        </w:tc>
      </w:tr>
      <w:tr w:rsidR="009A22C7" w:rsidTr="009A22C7">
        <w:tc>
          <w:tcPr>
            <w:tcW w:w="3192" w:type="dxa"/>
          </w:tcPr>
          <w:p w:rsidR="009A22C7" w:rsidRDefault="005540E0" w:rsidP="004E7836">
            <w:pPr>
              <w:pStyle w:val="PA"/>
              <w:ind w:firstLine="0"/>
            </w:pPr>
            <w:r>
              <w:lastRenderedPageBreak/>
              <w:t>State Tax Refund</w:t>
            </w:r>
          </w:p>
        </w:tc>
        <w:tc>
          <w:tcPr>
            <w:tcW w:w="3192" w:type="dxa"/>
          </w:tcPr>
          <w:p w:rsidR="009A22C7" w:rsidRDefault="005540E0" w:rsidP="004E7836">
            <w:pPr>
              <w:pStyle w:val="PA"/>
              <w:ind w:firstLine="0"/>
            </w:pPr>
            <w:r>
              <w:t>Included in gross income if previously deducted as itemized deduction</w:t>
            </w:r>
          </w:p>
        </w:tc>
        <w:tc>
          <w:tcPr>
            <w:tcW w:w="3192" w:type="dxa"/>
          </w:tcPr>
          <w:p w:rsidR="009A22C7" w:rsidRDefault="005540E0" w:rsidP="004E7836">
            <w:pPr>
              <w:pStyle w:val="PA"/>
              <w:ind w:firstLine="0"/>
            </w:pPr>
            <w:r>
              <w:t>Since state taxes are not allowed as a deduction, refunds are not included in income.  Amount of regular income entered as a negative amount.</w:t>
            </w:r>
          </w:p>
        </w:tc>
      </w:tr>
      <w:tr w:rsidR="009A22C7" w:rsidTr="009A22C7">
        <w:tc>
          <w:tcPr>
            <w:tcW w:w="3192" w:type="dxa"/>
          </w:tcPr>
          <w:p w:rsidR="009A22C7" w:rsidRDefault="005540E0" w:rsidP="00D76655">
            <w:pPr>
              <w:pStyle w:val="PA"/>
              <w:ind w:firstLine="0"/>
            </w:pPr>
            <w:r>
              <w:t>Interest expense related to tax</w:t>
            </w:r>
            <w:r w:rsidR="00D76655">
              <w:t>-</w:t>
            </w:r>
            <w:r>
              <w:t>exempt interest</w:t>
            </w:r>
            <w:r w:rsidR="00D76655">
              <w:t xml:space="preserve"> income</w:t>
            </w:r>
          </w:p>
        </w:tc>
        <w:tc>
          <w:tcPr>
            <w:tcW w:w="3192" w:type="dxa"/>
          </w:tcPr>
          <w:p w:rsidR="009A22C7" w:rsidRDefault="005540E0" w:rsidP="004E7836">
            <w:pPr>
              <w:pStyle w:val="PA"/>
              <w:ind w:firstLine="0"/>
            </w:pPr>
            <w:r>
              <w:t>Not allowed</w:t>
            </w:r>
          </w:p>
        </w:tc>
        <w:tc>
          <w:tcPr>
            <w:tcW w:w="3192" w:type="dxa"/>
          </w:tcPr>
          <w:p w:rsidR="009A22C7" w:rsidRDefault="005540E0" w:rsidP="00D76655">
            <w:pPr>
              <w:pStyle w:val="PA"/>
              <w:ind w:firstLine="0"/>
            </w:pPr>
            <w:r>
              <w:t>Allowed if interest expense is related to tax</w:t>
            </w:r>
            <w:r w:rsidR="00D76655">
              <w:t>-</w:t>
            </w:r>
            <w:r>
              <w:t>exempt private activity bonds</w:t>
            </w:r>
          </w:p>
        </w:tc>
      </w:tr>
      <w:tr w:rsidR="005540E0" w:rsidTr="009A22C7">
        <w:tc>
          <w:tcPr>
            <w:tcW w:w="3192" w:type="dxa"/>
          </w:tcPr>
          <w:p w:rsidR="005540E0" w:rsidRDefault="005540E0" w:rsidP="004E7836">
            <w:pPr>
              <w:pStyle w:val="PA"/>
              <w:ind w:firstLine="0"/>
            </w:pPr>
            <w:r>
              <w:t>Miscellaneous itemized deductions</w:t>
            </w:r>
          </w:p>
        </w:tc>
        <w:tc>
          <w:tcPr>
            <w:tcW w:w="3192" w:type="dxa"/>
          </w:tcPr>
          <w:p w:rsidR="005540E0" w:rsidRDefault="005540E0" w:rsidP="004E7836">
            <w:pPr>
              <w:pStyle w:val="PA"/>
              <w:ind w:firstLine="0"/>
            </w:pPr>
            <w:r>
              <w:t>Allowed to the extent they exceed 2% of AGI assuming the taxpayer itemizes</w:t>
            </w:r>
          </w:p>
        </w:tc>
        <w:tc>
          <w:tcPr>
            <w:tcW w:w="3192" w:type="dxa"/>
          </w:tcPr>
          <w:p w:rsidR="005540E0" w:rsidRDefault="005540E0" w:rsidP="004E7836">
            <w:pPr>
              <w:pStyle w:val="PA"/>
              <w:ind w:firstLine="0"/>
            </w:pPr>
            <w:r>
              <w:t>Not allowed</w:t>
            </w:r>
          </w:p>
        </w:tc>
      </w:tr>
      <w:tr w:rsidR="005540E0" w:rsidTr="009A22C7">
        <w:tc>
          <w:tcPr>
            <w:tcW w:w="3192" w:type="dxa"/>
          </w:tcPr>
          <w:p w:rsidR="005540E0" w:rsidRDefault="00D76655" w:rsidP="004E7836">
            <w:pPr>
              <w:pStyle w:val="PA"/>
              <w:ind w:firstLine="0"/>
            </w:pPr>
            <w:r>
              <w:t>Qualified</w:t>
            </w:r>
            <w:r w:rsidR="005540E0">
              <w:t xml:space="preserve"> stock options</w:t>
            </w:r>
          </w:p>
        </w:tc>
        <w:tc>
          <w:tcPr>
            <w:tcW w:w="3192" w:type="dxa"/>
          </w:tcPr>
          <w:p w:rsidR="005540E0" w:rsidRDefault="00D76655" w:rsidP="004E7836">
            <w:pPr>
              <w:pStyle w:val="PA"/>
              <w:ind w:firstLine="0"/>
            </w:pPr>
            <w:r>
              <w:t>Exercise of a qualified stock option not taxable</w:t>
            </w:r>
          </w:p>
        </w:tc>
        <w:tc>
          <w:tcPr>
            <w:tcW w:w="3192" w:type="dxa"/>
          </w:tcPr>
          <w:p w:rsidR="005540E0" w:rsidRDefault="00D76655" w:rsidP="004E7836">
            <w:pPr>
              <w:pStyle w:val="PA"/>
              <w:ind w:firstLine="0"/>
            </w:pPr>
            <w:r>
              <w:t>Difference between amount paid to acquire the stock and the FMV of the stock is included as AMTI income</w:t>
            </w:r>
          </w:p>
        </w:tc>
      </w:tr>
      <w:tr w:rsidR="00D76655" w:rsidTr="009A22C7">
        <w:tc>
          <w:tcPr>
            <w:tcW w:w="3192" w:type="dxa"/>
          </w:tcPr>
          <w:p w:rsidR="00D76655" w:rsidRDefault="00D76655" w:rsidP="004E7836">
            <w:pPr>
              <w:pStyle w:val="PA"/>
              <w:ind w:firstLine="0"/>
            </w:pPr>
            <w:r>
              <w:t>Tax-exempt income</w:t>
            </w:r>
          </w:p>
        </w:tc>
        <w:tc>
          <w:tcPr>
            <w:tcW w:w="3192" w:type="dxa"/>
          </w:tcPr>
          <w:p w:rsidR="00D76655" w:rsidRDefault="00D76655" w:rsidP="004E7836">
            <w:pPr>
              <w:pStyle w:val="PA"/>
              <w:ind w:firstLine="0"/>
            </w:pPr>
            <w:r>
              <w:t>Not included in gross income</w:t>
            </w:r>
          </w:p>
        </w:tc>
        <w:tc>
          <w:tcPr>
            <w:tcW w:w="3192" w:type="dxa"/>
          </w:tcPr>
          <w:p w:rsidR="00D76655" w:rsidRDefault="00D76655" w:rsidP="004E7836">
            <w:pPr>
              <w:pStyle w:val="PA"/>
              <w:ind w:firstLine="0"/>
            </w:pPr>
            <w:r>
              <w:t>Included in AMTI income</w:t>
            </w:r>
          </w:p>
        </w:tc>
      </w:tr>
    </w:tbl>
    <w:p w:rsidR="009A22C7" w:rsidRDefault="009A22C7" w:rsidP="00D76655">
      <w:pPr>
        <w:pStyle w:val="PA"/>
      </w:pPr>
    </w:p>
    <w:sectPr w:rsidR="009A22C7" w:rsidSect="00271A21">
      <w:footnotePr>
        <w:numRestart w:val="eachPage"/>
      </w:footnotePr>
      <w:endnotePr>
        <w:numFmt w:val="decimal"/>
        <w:numStart w:val="4"/>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79" w:rsidRDefault="00C42D79" w:rsidP="006F074C">
      <w:r>
        <w:separator/>
      </w:r>
    </w:p>
  </w:endnote>
  <w:endnote w:type="continuationSeparator" w:id="0">
    <w:p w:rsidR="00C42D79" w:rsidRDefault="00C42D79" w:rsidP="006F074C">
      <w:r>
        <w:continuationSeparator/>
      </w:r>
    </w:p>
  </w:endnote>
  <w:endnote w:id="1">
    <w:p w:rsidR="00D76655" w:rsidRDefault="00D76655">
      <w:pPr>
        <w:pStyle w:val="EndnoteText"/>
      </w:pPr>
      <w:r>
        <w:rPr>
          <w:rStyle w:val="EndnoteReference"/>
        </w:rPr>
        <w:endnoteRef/>
      </w:r>
      <w:r>
        <w:t xml:space="preserve"> </w:t>
      </w:r>
      <w:r w:rsidRPr="00D76655">
        <w:rPr>
          <w:sz w:val="16"/>
          <w:szCs w:val="16"/>
        </w:rPr>
        <w:t xml:space="preserve">IRC </w:t>
      </w:r>
      <w:proofErr w:type="spellStart"/>
      <w:r w:rsidRPr="00D76655">
        <w:rPr>
          <w:sz w:val="16"/>
          <w:szCs w:val="16"/>
        </w:rPr>
        <w:t>Secs</w:t>
      </w:r>
      <w:proofErr w:type="spellEnd"/>
      <w:r w:rsidRPr="00D76655">
        <w:rPr>
          <w:sz w:val="16"/>
          <w:szCs w:val="16"/>
        </w:rPr>
        <w:t>. 56, 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79" w:rsidRDefault="00C42D79" w:rsidP="006F074C">
      <w:r>
        <w:separator/>
      </w:r>
    </w:p>
  </w:footnote>
  <w:footnote w:type="continuationSeparator" w:id="0">
    <w:p w:rsidR="00C42D79" w:rsidRDefault="00C42D79" w:rsidP="006F074C">
      <w:r>
        <w:continuationSeparator/>
      </w:r>
    </w:p>
  </w:footnote>
  <w:footnote w:id="1">
    <w:p w:rsidR="00D73FC0" w:rsidRPr="005B51A4" w:rsidRDefault="00D73FC0" w:rsidP="00FE5D9D">
      <w:pPr>
        <w:pStyle w:val="PQ"/>
      </w:pPr>
      <w:r w:rsidRPr="005B51A4">
        <w:footnoteRef/>
      </w:r>
      <w:r w:rsidR="00F16B3F">
        <w:t>.</w:t>
      </w:r>
      <w:r w:rsidR="00F16B3F">
        <w:tab/>
      </w:r>
      <w:r w:rsidR="00FE5D9D" w:rsidRPr="005B51A4">
        <w:t>IRC Sec. 55(b</w:t>
      </w:r>
      <w:proofErr w:type="gramStart"/>
      <w:r w:rsidR="00FE5D9D" w:rsidRPr="005B51A4">
        <w:t>)(</w:t>
      </w:r>
      <w:proofErr w:type="gramEnd"/>
      <w:r w:rsidR="00FE5D9D" w:rsidRPr="005B51A4">
        <w:t>2).</w:t>
      </w:r>
    </w:p>
  </w:footnote>
  <w:footnote w:id="2">
    <w:p w:rsidR="00D73FC0" w:rsidRPr="005B51A4" w:rsidRDefault="00D73FC0" w:rsidP="00FE5D9D">
      <w:pPr>
        <w:pStyle w:val="PQ"/>
      </w:pPr>
      <w:r w:rsidRPr="005B51A4">
        <w:footnoteRef/>
      </w:r>
      <w:r w:rsidR="00F16B3F">
        <w:t>.</w:t>
      </w:r>
      <w:r w:rsidR="00F16B3F">
        <w:tab/>
      </w:r>
      <w:r w:rsidR="00FE5D9D" w:rsidRPr="005B51A4">
        <w:t>Treas. Reg. §1.55-1(a).</w:t>
      </w:r>
    </w:p>
  </w:footnote>
  <w:footnote w:id="3">
    <w:p w:rsidR="00D73FC0" w:rsidRPr="005B51A4" w:rsidRDefault="00D73FC0" w:rsidP="00FE5D9D">
      <w:pPr>
        <w:pStyle w:val="PQ"/>
      </w:pPr>
      <w:r w:rsidRPr="005B51A4">
        <w:footnoteRef/>
      </w:r>
      <w:r w:rsidR="00F16B3F">
        <w:t>.</w:t>
      </w:r>
      <w:r w:rsidR="00F16B3F">
        <w:tab/>
      </w:r>
      <w:r w:rsidR="00FE5D9D" w:rsidRPr="005B51A4">
        <w:t>Treas. Reg. §1.55-1(b).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3567"/>
    <w:rsid w:val="000925AB"/>
    <w:rsid w:val="00097038"/>
    <w:rsid w:val="000A2B66"/>
    <w:rsid w:val="000A6CAB"/>
    <w:rsid w:val="000B6372"/>
    <w:rsid w:val="000D258D"/>
    <w:rsid w:val="000D6146"/>
    <w:rsid w:val="000E6BBB"/>
    <w:rsid w:val="00114F5B"/>
    <w:rsid w:val="00116205"/>
    <w:rsid w:val="001244E9"/>
    <w:rsid w:val="00141FAB"/>
    <w:rsid w:val="0017741C"/>
    <w:rsid w:val="00190E67"/>
    <w:rsid w:val="00196AB6"/>
    <w:rsid w:val="00197132"/>
    <w:rsid w:val="0019748C"/>
    <w:rsid w:val="001A05A6"/>
    <w:rsid w:val="001A2727"/>
    <w:rsid w:val="001D0595"/>
    <w:rsid w:val="001E1AC3"/>
    <w:rsid w:val="001F52F4"/>
    <w:rsid w:val="002000C6"/>
    <w:rsid w:val="00202A9B"/>
    <w:rsid w:val="00202F50"/>
    <w:rsid w:val="002040BD"/>
    <w:rsid w:val="00212ED8"/>
    <w:rsid w:val="00231C02"/>
    <w:rsid w:val="00242C92"/>
    <w:rsid w:val="00243A4C"/>
    <w:rsid w:val="00264FD9"/>
    <w:rsid w:val="00271A21"/>
    <w:rsid w:val="00287277"/>
    <w:rsid w:val="002B58F5"/>
    <w:rsid w:val="002E46AF"/>
    <w:rsid w:val="002E4BFB"/>
    <w:rsid w:val="002F6745"/>
    <w:rsid w:val="00310C38"/>
    <w:rsid w:val="0032167A"/>
    <w:rsid w:val="00323E1D"/>
    <w:rsid w:val="00327BDB"/>
    <w:rsid w:val="003315FD"/>
    <w:rsid w:val="00351CF8"/>
    <w:rsid w:val="00355BC4"/>
    <w:rsid w:val="00360557"/>
    <w:rsid w:val="00377919"/>
    <w:rsid w:val="003B1DF7"/>
    <w:rsid w:val="003B450F"/>
    <w:rsid w:val="003B5FEF"/>
    <w:rsid w:val="003B65D8"/>
    <w:rsid w:val="003C1548"/>
    <w:rsid w:val="003F00D7"/>
    <w:rsid w:val="003F05E5"/>
    <w:rsid w:val="003F5727"/>
    <w:rsid w:val="00407D8B"/>
    <w:rsid w:val="004167F4"/>
    <w:rsid w:val="00427B74"/>
    <w:rsid w:val="00435B94"/>
    <w:rsid w:val="004454DB"/>
    <w:rsid w:val="00456493"/>
    <w:rsid w:val="004629F4"/>
    <w:rsid w:val="00474C65"/>
    <w:rsid w:val="00477CBC"/>
    <w:rsid w:val="00484642"/>
    <w:rsid w:val="00487A39"/>
    <w:rsid w:val="004C5F26"/>
    <w:rsid w:val="004E7836"/>
    <w:rsid w:val="00501B90"/>
    <w:rsid w:val="00511E10"/>
    <w:rsid w:val="005171D4"/>
    <w:rsid w:val="00521FCB"/>
    <w:rsid w:val="005223B9"/>
    <w:rsid w:val="00532B64"/>
    <w:rsid w:val="005540E0"/>
    <w:rsid w:val="005611F2"/>
    <w:rsid w:val="00565698"/>
    <w:rsid w:val="0056737A"/>
    <w:rsid w:val="00573817"/>
    <w:rsid w:val="00590D68"/>
    <w:rsid w:val="005A7B2C"/>
    <w:rsid w:val="005B0930"/>
    <w:rsid w:val="005B53F2"/>
    <w:rsid w:val="005C64AC"/>
    <w:rsid w:val="005E18C8"/>
    <w:rsid w:val="005E1E5E"/>
    <w:rsid w:val="005E1F03"/>
    <w:rsid w:val="005E3CAD"/>
    <w:rsid w:val="006070A8"/>
    <w:rsid w:val="006152E6"/>
    <w:rsid w:val="0061599B"/>
    <w:rsid w:val="00660C3B"/>
    <w:rsid w:val="00664BF0"/>
    <w:rsid w:val="00667AE6"/>
    <w:rsid w:val="0068069B"/>
    <w:rsid w:val="00695FA3"/>
    <w:rsid w:val="006B1DE0"/>
    <w:rsid w:val="006C1680"/>
    <w:rsid w:val="006C6B16"/>
    <w:rsid w:val="006D650C"/>
    <w:rsid w:val="006E0E1D"/>
    <w:rsid w:val="006E34CD"/>
    <w:rsid w:val="006F074C"/>
    <w:rsid w:val="00704D91"/>
    <w:rsid w:val="0072205C"/>
    <w:rsid w:val="00723223"/>
    <w:rsid w:val="00725A6D"/>
    <w:rsid w:val="007343A3"/>
    <w:rsid w:val="007865B2"/>
    <w:rsid w:val="00786F5E"/>
    <w:rsid w:val="00794370"/>
    <w:rsid w:val="007B5A4F"/>
    <w:rsid w:val="007D39E8"/>
    <w:rsid w:val="007D6D13"/>
    <w:rsid w:val="007D7748"/>
    <w:rsid w:val="0080472F"/>
    <w:rsid w:val="00804FC2"/>
    <w:rsid w:val="008316E9"/>
    <w:rsid w:val="00835C56"/>
    <w:rsid w:val="00844B76"/>
    <w:rsid w:val="008864E6"/>
    <w:rsid w:val="008A42E4"/>
    <w:rsid w:val="008B16D5"/>
    <w:rsid w:val="008C2067"/>
    <w:rsid w:val="008C2D90"/>
    <w:rsid w:val="008D4B69"/>
    <w:rsid w:val="008D7BA9"/>
    <w:rsid w:val="008E11EC"/>
    <w:rsid w:val="008E4CF6"/>
    <w:rsid w:val="008F7667"/>
    <w:rsid w:val="009003A2"/>
    <w:rsid w:val="00920178"/>
    <w:rsid w:val="0092576A"/>
    <w:rsid w:val="00944E4E"/>
    <w:rsid w:val="00952273"/>
    <w:rsid w:val="0095488D"/>
    <w:rsid w:val="00957231"/>
    <w:rsid w:val="009626DD"/>
    <w:rsid w:val="0097483E"/>
    <w:rsid w:val="009938E4"/>
    <w:rsid w:val="009A22C7"/>
    <w:rsid w:val="009A5599"/>
    <w:rsid w:val="009C0B32"/>
    <w:rsid w:val="009C73DD"/>
    <w:rsid w:val="009F75A1"/>
    <w:rsid w:val="00A02AF1"/>
    <w:rsid w:val="00A03817"/>
    <w:rsid w:val="00A05FEA"/>
    <w:rsid w:val="00A13BF0"/>
    <w:rsid w:val="00A2685C"/>
    <w:rsid w:val="00A268AC"/>
    <w:rsid w:val="00A44BAD"/>
    <w:rsid w:val="00A46971"/>
    <w:rsid w:val="00A82E6D"/>
    <w:rsid w:val="00A94701"/>
    <w:rsid w:val="00B15D08"/>
    <w:rsid w:val="00B20CBB"/>
    <w:rsid w:val="00B35F20"/>
    <w:rsid w:val="00B47F6C"/>
    <w:rsid w:val="00B8207E"/>
    <w:rsid w:val="00B97105"/>
    <w:rsid w:val="00BA22F5"/>
    <w:rsid w:val="00BC19F7"/>
    <w:rsid w:val="00BC5792"/>
    <w:rsid w:val="00BC6F51"/>
    <w:rsid w:val="00BE317F"/>
    <w:rsid w:val="00BF4BC0"/>
    <w:rsid w:val="00C15AF0"/>
    <w:rsid w:val="00C1615A"/>
    <w:rsid w:val="00C3032D"/>
    <w:rsid w:val="00C360BE"/>
    <w:rsid w:val="00C42D79"/>
    <w:rsid w:val="00C5164F"/>
    <w:rsid w:val="00C5496F"/>
    <w:rsid w:val="00C64FEC"/>
    <w:rsid w:val="00C7768E"/>
    <w:rsid w:val="00C92346"/>
    <w:rsid w:val="00CB0AF1"/>
    <w:rsid w:val="00CD22F0"/>
    <w:rsid w:val="00CF5092"/>
    <w:rsid w:val="00D0195D"/>
    <w:rsid w:val="00D12F39"/>
    <w:rsid w:val="00D418E3"/>
    <w:rsid w:val="00D51611"/>
    <w:rsid w:val="00D72E05"/>
    <w:rsid w:val="00D73FC0"/>
    <w:rsid w:val="00D76655"/>
    <w:rsid w:val="00D81626"/>
    <w:rsid w:val="00DB3BF0"/>
    <w:rsid w:val="00DC02E2"/>
    <w:rsid w:val="00DC0B50"/>
    <w:rsid w:val="00DD22D9"/>
    <w:rsid w:val="00DD68C3"/>
    <w:rsid w:val="00DE67F6"/>
    <w:rsid w:val="00DF4691"/>
    <w:rsid w:val="00DF78BD"/>
    <w:rsid w:val="00E20C72"/>
    <w:rsid w:val="00E23001"/>
    <w:rsid w:val="00E23237"/>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3C24"/>
    <w:rsid w:val="00F118CC"/>
    <w:rsid w:val="00F1594C"/>
    <w:rsid w:val="00F16B3F"/>
    <w:rsid w:val="00F21AEE"/>
    <w:rsid w:val="00F66D50"/>
    <w:rsid w:val="00F96BEC"/>
    <w:rsid w:val="00F9714F"/>
    <w:rsid w:val="00FB7360"/>
    <w:rsid w:val="00FC74E6"/>
    <w:rsid w:val="00FD7753"/>
    <w:rsid w:val="00FE5D9D"/>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B5FEF"/>
    <w:rPr>
      <w:rFonts w:ascii="Perpetua Std" w:hAnsi="Perpetua Std"/>
    </w:rPr>
  </w:style>
  <w:style w:type="paragraph" w:styleId="Heading1">
    <w:name w:val="heading 1"/>
    <w:basedOn w:val="Normal"/>
    <w:next w:val="Normal"/>
    <w:link w:val="Heading1Char"/>
    <w:qFormat/>
    <w:rsid w:val="003B5FEF"/>
    <w:pPr>
      <w:keepNext/>
      <w:outlineLvl w:val="0"/>
    </w:pPr>
    <w:rPr>
      <w:b/>
    </w:rPr>
  </w:style>
  <w:style w:type="paragraph" w:styleId="Heading2">
    <w:name w:val="heading 2"/>
    <w:basedOn w:val="Normal"/>
    <w:next w:val="Normal"/>
    <w:link w:val="Heading2Char"/>
    <w:qFormat/>
    <w:rsid w:val="003B5FEF"/>
    <w:pPr>
      <w:keepNext/>
      <w:spacing w:before="240" w:after="60"/>
      <w:outlineLvl w:val="1"/>
    </w:pPr>
    <w:rPr>
      <w:rFonts w:ascii="Arial" w:hAnsi="Arial"/>
      <w:b/>
      <w:i/>
      <w:sz w:val="24"/>
    </w:rPr>
  </w:style>
  <w:style w:type="paragraph" w:styleId="Heading3">
    <w:name w:val="heading 3"/>
    <w:basedOn w:val="Normal"/>
    <w:next w:val="Normal"/>
    <w:link w:val="Heading3Char"/>
    <w:qFormat/>
    <w:rsid w:val="003B5FE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B5FEF"/>
    <w:pPr>
      <w:spacing w:after="240"/>
      <w:jc w:val="both"/>
    </w:pPr>
    <w:rPr>
      <w:rFonts w:ascii="Helvetica LT Std" w:hAnsi="Helvetica LT Std"/>
      <w:b/>
      <w:color w:val="000000"/>
      <w:sz w:val="26"/>
    </w:rPr>
  </w:style>
  <w:style w:type="paragraph" w:customStyle="1" w:styleId="PA">
    <w:name w:val="PA"/>
    <w:next w:val="Normal"/>
    <w:link w:val="PAChar"/>
    <w:rsid w:val="003B5FEF"/>
    <w:pPr>
      <w:spacing w:after="240"/>
      <w:ind w:firstLine="288"/>
      <w:jc w:val="both"/>
    </w:pPr>
    <w:rPr>
      <w:rFonts w:ascii="Perpetua Std" w:hAnsi="Perpetua Std"/>
      <w:color w:val="000000"/>
      <w:sz w:val="24"/>
    </w:rPr>
  </w:style>
  <w:style w:type="character" w:customStyle="1" w:styleId="PAChar">
    <w:name w:val="PA Char"/>
    <w:link w:val="PA"/>
    <w:rsid w:val="003B5FEF"/>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3B5FEF"/>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3B5FEF"/>
    <w:pPr>
      <w:tabs>
        <w:tab w:val="left" w:pos="720"/>
      </w:tabs>
      <w:spacing w:after="240"/>
      <w:ind w:left="720" w:hanging="360"/>
      <w:jc w:val="both"/>
    </w:pPr>
    <w:rPr>
      <w:rFonts w:ascii="Perpetua Std" w:hAnsi="Perpetua Std"/>
      <w:color w:val="000000"/>
      <w:sz w:val="24"/>
    </w:rPr>
  </w:style>
  <w:style w:type="paragraph" w:customStyle="1" w:styleId="HD">
    <w:name w:val="HD"/>
    <w:rsid w:val="003B5FEF"/>
    <w:pPr>
      <w:suppressAutoHyphens/>
      <w:spacing w:before="120"/>
      <w:jc w:val="center"/>
    </w:pPr>
    <w:rPr>
      <w:rFonts w:ascii="Helvetica LT Std" w:hAnsi="Helvetica LT Std"/>
      <w:sz w:val="26"/>
      <w:szCs w:val="18"/>
    </w:rPr>
  </w:style>
  <w:style w:type="paragraph" w:customStyle="1" w:styleId="PN">
    <w:name w:val="PN"/>
    <w:rsid w:val="003B5FEF"/>
    <w:pPr>
      <w:spacing w:after="240"/>
      <w:ind w:left="720" w:firstLine="288"/>
      <w:jc w:val="both"/>
    </w:pPr>
    <w:rPr>
      <w:rFonts w:ascii="Perpetua Std" w:eastAsia="MS Mincho" w:hAnsi="Perpetua Std"/>
      <w:color w:val="000000"/>
    </w:rPr>
  </w:style>
  <w:style w:type="paragraph" w:customStyle="1" w:styleId="PB">
    <w:name w:val="PB"/>
    <w:rsid w:val="003B5FEF"/>
    <w:pPr>
      <w:spacing w:after="240"/>
      <w:jc w:val="both"/>
    </w:pPr>
    <w:rPr>
      <w:rFonts w:ascii="Perpetua Std" w:hAnsi="Perpetua Std"/>
      <w:color w:val="000000"/>
      <w:sz w:val="24"/>
    </w:rPr>
  </w:style>
  <w:style w:type="paragraph" w:customStyle="1" w:styleId="PQ">
    <w:name w:val="PQ"/>
    <w:link w:val="PQChar"/>
    <w:rsid w:val="003B5FE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B5FEF"/>
    <w:rPr>
      <w:rFonts w:ascii="Adobe Caslon Pro" w:hAnsi="Adobe Caslon Pro"/>
      <w:color w:val="000000"/>
      <w:sz w:val="14"/>
    </w:rPr>
  </w:style>
  <w:style w:type="paragraph" w:customStyle="1" w:styleId="PF">
    <w:name w:val="PF"/>
    <w:rsid w:val="003B5FEF"/>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3B5FEF"/>
    <w:pPr>
      <w:spacing w:before="120" w:after="120"/>
      <w:jc w:val="center"/>
    </w:pPr>
    <w:rPr>
      <w:rFonts w:ascii="Helvetica LT Std" w:hAnsi="Helvetica LT Std"/>
      <w:sz w:val="24"/>
    </w:rPr>
  </w:style>
  <w:style w:type="table" w:styleId="TableGrid">
    <w:name w:val="Table Grid"/>
    <w:basedOn w:val="TableNormal"/>
    <w:rsid w:val="003B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3B5FEF"/>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3B5FEF"/>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3B5FEF"/>
    <w:pPr>
      <w:spacing w:before="144"/>
      <w:jc w:val="both"/>
    </w:pPr>
    <w:rPr>
      <w:noProof/>
    </w:rPr>
  </w:style>
  <w:style w:type="paragraph" w:customStyle="1" w:styleId="PD">
    <w:name w:val="PD"/>
    <w:rsid w:val="003B5FEF"/>
    <w:pPr>
      <w:spacing w:after="240"/>
      <w:ind w:left="720" w:firstLine="288"/>
      <w:jc w:val="both"/>
    </w:pPr>
    <w:rPr>
      <w:rFonts w:ascii="Perpetua Std" w:hAnsi="Perpetua Std"/>
      <w:color w:val="000000"/>
      <w:sz w:val="24"/>
    </w:rPr>
  </w:style>
  <w:style w:type="paragraph" w:customStyle="1" w:styleId="PE">
    <w:name w:val="PE"/>
    <w:rsid w:val="003B5FEF"/>
    <w:pPr>
      <w:spacing w:after="240"/>
      <w:ind w:left="720"/>
      <w:jc w:val="both"/>
    </w:pPr>
    <w:rPr>
      <w:rFonts w:ascii="Perpetua Std" w:hAnsi="Perpetua Std"/>
      <w:color w:val="000000"/>
      <w:sz w:val="24"/>
    </w:rPr>
  </w:style>
  <w:style w:type="paragraph" w:customStyle="1" w:styleId="PG">
    <w:name w:val="PG"/>
    <w:rsid w:val="003B5FEF"/>
    <w:pPr>
      <w:spacing w:after="240"/>
      <w:ind w:left="360"/>
      <w:jc w:val="both"/>
    </w:pPr>
    <w:rPr>
      <w:rFonts w:ascii="Perpetua Std" w:hAnsi="Perpetua Std"/>
      <w:color w:val="000000"/>
      <w:sz w:val="24"/>
    </w:rPr>
  </w:style>
  <w:style w:type="paragraph" w:customStyle="1" w:styleId="PH">
    <w:name w:val="PH"/>
    <w:rsid w:val="003B5FEF"/>
    <w:pPr>
      <w:tabs>
        <w:tab w:val="left" w:pos="360"/>
      </w:tabs>
      <w:spacing w:after="240"/>
      <w:ind w:left="360" w:hanging="360"/>
      <w:jc w:val="both"/>
    </w:pPr>
    <w:rPr>
      <w:rFonts w:ascii="Perpetua Std" w:hAnsi="Perpetua Std"/>
      <w:color w:val="000000"/>
      <w:sz w:val="24"/>
    </w:rPr>
  </w:style>
  <w:style w:type="paragraph" w:customStyle="1" w:styleId="PI">
    <w:name w:val="PI"/>
    <w:rsid w:val="003B5FEF"/>
    <w:pPr>
      <w:spacing w:after="240"/>
      <w:ind w:left="360" w:hanging="360"/>
      <w:jc w:val="both"/>
    </w:pPr>
    <w:rPr>
      <w:rFonts w:ascii="Perpetua Std" w:hAnsi="Perpetua Std"/>
      <w:color w:val="000000"/>
      <w:sz w:val="24"/>
    </w:rPr>
  </w:style>
  <w:style w:type="paragraph" w:customStyle="1" w:styleId="PK">
    <w:name w:val="PK"/>
    <w:rsid w:val="003B5FEF"/>
    <w:pPr>
      <w:spacing w:after="240"/>
      <w:ind w:left="360" w:firstLine="288"/>
      <w:jc w:val="both"/>
    </w:pPr>
    <w:rPr>
      <w:rFonts w:ascii="Perpetua Std" w:hAnsi="Perpetua Std"/>
      <w:color w:val="000000"/>
      <w:sz w:val="24"/>
    </w:rPr>
  </w:style>
  <w:style w:type="paragraph" w:customStyle="1" w:styleId="PL">
    <w:name w:val="PL"/>
    <w:rsid w:val="003B5FE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B5FEF"/>
    <w:pPr>
      <w:spacing w:after="240"/>
      <w:ind w:left="432" w:right="432" w:firstLine="432"/>
      <w:jc w:val="both"/>
    </w:pPr>
    <w:rPr>
      <w:rFonts w:ascii="Minion Pro" w:hAnsi="Minion Pro"/>
    </w:rPr>
  </w:style>
  <w:style w:type="paragraph" w:customStyle="1" w:styleId="TOC">
    <w:name w:val="TOC"/>
    <w:autoRedefine/>
    <w:rsid w:val="003B5FE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B5FEF"/>
    <w:pPr>
      <w:tabs>
        <w:tab w:val="clear" w:pos="1440"/>
        <w:tab w:val="clear" w:pos="8640"/>
        <w:tab w:val="left" w:pos="240"/>
        <w:tab w:val="left" w:pos="480"/>
        <w:tab w:val="right" w:leader="dot" w:pos="4680"/>
      </w:tabs>
      <w:ind w:left="0" w:firstLine="0"/>
    </w:pPr>
    <w:rPr>
      <w:sz w:val="22"/>
    </w:rPr>
  </w:style>
  <w:style w:type="paragraph" w:customStyle="1" w:styleId="PP">
    <w:name w:val="PP"/>
    <w:rsid w:val="003B5FE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3B5FEF"/>
    <w:pPr>
      <w:spacing w:after="240"/>
      <w:jc w:val="center"/>
    </w:pPr>
    <w:rPr>
      <w:rFonts w:ascii="Helvetica LT Std" w:hAnsi="Helvetica LT Std"/>
      <w:b/>
      <w:caps/>
      <w:color w:val="000000"/>
      <w:sz w:val="36"/>
      <w:szCs w:val="32"/>
    </w:rPr>
  </w:style>
  <w:style w:type="paragraph" w:customStyle="1" w:styleId="HB">
    <w:name w:val="HB"/>
    <w:rsid w:val="003B5FEF"/>
    <w:pPr>
      <w:spacing w:before="120" w:after="240"/>
      <w:jc w:val="center"/>
    </w:pPr>
    <w:rPr>
      <w:rFonts w:ascii="Helvetica LT Std" w:hAnsi="Helvetica LT Std"/>
      <w:b/>
      <w:color w:val="5F5F5F"/>
      <w:w w:val="105"/>
      <w:sz w:val="32"/>
    </w:rPr>
  </w:style>
  <w:style w:type="paragraph" w:customStyle="1" w:styleId="HC">
    <w:name w:val="HC"/>
    <w:autoRedefine/>
    <w:rsid w:val="003B5FEF"/>
    <w:pPr>
      <w:tabs>
        <w:tab w:val="left" w:pos="284"/>
      </w:tabs>
      <w:spacing w:before="120" w:after="120"/>
      <w:jc w:val="center"/>
    </w:pPr>
    <w:rPr>
      <w:rFonts w:ascii="Helvetica LT Std" w:hAnsi="Helvetica LT Std"/>
      <w:b/>
      <w:color w:val="000000"/>
      <w:w w:val="110"/>
      <w:sz w:val="26"/>
    </w:rPr>
  </w:style>
  <w:style w:type="paragraph" w:customStyle="1" w:styleId="PR">
    <w:name w:val="PR"/>
    <w:rsid w:val="003B5FEF"/>
    <w:pPr>
      <w:spacing w:after="240"/>
      <w:ind w:left="360" w:firstLine="288"/>
      <w:jc w:val="both"/>
    </w:pPr>
    <w:rPr>
      <w:rFonts w:ascii="Adobe Caslon Pro" w:hAnsi="Adobe Caslon Pro"/>
      <w:color w:val="000000"/>
      <w:sz w:val="14"/>
    </w:rPr>
  </w:style>
  <w:style w:type="paragraph" w:customStyle="1" w:styleId="PO">
    <w:name w:val="PO"/>
    <w:rsid w:val="003B5FEF"/>
    <w:pPr>
      <w:spacing w:after="240"/>
      <w:jc w:val="both"/>
    </w:pPr>
    <w:rPr>
      <w:rFonts w:ascii="Perpetua Std" w:hAnsi="Perpetua Std"/>
      <w:color w:val="000000"/>
      <w:w w:val="95"/>
      <w:szCs w:val="16"/>
    </w:rPr>
  </w:style>
  <w:style w:type="paragraph" w:customStyle="1" w:styleId="GUIDEX">
    <w:name w:val="GUIDEX"/>
    <w:rsid w:val="003B5FE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B5FEF"/>
    <w:pPr>
      <w:tabs>
        <w:tab w:val="clear" w:pos="240"/>
        <w:tab w:val="clear" w:pos="480"/>
        <w:tab w:val="clear" w:pos="720"/>
        <w:tab w:val="right" w:pos="4680"/>
      </w:tabs>
    </w:pPr>
  </w:style>
  <w:style w:type="paragraph" w:customStyle="1" w:styleId="PCB">
    <w:name w:val="PCB"/>
    <w:autoRedefine/>
    <w:rsid w:val="003B5FEF"/>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3B5FEF"/>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B5FEF"/>
    <w:rPr>
      <w:rFonts w:ascii="Perpetua Std" w:hAnsi="Perpetua Std"/>
    </w:rPr>
  </w:style>
  <w:style w:type="paragraph" w:styleId="NoSpacing">
    <w:name w:val="No Spacing"/>
    <w:qFormat/>
    <w:rsid w:val="003B5FEF"/>
    <w:rPr>
      <w:rFonts w:ascii="Perpetua" w:hAnsi="Perpetua"/>
    </w:rPr>
  </w:style>
  <w:style w:type="paragraph" w:customStyle="1" w:styleId="PCA">
    <w:name w:val="PCA"/>
    <w:rsid w:val="003B5FEF"/>
    <w:pPr>
      <w:numPr>
        <w:numId w:val="29"/>
      </w:numPr>
      <w:tabs>
        <w:tab w:val="left" w:pos="720"/>
      </w:tabs>
      <w:spacing w:after="240"/>
      <w:jc w:val="both"/>
    </w:pPr>
    <w:rPr>
      <w:rFonts w:ascii="Perpetua Std" w:hAnsi="Perpetua Std"/>
      <w:sz w:val="24"/>
    </w:rPr>
  </w:style>
  <w:style w:type="paragraph" w:customStyle="1" w:styleId="PHB">
    <w:name w:val="PHB"/>
    <w:rsid w:val="003B5FEF"/>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3B5FEF"/>
    <w:rPr>
      <w:rFonts w:ascii="Perpetua Std" w:eastAsia="MS Mincho" w:hAnsi="Perpetua Std"/>
      <w:color w:val="000000"/>
      <w:sz w:val="22"/>
    </w:rPr>
  </w:style>
  <w:style w:type="paragraph" w:styleId="EndnoteText">
    <w:name w:val="endnote text"/>
    <w:basedOn w:val="Normal"/>
    <w:link w:val="EndnoteTextChar"/>
    <w:semiHidden/>
    <w:unhideWhenUsed/>
    <w:rsid w:val="00D76655"/>
  </w:style>
  <w:style w:type="character" w:customStyle="1" w:styleId="EndnoteTextChar">
    <w:name w:val="Endnote Text Char"/>
    <w:basedOn w:val="DefaultParagraphFont"/>
    <w:link w:val="EndnoteText"/>
    <w:semiHidden/>
    <w:rsid w:val="00D76655"/>
    <w:rPr>
      <w:rFonts w:ascii="Perpetua Std" w:hAnsi="Perpetua Std"/>
    </w:rPr>
  </w:style>
  <w:style w:type="character" w:styleId="EndnoteReference">
    <w:name w:val="endnote reference"/>
    <w:basedOn w:val="DefaultParagraphFont"/>
    <w:semiHidden/>
    <w:unhideWhenUsed/>
    <w:rsid w:val="00D76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B5FEF"/>
    <w:rPr>
      <w:rFonts w:ascii="Perpetua Std" w:hAnsi="Perpetua Std"/>
    </w:rPr>
  </w:style>
  <w:style w:type="paragraph" w:styleId="Heading1">
    <w:name w:val="heading 1"/>
    <w:basedOn w:val="Normal"/>
    <w:next w:val="Normal"/>
    <w:link w:val="Heading1Char"/>
    <w:qFormat/>
    <w:rsid w:val="003B5FEF"/>
    <w:pPr>
      <w:keepNext/>
      <w:outlineLvl w:val="0"/>
    </w:pPr>
    <w:rPr>
      <w:b/>
    </w:rPr>
  </w:style>
  <w:style w:type="paragraph" w:styleId="Heading2">
    <w:name w:val="heading 2"/>
    <w:basedOn w:val="Normal"/>
    <w:next w:val="Normal"/>
    <w:link w:val="Heading2Char"/>
    <w:qFormat/>
    <w:rsid w:val="003B5FEF"/>
    <w:pPr>
      <w:keepNext/>
      <w:spacing w:before="240" w:after="60"/>
      <w:outlineLvl w:val="1"/>
    </w:pPr>
    <w:rPr>
      <w:rFonts w:ascii="Arial" w:hAnsi="Arial"/>
      <w:b/>
      <w:i/>
      <w:sz w:val="24"/>
    </w:rPr>
  </w:style>
  <w:style w:type="paragraph" w:styleId="Heading3">
    <w:name w:val="heading 3"/>
    <w:basedOn w:val="Normal"/>
    <w:next w:val="Normal"/>
    <w:link w:val="Heading3Char"/>
    <w:qFormat/>
    <w:rsid w:val="003B5FE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B5FEF"/>
    <w:pPr>
      <w:spacing w:after="240"/>
      <w:jc w:val="both"/>
    </w:pPr>
    <w:rPr>
      <w:rFonts w:ascii="Helvetica LT Std" w:hAnsi="Helvetica LT Std"/>
      <w:b/>
      <w:color w:val="000000"/>
      <w:sz w:val="26"/>
    </w:rPr>
  </w:style>
  <w:style w:type="paragraph" w:customStyle="1" w:styleId="PA">
    <w:name w:val="PA"/>
    <w:next w:val="Normal"/>
    <w:link w:val="PAChar"/>
    <w:rsid w:val="003B5FEF"/>
    <w:pPr>
      <w:spacing w:after="240"/>
      <w:ind w:firstLine="288"/>
      <w:jc w:val="both"/>
    </w:pPr>
    <w:rPr>
      <w:rFonts w:ascii="Perpetua Std" w:hAnsi="Perpetua Std"/>
      <w:color w:val="000000"/>
      <w:sz w:val="24"/>
    </w:rPr>
  </w:style>
  <w:style w:type="character" w:customStyle="1" w:styleId="PAChar">
    <w:name w:val="PA Char"/>
    <w:link w:val="PA"/>
    <w:rsid w:val="003B5FEF"/>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3B5FEF"/>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3B5FEF"/>
    <w:pPr>
      <w:tabs>
        <w:tab w:val="left" w:pos="720"/>
      </w:tabs>
      <w:spacing w:after="240"/>
      <w:ind w:left="720" w:hanging="360"/>
      <w:jc w:val="both"/>
    </w:pPr>
    <w:rPr>
      <w:rFonts w:ascii="Perpetua Std" w:hAnsi="Perpetua Std"/>
      <w:color w:val="000000"/>
      <w:sz w:val="24"/>
    </w:rPr>
  </w:style>
  <w:style w:type="paragraph" w:customStyle="1" w:styleId="HD">
    <w:name w:val="HD"/>
    <w:rsid w:val="003B5FEF"/>
    <w:pPr>
      <w:suppressAutoHyphens/>
      <w:spacing w:before="120"/>
      <w:jc w:val="center"/>
    </w:pPr>
    <w:rPr>
      <w:rFonts w:ascii="Helvetica LT Std" w:hAnsi="Helvetica LT Std"/>
      <w:sz w:val="26"/>
      <w:szCs w:val="18"/>
    </w:rPr>
  </w:style>
  <w:style w:type="paragraph" w:customStyle="1" w:styleId="PN">
    <w:name w:val="PN"/>
    <w:rsid w:val="003B5FEF"/>
    <w:pPr>
      <w:spacing w:after="240"/>
      <w:ind w:left="720" w:firstLine="288"/>
      <w:jc w:val="both"/>
    </w:pPr>
    <w:rPr>
      <w:rFonts w:ascii="Perpetua Std" w:eastAsia="MS Mincho" w:hAnsi="Perpetua Std"/>
      <w:color w:val="000000"/>
    </w:rPr>
  </w:style>
  <w:style w:type="paragraph" w:customStyle="1" w:styleId="PB">
    <w:name w:val="PB"/>
    <w:rsid w:val="003B5FEF"/>
    <w:pPr>
      <w:spacing w:after="240"/>
      <w:jc w:val="both"/>
    </w:pPr>
    <w:rPr>
      <w:rFonts w:ascii="Perpetua Std" w:hAnsi="Perpetua Std"/>
      <w:color w:val="000000"/>
      <w:sz w:val="24"/>
    </w:rPr>
  </w:style>
  <w:style w:type="paragraph" w:customStyle="1" w:styleId="PQ">
    <w:name w:val="PQ"/>
    <w:link w:val="PQChar"/>
    <w:rsid w:val="003B5FE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B5FEF"/>
    <w:rPr>
      <w:rFonts w:ascii="Adobe Caslon Pro" w:hAnsi="Adobe Caslon Pro"/>
      <w:color w:val="000000"/>
      <w:sz w:val="14"/>
    </w:rPr>
  </w:style>
  <w:style w:type="paragraph" w:customStyle="1" w:styleId="PF">
    <w:name w:val="PF"/>
    <w:rsid w:val="003B5FEF"/>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3B5FEF"/>
    <w:pPr>
      <w:spacing w:before="120" w:after="120"/>
      <w:jc w:val="center"/>
    </w:pPr>
    <w:rPr>
      <w:rFonts w:ascii="Helvetica LT Std" w:hAnsi="Helvetica LT Std"/>
      <w:sz w:val="24"/>
    </w:rPr>
  </w:style>
  <w:style w:type="table" w:styleId="TableGrid">
    <w:name w:val="Table Grid"/>
    <w:basedOn w:val="TableNormal"/>
    <w:rsid w:val="003B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3B5FEF"/>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3B5FEF"/>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3B5FEF"/>
    <w:pPr>
      <w:spacing w:before="144"/>
      <w:jc w:val="both"/>
    </w:pPr>
    <w:rPr>
      <w:noProof/>
    </w:rPr>
  </w:style>
  <w:style w:type="paragraph" w:customStyle="1" w:styleId="PD">
    <w:name w:val="PD"/>
    <w:rsid w:val="003B5FEF"/>
    <w:pPr>
      <w:spacing w:after="240"/>
      <w:ind w:left="720" w:firstLine="288"/>
      <w:jc w:val="both"/>
    </w:pPr>
    <w:rPr>
      <w:rFonts w:ascii="Perpetua Std" w:hAnsi="Perpetua Std"/>
      <w:color w:val="000000"/>
      <w:sz w:val="24"/>
    </w:rPr>
  </w:style>
  <w:style w:type="paragraph" w:customStyle="1" w:styleId="PE">
    <w:name w:val="PE"/>
    <w:rsid w:val="003B5FEF"/>
    <w:pPr>
      <w:spacing w:after="240"/>
      <w:ind w:left="720"/>
      <w:jc w:val="both"/>
    </w:pPr>
    <w:rPr>
      <w:rFonts w:ascii="Perpetua Std" w:hAnsi="Perpetua Std"/>
      <w:color w:val="000000"/>
      <w:sz w:val="24"/>
    </w:rPr>
  </w:style>
  <w:style w:type="paragraph" w:customStyle="1" w:styleId="PG">
    <w:name w:val="PG"/>
    <w:rsid w:val="003B5FEF"/>
    <w:pPr>
      <w:spacing w:after="240"/>
      <w:ind w:left="360"/>
      <w:jc w:val="both"/>
    </w:pPr>
    <w:rPr>
      <w:rFonts w:ascii="Perpetua Std" w:hAnsi="Perpetua Std"/>
      <w:color w:val="000000"/>
      <w:sz w:val="24"/>
    </w:rPr>
  </w:style>
  <w:style w:type="paragraph" w:customStyle="1" w:styleId="PH">
    <w:name w:val="PH"/>
    <w:rsid w:val="003B5FEF"/>
    <w:pPr>
      <w:tabs>
        <w:tab w:val="left" w:pos="360"/>
      </w:tabs>
      <w:spacing w:after="240"/>
      <w:ind w:left="360" w:hanging="360"/>
      <w:jc w:val="both"/>
    </w:pPr>
    <w:rPr>
      <w:rFonts w:ascii="Perpetua Std" w:hAnsi="Perpetua Std"/>
      <w:color w:val="000000"/>
      <w:sz w:val="24"/>
    </w:rPr>
  </w:style>
  <w:style w:type="paragraph" w:customStyle="1" w:styleId="PI">
    <w:name w:val="PI"/>
    <w:rsid w:val="003B5FEF"/>
    <w:pPr>
      <w:spacing w:after="240"/>
      <w:ind w:left="360" w:hanging="360"/>
      <w:jc w:val="both"/>
    </w:pPr>
    <w:rPr>
      <w:rFonts w:ascii="Perpetua Std" w:hAnsi="Perpetua Std"/>
      <w:color w:val="000000"/>
      <w:sz w:val="24"/>
    </w:rPr>
  </w:style>
  <w:style w:type="paragraph" w:customStyle="1" w:styleId="PK">
    <w:name w:val="PK"/>
    <w:rsid w:val="003B5FEF"/>
    <w:pPr>
      <w:spacing w:after="240"/>
      <w:ind w:left="360" w:firstLine="288"/>
      <w:jc w:val="both"/>
    </w:pPr>
    <w:rPr>
      <w:rFonts w:ascii="Perpetua Std" w:hAnsi="Perpetua Std"/>
      <w:color w:val="000000"/>
      <w:sz w:val="24"/>
    </w:rPr>
  </w:style>
  <w:style w:type="paragraph" w:customStyle="1" w:styleId="PL">
    <w:name w:val="PL"/>
    <w:rsid w:val="003B5FE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B5FEF"/>
    <w:pPr>
      <w:spacing w:after="240"/>
      <w:ind w:left="432" w:right="432" w:firstLine="432"/>
      <w:jc w:val="both"/>
    </w:pPr>
    <w:rPr>
      <w:rFonts w:ascii="Minion Pro" w:hAnsi="Minion Pro"/>
    </w:rPr>
  </w:style>
  <w:style w:type="paragraph" w:customStyle="1" w:styleId="TOC">
    <w:name w:val="TOC"/>
    <w:autoRedefine/>
    <w:rsid w:val="003B5FE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B5FEF"/>
    <w:pPr>
      <w:tabs>
        <w:tab w:val="clear" w:pos="1440"/>
        <w:tab w:val="clear" w:pos="8640"/>
        <w:tab w:val="left" w:pos="240"/>
        <w:tab w:val="left" w:pos="480"/>
        <w:tab w:val="right" w:leader="dot" w:pos="4680"/>
      </w:tabs>
      <w:ind w:left="0" w:firstLine="0"/>
    </w:pPr>
    <w:rPr>
      <w:sz w:val="22"/>
    </w:rPr>
  </w:style>
  <w:style w:type="paragraph" w:customStyle="1" w:styleId="PP">
    <w:name w:val="PP"/>
    <w:rsid w:val="003B5FE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3B5FEF"/>
    <w:pPr>
      <w:spacing w:after="240"/>
      <w:jc w:val="center"/>
    </w:pPr>
    <w:rPr>
      <w:rFonts w:ascii="Helvetica LT Std" w:hAnsi="Helvetica LT Std"/>
      <w:b/>
      <w:caps/>
      <w:color w:val="000000"/>
      <w:sz w:val="36"/>
      <w:szCs w:val="32"/>
    </w:rPr>
  </w:style>
  <w:style w:type="paragraph" w:customStyle="1" w:styleId="HB">
    <w:name w:val="HB"/>
    <w:rsid w:val="003B5FEF"/>
    <w:pPr>
      <w:spacing w:before="120" w:after="240"/>
      <w:jc w:val="center"/>
    </w:pPr>
    <w:rPr>
      <w:rFonts w:ascii="Helvetica LT Std" w:hAnsi="Helvetica LT Std"/>
      <w:b/>
      <w:color w:val="5F5F5F"/>
      <w:w w:val="105"/>
      <w:sz w:val="32"/>
    </w:rPr>
  </w:style>
  <w:style w:type="paragraph" w:customStyle="1" w:styleId="HC">
    <w:name w:val="HC"/>
    <w:autoRedefine/>
    <w:rsid w:val="003B5FEF"/>
    <w:pPr>
      <w:tabs>
        <w:tab w:val="left" w:pos="284"/>
      </w:tabs>
      <w:spacing w:before="120" w:after="120"/>
      <w:jc w:val="center"/>
    </w:pPr>
    <w:rPr>
      <w:rFonts w:ascii="Helvetica LT Std" w:hAnsi="Helvetica LT Std"/>
      <w:b/>
      <w:color w:val="000000"/>
      <w:w w:val="110"/>
      <w:sz w:val="26"/>
    </w:rPr>
  </w:style>
  <w:style w:type="paragraph" w:customStyle="1" w:styleId="PR">
    <w:name w:val="PR"/>
    <w:rsid w:val="003B5FEF"/>
    <w:pPr>
      <w:spacing w:after="240"/>
      <w:ind w:left="360" w:firstLine="288"/>
      <w:jc w:val="both"/>
    </w:pPr>
    <w:rPr>
      <w:rFonts w:ascii="Adobe Caslon Pro" w:hAnsi="Adobe Caslon Pro"/>
      <w:color w:val="000000"/>
      <w:sz w:val="14"/>
    </w:rPr>
  </w:style>
  <w:style w:type="paragraph" w:customStyle="1" w:styleId="PO">
    <w:name w:val="PO"/>
    <w:rsid w:val="003B5FEF"/>
    <w:pPr>
      <w:spacing w:after="240"/>
      <w:jc w:val="both"/>
    </w:pPr>
    <w:rPr>
      <w:rFonts w:ascii="Perpetua Std" w:hAnsi="Perpetua Std"/>
      <w:color w:val="000000"/>
      <w:w w:val="95"/>
      <w:szCs w:val="16"/>
    </w:rPr>
  </w:style>
  <w:style w:type="paragraph" w:customStyle="1" w:styleId="GUIDEX">
    <w:name w:val="GUIDEX"/>
    <w:rsid w:val="003B5FE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B5FEF"/>
    <w:pPr>
      <w:tabs>
        <w:tab w:val="clear" w:pos="240"/>
        <w:tab w:val="clear" w:pos="480"/>
        <w:tab w:val="clear" w:pos="720"/>
        <w:tab w:val="right" w:pos="4680"/>
      </w:tabs>
    </w:pPr>
  </w:style>
  <w:style w:type="paragraph" w:customStyle="1" w:styleId="PCB">
    <w:name w:val="PCB"/>
    <w:autoRedefine/>
    <w:rsid w:val="003B5FEF"/>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3B5FEF"/>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B5FEF"/>
    <w:rPr>
      <w:rFonts w:ascii="Perpetua Std" w:hAnsi="Perpetua Std"/>
    </w:rPr>
  </w:style>
  <w:style w:type="paragraph" w:styleId="NoSpacing">
    <w:name w:val="No Spacing"/>
    <w:qFormat/>
    <w:rsid w:val="003B5FEF"/>
    <w:rPr>
      <w:rFonts w:ascii="Perpetua" w:hAnsi="Perpetua"/>
    </w:rPr>
  </w:style>
  <w:style w:type="paragraph" w:customStyle="1" w:styleId="PCA">
    <w:name w:val="PCA"/>
    <w:rsid w:val="003B5FEF"/>
    <w:pPr>
      <w:numPr>
        <w:numId w:val="29"/>
      </w:numPr>
      <w:tabs>
        <w:tab w:val="left" w:pos="720"/>
      </w:tabs>
      <w:spacing w:after="240"/>
      <w:jc w:val="both"/>
    </w:pPr>
    <w:rPr>
      <w:rFonts w:ascii="Perpetua Std" w:hAnsi="Perpetua Std"/>
      <w:sz w:val="24"/>
    </w:rPr>
  </w:style>
  <w:style w:type="paragraph" w:customStyle="1" w:styleId="PHB">
    <w:name w:val="PHB"/>
    <w:rsid w:val="003B5FEF"/>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3B5FEF"/>
    <w:rPr>
      <w:rFonts w:ascii="Perpetua Std" w:eastAsia="MS Mincho" w:hAnsi="Perpetua Std"/>
      <w:color w:val="000000"/>
      <w:sz w:val="22"/>
    </w:rPr>
  </w:style>
  <w:style w:type="paragraph" w:styleId="EndnoteText">
    <w:name w:val="endnote text"/>
    <w:basedOn w:val="Normal"/>
    <w:link w:val="EndnoteTextChar"/>
    <w:semiHidden/>
    <w:unhideWhenUsed/>
    <w:rsid w:val="00D76655"/>
  </w:style>
  <w:style w:type="character" w:customStyle="1" w:styleId="EndnoteTextChar">
    <w:name w:val="Endnote Text Char"/>
    <w:basedOn w:val="DefaultParagraphFont"/>
    <w:link w:val="EndnoteText"/>
    <w:semiHidden/>
    <w:rsid w:val="00D76655"/>
    <w:rPr>
      <w:rFonts w:ascii="Perpetua Std" w:hAnsi="Perpetua Std"/>
    </w:rPr>
  </w:style>
  <w:style w:type="character" w:styleId="EndnoteReference">
    <w:name w:val="endnote reference"/>
    <w:basedOn w:val="DefaultParagraphFont"/>
    <w:semiHidden/>
    <w:unhideWhenUsed/>
    <w:rsid w:val="00D76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BCF3-3686-4D7D-8717-0DD9FFBD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8538. What is alternative minimum taxable income (AMTI) for purposes of the alternative minimum tax?</vt:lpstr>
    </vt:vector>
  </TitlesOfParts>
  <Company>Summit Business Media</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8538. What is alternative minimum taxable income (AMTI) for purposes of the alternative minimum tax?</dc:title>
  <dc:creator>Alexis Long</dc:creator>
  <cp:lastModifiedBy>rcline</cp:lastModifiedBy>
  <cp:revision>2</cp:revision>
  <cp:lastPrinted>2014-08-16T18:37:00Z</cp:lastPrinted>
  <dcterms:created xsi:type="dcterms:W3CDTF">2014-08-20T19:17:00Z</dcterms:created>
  <dcterms:modified xsi:type="dcterms:W3CDTF">2014-08-20T19:17:00Z</dcterms:modified>
</cp:coreProperties>
</file>