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B2" w:rsidRPr="00532B64" w:rsidRDefault="00097038" w:rsidP="00097038">
      <w:pPr>
        <w:pStyle w:val="HB"/>
      </w:pPr>
      <w:bookmarkStart w:id="0" w:name="_GoBack"/>
      <w:bookmarkEnd w:id="0"/>
      <w:r w:rsidRPr="00532B64">
        <w:t>Alternative Minimum Tax</w:t>
      </w:r>
    </w:p>
    <w:p w:rsidR="008D29E3" w:rsidRPr="008D29E3" w:rsidRDefault="008D29E3" w:rsidP="00097038">
      <w:pPr>
        <w:pStyle w:val="PA"/>
        <w:rPr>
          <w:b/>
          <w:sz w:val="28"/>
          <w:szCs w:val="28"/>
        </w:rPr>
      </w:pPr>
      <w:r w:rsidRPr="008D29E3">
        <w:rPr>
          <w:b/>
          <w:sz w:val="28"/>
          <w:szCs w:val="28"/>
        </w:rPr>
        <w:t xml:space="preserve">8537.  </w:t>
      </w:r>
      <w:r w:rsidR="008074CB">
        <w:rPr>
          <w:b/>
          <w:sz w:val="28"/>
          <w:szCs w:val="28"/>
        </w:rPr>
        <w:t>What is the alternative minimum tax and how is it calculated</w:t>
      </w:r>
      <w:r w:rsidRPr="008D29E3">
        <w:rPr>
          <w:b/>
          <w:sz w:val="28"/>
          <w:szCs w:val="28"/>
        </w:rPr>
        <w:t>?</w:t>
      </w:r>
    </w:p>
    <w:p w:rsidR="008074CB" w:rsidRDefault="007865B2" w:rsidP="00097038">
      <w:pPr>
        <w:pStyle w:val="PA"/>
      </w:pPr>
      <w:r w:rsidRPr="00532B64">
        <w:t>In addition to</w:t>
      </w:r>
      <w:r w:rsidR="008074CB">
        <w:t xml:space="preserve"> regular income tax, the </w:t>
      </w:r>
      <w:r w:rsidR="008074CB" w:rsidRPr="00532B64">
        <w:rPr>
          <w:i/>
          <w:iCs/>
        </w:rPr>
        <w:t xml:space="preserve">alternative minimum tax </w:t>
      </w:r>
      <w:r w:rsidR="008074CB" w:rsidRPr="008074CB">
        <w:rPr>
          <w:iCs/>
        </w:rPr>
        <w:t>(AMT)</w:t>
      </w:r>
      <w:r w:rsidR="008074CB">
        <w:t xml:space="preserve"> is an additional tax that certain taxpayers must pay.  In theory, the purpose of AMT is prevent high income taxpayers from taking advantage of tax benefits (such as exclusions, deductions and credits) to substantially reduce or even eliminate their tax liability.  However, in reality, due to complex rules, many relatively low income taxpayers are often subject to AMT.  </w:t>
      </w:r>
    </w:p>
    <w:p w:rsidR="00CB0AF1" w:rsidRPr="00532B64" w:rsidRDefault="007865B2" w:rsidP="00097038">
      <w:pPr>
        <w:pStyle w:val="PA"/>
      </w:pPr>
      <w:r w:rsidRPr="00532B64">
        <w:t xml:space="preserve">The AMT is calculated </w:t>
      </w:r>
      <w:r w:rsidR="00CB0AF1" w:rsidRPr="00532B64">
        <w:t>as follows:</w:t>
      </w:r>
    </w:p>
    <w:p w:rsidR="00097038" w:rsidRPr="00532B64" w:rsidRDefault="00CB0AF1" w:rsidP="00097038">
      <w:pPr>
        <w:pStyle w:val="PC"/>
      </w:pPr>
      <w:r w:rsidRPr="00532B64">
        <w:t>(1)</w:t>
      </w:r>
      <w:r w:rsidR="00097038" w:rsidRPr="00532B64">
        <w:tab/>
      </w:r>
      <w:r w:rsidR="008074CB">
        <w:t xml:space="preserve"> </w:t>
      </w:r>
      <w:proofErr w:type="gramStart"/>
      <w:r w:rsidR="008074CB">
        <w:t>compute</w:t>
      </w:r>
      <w:proofErr w:type="gramEnd"/>
      <w:r w:rsidR="007865B2" w:rsidRPr="00532B64">
        <w:t xml:space="preserve"> alternative minimum taxable income (AMTI</w:t>
      </w:r>
      <w:r w:rsidRPr="00532B64">
        <w:t xml:space="preserve">, see </w:t>
      </w:r>
      <w:r w:rsidR="000465CA" w:rsidRPr="00532B64">
        <w:t>Q 85</w:t>
      </w:r>
      <w:r w:rsidR="00A82E6D" w:rsidRPr="00532B64">
        <w:t>38</w:t>
      </w:r>
      <w:r w:rsidRPr="00532B64">
        <w:t>)</w:t>
      </w:r>
      <w:r w:rsidR="002040BD">
        <w:t>;</w:t>
      </w:r>
      <w:r w:rsidR="007865B2" w:rsidRPr="00532B64">
        <w:t xml:space="preserve"> </w:t>
      </w:r>
    </w:p>
    <w:p w:rsidR="00097038" w:rsidRPr="00532B64" w:rsidRDefault="00CB0AF1" w:rsidP="00097038">
      <w:pPr>
        <w:pStyle w:val="PC"/>
        <w:rPr>
          <w:spacing w:val="2"/>
        </w:rPr>
      </w:pPr>
      <w:r w:rsidRPr="00532B64">
        <w:rPr>
          <w:spacing w:val="2"/>
        </w:rPr>
        <w:t>(2)</w:t>
      </w:r>
      <w:r w:rsidR="00097038" w:rsidRPr="00532B64">
        <w:rPr>
          <w:spacing w:val="2"/>
        </w:rPr>
        <w:tab/>
      </w:r>
      <w:proofErr w:type="gramStart"/>
      <w:r w:rsidRPr="00532B64">
        <w:rPr>
          <w:spacing w:val="2"/>
        </w:rPr>
        <w:t>s</w:t>
      </w:r>
      <w:r w:rsidR="008074CB">
        <w:rPr>
          <w:spacing w:val="2"/>
        </w:rPr>
        <w:t>ubtract</w:t>
      </w:r>
      <w:proofErr w:type="gramEnd"/>
      <w:r w:rsidRPr="00532B64">
        <w:rPr>
          <w:spacing w:val="2"/>
        </w:rPr>
        <w:t xml:space="preserve"> </w:t>
      </w:r>
      <w:r w:rsidR="007865B2" w:rsidRPr="00532B64">
        <w:rPr>
          <w:spacing w:val="2"/>
        </w:rPr>
        <w:t>the exemption</w:t>
      </w:r>
      <w:r w:rsidR="00A87F0E">
        <w:rPr>
          <w:spacing w:val="2"/>
        </w:rPr>
        <w:t xml:space="preserve"> amount</w:t>
      </w:r>
      <w:r w:rsidR="007865B2" w:rsidRPr="00532B64">
        <w:rPr>
          <w:spacing w:val="2"/>
        </w:rPr>
        <w:t xml:space="preserve"> </w:t>
      </w:r>
      <w:r w:rsidRPr="00532B64">
        <w:rPr>
          <w:spacing w:val="2"/>
        </w:rPr>
        <w:t>from AMTI</w:t>
      </w:r>
      <w:r w:rsidR="002040BD">
        <w:rPr>
          <w:spacing w:val="2"/>
        </w:rPr>
        <w:t>;</w:t>
      </w:r>
      <w:r w:rsidR="007865B2" w:rsidRPr="00532B64">
        <w:rPr>
          <w:spacing w:val="2"/>
        </w:rPr>
        <w:t xml:space="preserve"> and </w:t>
      </w:r>
    </w:p>
    <w:p w:rsidR="00CB0AF1" w:rsidRPr="00532B64" w:rsidRDefault="00CB0AF1" w:rsidP="00097038">
      <w:pPr>
        <w:pStyle w:val="PC"/>
        <w:rPr>
          <w:spacing w:val="2"/>
        </w:rPr>
      </w:pPr>
      <w:r w:rsidRPr="00532B64">
        <w:rPr>
          <w:spacing w:val="2"/>
        </w:rPr>
        <w:t>(3)</w:t>
      </w:r>
      <w:r w:rsidR="00097038" w:rsidRPr="00532B64">
        <w:rPr>
          <w:spacing w:val="2"/>
        </w:rPr>
        <w:tab/>
      </w:r>
      <w:r w:rsidR="008074CB">
        <w:rPr>
          <w:spacing w:val="2"/>
        </w:rPr>
        <w:t xml:space="preserve"> </w:t>
      </w:r>
      <w:proofErr w:type="gramStart"/>
      <w:r w:rsidR="008074CB">
        <w:rPr>
          <w:spacing w:val="2"/>
        </w:rPr>
        <w:t>multiply</w:t>
      </w:r>
      <w:proofErr w:type="gramEnd"/>
      <w:r w:rsidR="008074CB">
        <w:rPr>
          <w:spacing w:val="2"/>
        </w:rPr>
        <w:t xml:space="preserve"> </w:t>
      </w:r>
      <w:r w:rsidR="00A87F0E">
        <w:rPr>
          <w:spacing w:val="2"/>
        </w:rPr>
        <w:t>the remaining AMTI</w:t>
      </w:r>
      <w:r w:rsidR="008074CB">
        <w:rPr>
          <w:spacing w:val="2"/>
        </w:rPr>
        <w:t xml:space="preserve"> (step (2), above)</w:t>
      </w:r>
      <w:r w:rsidR="00A87F0E">
        <w:rPr>
          <w:spacing w:val="2"/>
        </w:rPr>
        <w:t>, by the applicable AMT rate.</w:t>
      </w:r>
    </w:p>
    <w:p w:rsidR="00A87F0E" w:rsidRDefault="00A87F0E" w:rsidP="004E7836">
      <w:pPr>
        <w:pStyle w:val="PA"/>
      </w:pPr>
      <w:r>
        <w:t>For purposes of sheltering lower income taxpayers from being subject to AMT, the Code allows exemption amounts.  Only AMTI in excess of the exemption amount is subject to AMT.  The 2014 exemption amounts are as follows:</w:t>
      </w:r>
      <w:r w:rsidR="00487515">
        <w:rPr>
          <w:rStyle w:val="EndnoteReference"/>
        </w:rPr>
        <w:endnoteReference w:id="1"/>
      </w:r>
    </w:p>
    <w:tbl>
      <w:tblPr>
        <w:tblStyle w:val="TableGrid"/>
        <w:tblW w:w="0" w:type="auto"/>
        <w:tblLook w:val="04A0" w:firstRow="1" w:lastRow="0" w:firstColumn="1" w:lastColumn="0" w:noHBand="0" w:noVBand="1"/>
      </w:tblPr>
      <w:tblGrid>
        <w:gridCol w:w="4788"/>
        <w:gridCol w:w="4788"/>
      </w:tblGrid>
      <w:tr w:rsidR="00487515" w:rsidTr="00487515">
        <w:tc>
          <w:tcPr>
            <w:tcW w:w="4788" w:type="dxa"/>
          </w:tcPr>
          <w:p w:rsidR="00487515" w:rsidRDefault="00487515" w:rsidP="004E7836">
            <w:pPr>
              <w:pStyle w:val="PA"/>
              <w:ind w:firstLine="0"/>
            </w:pPr>
            <w:r>
              <w:t>Filing Status</w:t>
            </w:r>
          </w:p>
        </w:tc>
        <w:tc>
          <w:tcPr>
            <w:tcW w:w="4788" w:type="dxa"/>
          </w:tcPr>
          <w:p w:rsidR="00487515" w:rsidRDefault="00487515" w:rsidP="004E7836">
            <w:pPr>
              <w:pStyle w:val="PA"/>
              <w:ind w:firstLine="0"/>
            </w:pPr>
            <w:r>
              <w:t>AMT Exemption</w:t>
            </w:r>
          </w:p>
        </w:tc>
      </w:tr>
      <w:tr w:rsidR="00487515" w:rsidTr="00487515">
        <w:tc>
          <w:tcPr>
            <w:tcW w:w="4788" w:type="dxa"/>
          </w:tcPr>
          <w:p w:rsidR="00487515" w:rsidRDefault="00487515" w:rsidP="004E7836">
            <w:pPr>
              <w:pStyle w:val="PA"/>
              <w:ind w:firstLine="0"/>
            </w:pPr>
            <w:r>
              <w:t>Married filing jointly or qualifying widow(</w:t>
            </w:r>
            <w:proofErr w:type="spellStart"/>
            <w:r>
              <w:t>er</w:t>
            </w:r>
            <w:proofErr w:type="spellEnd"/>
            <w:r>
              <w:t>)</w:t>
            </w:r>
          </w:p>
        </w:tc>
        <w:tc>
          <w:tcPr>
            <w:tcW w:w="4788" w:type="dxa"/>
          </w:tcPr>
          <w:p w:rsidR="00487515" w:rsidRDefault="00487515" w:rsidP="0061252B">
            <w:pPr>
              <w:pStyle w:val="PA"/>
              <w:ind w:firstLine="0"/>
              <w:jc w:val="center"/>
            </w:pPr>
            <w:r>
              <w:t>$82,100</w:t>
            </w:r>
          </w:p>
        </w:tc>
      </w:tr>
      <w:tr w:rsidR="00487515" w:rsidTr="00487515">
        <w:tc>
          <w:tcPr>
            <w:tcW w:w="4788" w:type="dxa"/>
          </w:tcPr>
          <w:p w:rsidR="00487515" w:rsidRDefault="00487515" w:rsidP="004E7836">
            <w:pPr>
              <w:pStyle w:val="PA"/>
              <w:ind w:firstLine="0"/>
            </w:pPr>
            <w:r>
              <w:t>Single or Head of Household</w:t>
            </w:r>
          </w:p>
        </w:tc>
        <w:tc>
          <w:tcPr>
            <w:tcW w:w="4788" w:type="dxa"/>
          </w:tcPr>
          <w:p w:rsidR="00487515" w:rsidRDefault="00487515" w:rsidP="0061252B">
            <w:pPr>
              <w:pStyle w:val="PA"/>
              <w:ind w:firstLine="0"/>
              <w:jc w:val="center"/>
            </w:pPr>
            <w:r>
              <w:t>$52,800</w:t>
            </w:r>
          </w:p>
        </w:tc>
      </w:tr>
      <w:tr w:rsidR="00487515" w:rsidTr="00487515">
        <w:tc>
          <w:tcPr>
            <w:tcW w:w="4788" w:type="dxa"/>
          </w:tcPr>
          <w:p w:rsidR="00487515" w:rsidRDefault="00487515" w:rsidP="004E7836">
            <w:pPr>
              <w:pStyle w:val="PA"/>
              <w:ind w:firstLine="0"/>
            </w:pPr>
            <w:r>
              <w:t>Married filing separately</w:t>
            </w:r>
          </w:p>
        </w:tc>
        <w:tc>
          <w:tcPr>
            <w:tcW w:w="4788" w:type="dxa"/>
          </w:tcPr>
          <w:p w:rsidR="00487515" w:rsidRDefault="00487515" w:rsidP="0061252B">
            <w:pPr>
              <w:pStyle w:val="PA"/>
              <w:ind w:firstLine="0"/>
              <w:jc w:val="center"/>
            </w:pPr>
            <w:r>
              <w:t>$41,050</w:t>
            </w:r>
          </w:p>
        </w:tc>
      </w:tr>
    </w:tbl>
    <w:p w:rsidR="00487515" w:rsidRDefault="00487515" w:rsidP="00487515">
      <w:pPr>
        <w:pStyle w:val="PA"/>
      </w:pPr>
      <w:r>
        <w:br/>
        <w:t xml:space="preserve">    </w:t>
      </w:r>
      <w:r w:rsidR="007865B2" w:rsidRPr="00532B64">
        <w:t>The</w:t>
      </w:r>
      <w:r w:rsidR="00A87F0E">
        <w:t xml:space="preserve">re are two AMT rates.  For 2014, </w:t>
      </w:r>
      <w:r>
        <w:t>those rates are as follows:</w:t>
      </w:r>
    </w:p>
    <w:tbl>
      <w:tblPr>
        <w:tblStyle w:val="TableGrid"/>
        <w:tblW w:w="0" w:type="auto"/>
        <w:tblLook w:val="04A0" w:firstRow="1" w:lastRow="0" w:firstColumn="1" w:lastColumn="0" w:noHBand="0" w:noVBand="1"/>
      </w:tblPr>
      <w:tblGrid>
        <w:gridCol w:w="3192"/>
        <w:gridCol w:w="3192"/>
        <w:gridCol w:w="3192"/>
      </w:tblGrid>
      <w:tr w:rsidR="00487515" w:rsidTr="00487515">
        <w:tc>
          <w:tcPr>
            <w:tcW w:w="3192" w:type="dxa"/>
          </w:tcPr>
          <w:p w:rsidR="00487515" w:rsidRDefault="00487515" w:rsidP="00487515">
            <w:pPr>
              <w:pStyle w:val="PA"/>
              <w:ind w:firstLine="0"/>
            </w:pPr>
            <w:r>
              <w:t>AMT Rates</w:t>
            </w:r>
          </w:p>
        </w:tc>
        <w:tc>
          <w:tcPr>
            <w:tcW w:w="3192" w:type="dxa"/>
          </w:tcPr>
          <w:p w:rsidR="00487515" w:rsidRDefault="00487515" w:rsidP="0061252B">
            <w:pPr>
              <w:pStyle w:val="PA"/>
              <w:ind w:firstLine="0"/>
              <w:jc w:val="center"/>
            </w:pPr>
            <w:r>
              <w:t>26%</w:t>
            </w:r>
          </w:p>
        </w:tc>
        <w:tc>
          <w:tcPr>
            <w:tcW w:w="3192" w:type="dxa"/>
          </w:tcPr>
          <w:p w:rsidR="00487515" w:rsidRDefault="00487515" w:rsidP="0061252B">
            <w:pPr>
              <w:pStyle w:val="PA"/>
              <w:ind w:firstLine="0"/>
              <w:jc w:val="center"/>
            </w:pPr>
            <w:r>
              <w:t>28%</w:t>
            </w:r>
          </w:p>
        </w:tc>
      </w:tr>
      <w:tr w:rsidR="00487515" w:rsidTr="00487515">
        <w:tc>
          <w:tcPr>
            <w:tcW w:w="3192" w:type="dxa"/>
          </w:tcPr>
          <w:p w:rsidR="00487515" w:rsidRDefault="00487515" w:rsidP="00487515">
            <w:pPr>
              <w:pStyle w:val="PA"/>
              <w:ind w:firstLine="0"/>
            </w:pPr>
            <w:r>
              <w:t>Married filing separately</w:t>
            </w:r>
          </w:p>
        </w:tc>
        <w:tc>
          <w:tcPr>
            <w:tcW w:w="3192" w:type="dxa"/>
          </w:tcPr>
          <w:p w:rsidR="00487515" w:rsidRDefault="0061252B" w:rsidP="00487515">
            <w:pPr>
              <w:pStyle w:val="PA"/>
              <w:ind w:firstLine="0"/>
            </w:pPr>
            <w:r>
              <w:t>Up to $91,250</w:t>
            </w:r>
          </w:p>
        </w:tc>
        <w:tc>
          <w:tcPr>
            <w:tcW w:w="3192" w:type="dxa"/>
          </w:tcPr>
          <w:p w:rsidR="00487515" w:rsidRDefault="0061252B" w:rsidP="00487515">
            <w:pPr>
              <w:pStyle w:val="PA"/>
              <w:ind w:firstLine="0"/>
            </w:pPr>
            <w:r>
              <w:t>Over $91,250</w:t>
            </w:r>
          </w:p>
        </w:tc>
      </w:tr>
      <w:tr w:rsidR="00487515" w:rsidTr="00487515">
        <w:tc>
          <w:tcPr>
            <w:tcW w:w="3192" w:type="dxa"/>
          </w:tcPr>
          <w:p w:rsidR="00487515" w:rsidRDefault="00487515" w:rsidP="00487515">
            <w:pPr>
              <w:pStyle w:val="PA"/>
              <w:ind w:firstLine="0"/>
            </w:pPr>
            <w:r>
              <w:t>All other filing status</w:t>
            </w:r>
          </w:p>
        </w:tc>
        <w:tc>
          <w:tcPr>
            <w:tcW w:w="3192" w:type="dxa"/>
          </w:tcPr>
          <w:p w:rsidR="00487515" w:rsidRDefault="0061252B" w:rsidP="00487515">
            <w:pPr>
              <w:pStyle w:val="PA"/>
              <w:ind w:firstLine="0"/>
            </w:pPr>
            <w:r>
              <w:t>Up to $182,500</w:t>
            </w:r>
          </w:p>
        </w:tc>
        <w:tc>
          <w:tcPr>
            <w:tcW w:w="3192" w:type="dxa"/>
          </w:tcPr>
          <w:p w:rsidR="00487515" w:rsidRDefault="0061252B" w:rsidP="00487515">
            <w:pPr>
              <w:pStyle w:val="PA"/>
              <w:ind w:firstLine="0"/>
            </w:pPr>
            <w:r>
              <w:t>Over $182,500</w:t>
            </w:r>
          </w:p>
        </w:tc>
      </w:tr>
    </w:tbl>
    <w:p w:rsidR="00487515" w:rsidRDefault="00487515" w:rsidP="00487515">
      <w:pPr>
        <w:pStyle w:val="PA"/>
      </w:pPr>
    </w:p>
    <w:p w:rsidR="00F01CA4" w:rsidRDefault="00CE36D4" w:rsidP="00487515">
      <w:pPr>
        <w:pStyle w:val="PA"/>
      </w:pPr>
      <w:r>
        <w:t>For purposes of computing AMT, the taxpayer is allowed to take the foreign tax credit.</w:t>
      </w:r>
      <w:r>
        <w:rPr>
          <w:rStyle w:val="EndnoteReference"/>
        </w:rPr>
        <w:endnoteReference w:id="2"/>
      </w:r>
      <w:r>
        <w:t xml:space="preserve">  </w:t>
      </w:r>
      <w:r w:rsidR="00F01CA4">
        <w:t>After computing AMT, it is compared with the taxpayer’s regular income tax.  If the regular tax is lower than AMT, the difference is AMT owing in addition to the tax.  Stated differently, the taxpayer must pay the higher of AMT or the regular tax.</w:t>
      </w:r>
      <w:r w:rsidR="00F01CA4">
        <w:rPr>
          <w:rStyle w:val="EndnoteReference"/>
        </w:rPr>
        <w:endnoteReference w:id="3"/>
      </w:r>
      <w:r w:rsidR="00F01CA4">
        <w:t xml:space="preserve">  </w:t>
      </w:r>
    </w:p>
    <w:p w:rsidR="00F01CA4" w:rsidRPr="00F01CA4" w:rsidRDefault="00F01CA4" w:rsidP="00487515">
      <w:pPr>
        <w:pStyle w:val="PA"/>
      </w:pPr>
      <w:proofErr w:type="gramStart"/>
      <w:r>
        <w:rPr>
          <w:i/>
        </w:rPr>
        <w:lastRenderedPageBreak/>
        <w:t>Example</w:t>
      </w:r>
      <w:r>
        <w:t>.</w:t>
      </w:r>
      <w:proofErr w:type="gramEnd"/>
      <w:r>
        <w:t xml:space="preserve">  For 2014, Asher’s regular income tax liability is $75,000 but his AMT tax liability is $</w:t>
      </w:r>
      <w:proofErr w:type="gramStart"/>
      <w:r>
        <w:t>92,000,</w:t>
      </w:r>
      <w:proofErr w:type="gramEnd"/>
      <w:r>
        <w:t xml:space="preserve"> or $17,000 more than his regular income tax liability.  Asher’s liability is $92,000 ($75,000 regular income tax and $17,000 AMT).</w:t>
      </w:r>
    </w:p>
    <w:p w:rsidR="00CE36D4" w:rsidRPr="008D29E3" w:rsidRDefault="00CE36D4" w:rsidP="00CE36D4">
      <w:pPr>
        <w:pStyle w:val="PA"/>
        <w:rPr>
          <w:b/>
          <w:sz w:val="28"/>
          <w:szCs w:val="28"/>
        </w:rPr>
      </w:pPr>
      <w:r w:rsidRPr="008D29E3">
        <w:rPr>
          <w:b/>
          <w:sz w:val="28"/>
          <w:szCs w:val="28"/>
        </w:rPr>
        <w:t>8537</w:t>
      </w:r>
      <w:r>
        <w:rPr>
          <w:b/>
          <w:sz w:val="28"/>
          <w:szCs w:val="28"/>
        </w:rPr>
        <w:t>.02</w:t>
      </w:r>
      <w:proofErr w:type="gramStart"/>
      <w:r w:rsidRPr="008D29E3">
        <w:rPr>
          <w:b/>
          <w:sz w:val="28"/>
          <w:szCs w:val="28"/>
        </w:rPr>
        <w:t xml:space="preserve">.  </w:t>
      </w:r>
      <w:r>
        <w:rPr>
          <w:b/>
          <w:sz w:val="28"/>
          <w:szCs w:val="28"/>
        </w:rPr>
        <w:t>Are</w:t>
      </w:r>
      <w:proofErr w:type="gramEnd"/>
      <w:r>
        <w:rPr>
          <w:b/>
          <w:sz w:val="28"/>
          <w:szCs w:val="28"/>
        </w:rPr>
        <w:t xml:space="preserve"> personal tax credits allowed as an offset against AMT liability</w:t>
      </w:r>
      <w:r w:rsidRPr="008D29E3">
        <w:rPr>
          <w:b/>
          <w:sz w:val="28"/>
          <w:szCs w:val="28"/>
        </w:rPr>
        <w:t>?</w:t>
      </w:r>
    </w:p>
    <w:p w:rsidR="00CE36D4" w:rsidRDefault="00CE36D4" w:rsidP="00487515">
      <w:pPr>
        <w:pStyle w:val="PA"/>
      </w:pPr>
      <w:r>
        <w:t>Several refundable tax credits such as the earned income credit and the refundable portion of the child tax credit are allowed as an offset against AMT liability.  Other personal nonrefundable credits also allowed as an offset include:</w:t>
      </w:r>
    </w:p>
    <w:p w:rsidR="00CE36D4" w:rsidRDefault="00CE36D4" w:rsidP="00CE36D4">
      <w:pPr>
        <w:pStyle w:val="PA"/>
        <w:numPr>
          <w:ilvl w:val="0"/>
          <w:numId w:val="31"/>
        </w:numPr>
      </w:pPr>
      <w:r>
        <w:t>Adoption tax credit</w:t>
      </w:r>
    </w:p>
    <w:p w:rsidR="00CE36D4" w:rsidRPr="00CE36D4" w:rsidRDefault="00CE36D4" w:rsidP="00CE36D4">
      <w:pPr>
        <w:numPr>
          <w:ilvl w:val="0"/>
          <w:numId w:val="31"/>
        </w:numPr>
      </w:pPr>
      <w:r>
        <w:rPr>
          <w:sz w:val="24"/>
          <w:szCs w:val="24"/>
        </w:rPr>
        <w:t>Child and dependent care credit</w:t>
      </w:r>
    </w:p>
    <w:p w:rsidR="00CE36D4" w:rsidRPr="00CE36D4" w:rsidRDefault="00CE36D4" w:rsidP="00CE36D4">
      <w:pPr>
        <w:ind w:left="1008"/>
      </w:pPr>
    </w:p>
    <w:p w:rsidR="00CE36D4" w:rsidRPr="00CE36D4" w:rsidRDefault="00CE36D4" w:rsidP="00CE36D4">
      <w:pPr>
        <w:numPr>
          <w:ilvl w:val="0"/>
          <w:numId w:val="31"/>
        </w:numPr>
      </w:pPr>
      <w:r>
        <w:rPr>
          <w:sz w:val="24"/>
          <w:szCs w:val="24"/>
        </w:rPr>
        <w:t>Nonrefundable portion of the child tax credit</w:t>
      </w:r>
    </w:p>
    <w:p w:rsidR="00CE36D4" w:rsidRDefault="00CE36D4" w:rsidP="00CE36D4">
      <w:pPr>
        <w:pStyle w:val="ListParagraph"/>
      </w:pPr>
    </w:p>
    <w:p w:rsidR="00CE36D4" w:rsidRPr="00CE36D4" w:rsidRDefault="00CE36D4" w:rsidP="00CE36D4">
      <w:pPr>
        <w:numPr>
          <w:ilvl w:val="0"/>
          <w:numId w:val="31"/>
        </w:numPr>
        <w:rPr>
          <w:sz w:val="24"/>
          <w:szCs w:val="24"/>
        </w:rPr>
      </w:pPr>
      <w:r w:rsidRPr="00CE36D4">
        <w:rPr>
          <w:sz w:val="24"/>
          <w:szCs w:val="24"/>
        </w:rPr>
        <w:t>Certain learning credits</w:t>
      </w:r>
    </w:p>
    <w:p w:rsidR="00CE36D4" w:rsidRPr="00CE36D4" w:rsidRDefault="00CE36D4" w:rsidP="00CE36D4">
      <w:pPr>
        <w:pStyle w:val="ListParagraph"/>
        <w:rPr>
          <w:sz w:val="24"/>
          <w:szCs w:val="24"/>
        </w:rPr>
      </w:pPr>
    </w:p>
    <w:p w:rsidR="00CE36D4" w:rsidRPr="00CE36D4" w:rsidRDefault="00CE36D4" w:rsidP="00CE36D4">
      <w:pPr>
        <w:numPr>
          <w:ilvl w:val="0"/>
          <w:numId w:val="31"/>
        </w:numPr>
        <w:rPr>
          <w:sz w:val="24"/>
          <w:szCs w:val="24"/>
        </w:rPr>
      </w:pPr>
      <w:r w:rsidRPr="00CE36D4">
        <w:rPr>
          <w:sz w:val="24"/>
          <w:szCs w:val="24"/>
        </w:rPr>
        <w:t>Tax credit for IRAs and retirement plans</w:t>
      </w:r>
    </w:p>
    <w:p w:rsidR="00CE36D4" w:rsidRPr="00CE36D4" w:rsidRDefault="00CE36D4" w:rsidP="00CE36D4">
      <w:pPr>
        <w:pStyle w:val="ListParagraph"/>
        <w:rPr>
          <w:sz w:val="24"/>
          <w:szCs w:val="24"/>
        </w:rPr>
      </w:pPr>
    </w:p>
    <w:p w:rsidR="00CE36D4" w:rsidRPr="00CE36D4" w:rsidRDefault="00CE36D4" w:rsidP="00CE36D4">
      <w:pPr>
        <w:numPr>
          <w:ilvl w:val="0"/>
          <w:numId w:val="31"/>
        </w:numPr>
        <w:rPr>
          <w:sz w:val="24"/>
          <w:szCs w:val="24"/>
        </w:rPr>
      </w:pPr>
      <w:r w:rsidRPr="00CE36D4">
        <w:rPr>
          <w:sz w:val="24"/>
          <w:szCs w:val="24"/>
        </w:rPr>
        <w:t>Energy saving credits</w:t>
      </w:r>
      <w:r>
        <w:rPr>
          <w:rStyle w:val="EndnoteReference"/>
          <w:sz w:val="24"/>
          <w:szCs w:val="24"/>
        </w:rPr>
        <w:endnoteReference w:id="4"/>
      </w:r>
    </w:p>
    <w:p w:rsidR="004E7836" w:rsidRPr="004E7836" w:rsidRDefault="004E7836" w:rsidP="004E7836"/>
    <w:sectPr w:rsidR="004E7836" w:rsidRPr="004E7836" w:rsidSect="00271A21">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37" w:rsidRDefault="00873537" w:rsidP="006F074C">
      <w:r>
        <w:separator/>
      </w:r>
    </w:p>
  </w:endnote>
  <w:endnote w:type="continuationSeparator" w:id="0">
    <w:p w:rsidR="00873537" w:rsidRDefault="00873537" w:rsidP="006F074C">
      <w:r>
        <w:continuationSeparator/>
      </w:r>
    </w:p>
  </w:endnote>
  <w:endnote w:id="1">
    <w:p w:rsidR="00487515" w:rsidRPr="00487515" w:rsidRDefault="00487515">
      <w:pPr>
        <w:pStyle w:val="EndnoteText"/>
        <w:rPr>
          <w:sz w:val="16"/>
          <w:szCs w:val="16"/>
        </w:rPr>
      </w:pPr>
      <w:r>
        <w:rPr>
          <w:rStyle w:val="EndnoteReference"/>
        </w:rPr>
        <w:endnoteRef/>
      </w:r>
      <w:r>
        <w:t xml:space="preserve"> </w:t>
      </w:r>
      <w:r>
        <w:rPr>
          <w:sz w:val="16"/>
          <w:szCs w:val="16"/>
        </w:rPr>
        <w:t>IRC Sec. 55(d</w:t>
      </w:r>
      <w:proofErr w:type="gramStart"/>
      <w:r>
        <w:rPr>
          <w:sz w:val="16"/>
          <w:szCs w:val="16"/>
        </w:rPr>
        <w:t>)(</w:t>
      </w:r>
      <w:proofErr w:type="gramEnd"/>
      <w:r>
        <w:rPr>
          <w:sz w:val="16"/>
          <w:szCs w:val="16"/>
        </w:rPr>
        <w:t>1), Rev. Proc. 2013-35, IRB 2013-47 537.</w:t>
      </w:r>
    </w:p>
  </w:endnote>
  <w:endnote w:id="2">
    <w:p w:rsidR="00CE36D4" w:rsidRPr="00CE36D4" w:rsidRDefault="00CE36D4">
      <w:pPr>
        <w:pStyle w:val="EndnoteText"/>
        <w:rPr>
          <w:sz w:val="16"/>
          <w:szCs w:val="16"/>
        </w:rPr>
      </w:pPr>
      <w:r>
        <w:rPr>
          <w:rStyle w:val="EndnoteReference"/>
        </w:rPr>
        <w:endnoteRef/>
      </w:r>
      <w:r>
        <w:t xml:space="preserve"> </w:t>
      </w:r>
      <w:r>
        <w:rPr>
          <w:sz w:val="16"/>
          <w:szCs w:val="16"/>
        </w:rPr>
        <w:t>IRC Sec. 55(b</w:t>
      </w:r>
      <w:proofErr w:type="gramStart"/>
      <w:r>
        <w:rPr>
          <w:sz w:val="16"/>
          <w:szCs w:val="16"/>
        </w:rPr>
        <w:t>)(</w:t>
      </w:r>
      <w:proofErr w:type="gramEnd"/>
      <w:r>
        <w:rPr>
          <w:sz w:val="16"/>
          <w:szCs w:val="16"/>
        </w:rPr>
        <w:t>1)(A).</w:t>
      </w:r>
    </w:p>
  </w:endnote>
  <w:endnote w:id="3">
    <w:p w:rsidR="00F01CA4" w:rsidRPr="00F01CA4" w:rsidRDefault="00F01CA4">
      <w:pPr>
        <w:pStyle w:val="EndnoteText"/>
        <w:rPr>
          <w:sz w:val="16"/>
          <w:szCs w:val="16"/>
        </w:rPr>
      </w:pPr>
      <w:r>
        <w:rPr>
          <w:rStyle w:val="EndnoteReference"/>
        </w:rPr>
        <w:endnoteRef/>
      </w:r>
      <w:r>
        <w:t xml:space="preserve"> </w:t>
      </w:r>
      <w:r>
        <w:rPr>
          <w:sz w:val="16"/>
          <w:szCs w:val="16"/>
        </w:rPr>
        <w:t xml:space="preserve">IRC Sec. </w:t>
      </w:r>
      <w:proofErr w:type="gramStart"/>
      <w:r>
        <w:rPr>
          <w:sz w:val="16"/>
          <w:szCs w:val="16"/>
        </w:rPr>
        <w:t>55(a</w:t>
      </w:r>
      <w:proofErr w:type="gramEnd"/>
      <w:r>
        <w:rPr>
          <w:sz w:val="16"/>
          <w:szCs w:val="16"/>
        </w:rPr>
        <w:t>).</w:t>
      </w:r>
    </w:p>
  </w:endnote>
  <w:endnote w:id="4">
    <w:p w:rsidR="00CE36D4" w:rsidRDefault="00CE36D4">
      <w:pPr>
        <w:pStyle w:val="EndnoteText"/>
      </w:pPr>
      <w:r>
        <w:rPr>
          <w:rStyle w:val="EndnoteReference"/>
        </w:rPr>
        <w:endnoteRef/>
      </w:r>
      <w:r>
        <w:t xml:space="preserve"> </w:t>
      </w:r>
      <w:r w:rsidRPr="00CE36D4">
        <w:rPr>
          <w:sz w:val="16"/>
          <w:szCs w:val="16"/>
        </w:rPr>
        <w:t>IRC Sec. 26(a</w:t>
      </w:r>
      <w:proofErr w:type="gramStart"/>
      <w:r w:rsidRPr="00CE36D4">
        <w:rPr>
          <w:sz w:val="16"/>
          <w:szCs w:val="16"/>
        </w:rPr>
        <w:t>)(</w:t>
      </w:r>
      <w:proofErr w:type="gramEnd"/>
      <w:r w:rsidRPr="00CE36D4">
        <w:rPr>
          <w:sz w:val="16"/>
          <w:szCs w:val="16"/>
        </w:rPr>
        <w:t>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37" w:rsidRDefault="00873537" w:rsidP="006F074C">
      <w:r>
        <w:separator/>
      </w:r>
    </w:p>
  </w:footnote>
  <w:footnote w:type="continuationSeparator" w:id="0">
    <w:p w:rsidR="00873537" w:rsidRDefault="00873537" w:rsidP="006F0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64B7DD0"/>
    <w:multiLevelType w:val="hybridMultilevel"/>
    <w:tmpl w:val="01CC62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B2CBE"/>
    <w:multiLevelType w:val="singleLevel"/>
    <w:tmpl w:val="0409000F"/>
    <w:lvl w:ilvl="0">
      <w:start w:val="1"/>
      <w:numFmt w:val="decimal"/>
      <w:lvlText w:val="%1."/>
      <w:lvlJc w:val="left"/>
      <w:pPr>
        <w:tabs>
          <w:tab w:val="num" w:pos="360"/>
        </w:tabs>
        <w:ind w:left="360" w:hanging="360"/>
      </w:pPr>
    </w:lvl>
  </w:abstractNum>
  <w:abstractNum w:abstractNumId="21">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0"/>
  </w:num>
  <w:num w:numId="3">
    <w:abstractNumId w:val="25"/>
  </w:num>
  <w:num w:numId="4">
    <w:abstractNumId w:val="16"/>
  </w:num>
  <w:num w:numId="5">
    <w:abstractNumId w:val="9"/>
  </w:num>
  <w:num w:numId="6">
    <w:abstractNumId w:val="19"/>
  </w:num>
  <w:num w:numId="7">
    <w:abstractNumId w:val="22"/>
  </w:num>
  <w:num w:numId="8">
    <w:abstractNumId w:val="6"/>
  </w:num>
  <w:num w:numId="9">
    <w:abstractNumId w:val="1"/>
  </w:num>
  <w:num w:numId="10">
    <w:abstractNumId w:val="14"/>
  </w:num>
  <w:num w:numId="11">
    <w:abstractNumId w:val="21"/>
  </w:num>
  <w:num w:numId="12">
    <w:abstractNumId w:val="27"/>
  </w:num>
  <w:num w:numId="13">
    <w:abstractNumId w:val="5"/>
  </w:num>
  <w:num w:numId="14">
    <w:abstractNumId w:val="23"/>
  </w:num>
  <w:num w:numId="15">
    <w:abstractNumId w:val="8"/>
  </w:num>
  <w:num w:numId="16">
    <w:abstractNumId w:val="7"/>
  </w:num>
  <w:num w:numId="17">
    <w:abstractNumId w:val="11"/>
  </w:num>
  <w:num w:numId="18">
    <w:abstractNumId w:val="18"/>
  </w:num>
  <w:num w:numId="19">
    <w:abstractNumId w:val="10"/>
  </w:num>
  <w:num w:numId="20">
    <w:abstractNumId w:val="24"/>
  </w:num>
  <w:num w:numId="21">
    <w:abstractNumId w:val="2"/>
  </w:num>
  <w:num w:numId="22">
    <w:abstractNumId w:val="13"/>
  </w:num>
  <w:num w:numId="23">
    <w:abstractNumId w:val="29"/>
  </w:num>
  <w:num w:numId="24">
    <w:abstractNumId w:val="12"/>
  </w:num>
  <w:num w:numId="25">
    <w:abstractNumId w:val="20"/>
  </w:num>
  <w:num w:numId="26">
    <w:abstractNumId w:val="3"/>
  </w:num>
  <w:num w:numId="27">
    <w:abstractNumId w:val="4"/>
  </w:num>
  <w:num w:numId="28">
    <w:abstractNumId w:val="26"/>
  </w:num>
  <w:num w:numId="29">
    <w:abstractNumId w:val="28"/>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37960"/>
    <w:rsid w:val="00043906"/>
    <w:rsid w:val="000465CA"/>
    <w:rsid w:val="0008018A"/>
    <w:rsid w:val="00083567"/>
    <w:rsid w:val="000925AB"/>
    <w:rsid w:val="00097038"/>
    <w:rsid w:val="000A2B66"/>
    <w:rsid w:val="000A6CAB"/>
    <w:rsid w:val="000B6372"/>
    <w:rsid w:val="000D258D"/>
    <w:rsid w:val="000D6146"/>
    <w:rsid w:val="000E6BBB"/>
    <w:rsid w:val="00114F5B"/>
    <w:rsid w:val="00116205"/>
    <w:rsid w:val="001244E9"/>
    <w:rsid w:val="00141FAB"/>
    <w:rsid w:val="00152AC5"/>
    <w:rsid w:val="0017741C"/>
    <w:rsid w:val="00190E67"/>
    <w:rsid w:val="00197132"/>
    <w:rsid w:val="0019748C"/>
    <w:rsid w:val="001A05A6"/>
    <w:rsid w:val="001A2727"/>
    <w:rsid w:val="001D0595"/>
    <w:rsid w:val="001E1AC3"/>
    <w:rsid w:val="001F52F4"/>
    <w:rsid w:val="002000C6"/>
    <w:rsid w:val="00202A9B"/>
    <w:rsid w:val="00202F50"/>
    <w:rsid w:val="00203125"/>
    <w:rsid w:val="002040BD"/>
    <w:rsid w:val="00204F81"/>
    <w:rsid w:val="00212ED8"/>
    <w:rsid w:val="00231C02"/>
    <w:rsid w:val="00242C92"/>
    <w:rsid w:val="00243A4C"/>
    <w:rsid w:val="00264FD9"/>
    <w:rsid w:val="00271A21"/>
    <w:rsid w:val="00287277"/>
    <w:rsid w:val="002B58F5"/>
    <w:rsid w:val="002E05EC"/>
    <w:rsid w:val="002E46AF"/>
    <w:rsid w:val="002E4BFB"/>
    <w:rsid w:val="002F6745"/>
    <w:rsid w:val="00310C38"/>
    <w:rsid w:val="0032167A"/>
    <w:rsid w:val="00323E1D"/>
    <w:rsid w:val="00327BDB"/>
    <w:rsid w:val="003315FD"/>
    <w:rsid w:val="00355BC4"/>
    <w:rsid w:val="00360557"/>
    <w:rsid w:val="00377919"/>
    <w:rsid w:val="003B1DF7"/>
    <w:rsid w:val="003B450F"/>
    <w:rsid w:val="003B65D8"/>
    <w:rsid w:val="003C1548"/>
    <w:rsid w:val="003F00D7"/>
    <w:rsid w:val="003F05E5"/>
    <w:rsid w:val="003F0E38"/>
    <w:rsid w:val="00407D8B"/>
    <w:rsid w:val="004167F4"/>
    <w:rsid w:val="00427B74"/>
    <w:rsid w:val="00435B94"/>
    <w:rsid w:val="004454DB"/>
    <w:rsid w:val="00456493"/>
    <w:rsid w:val="004564BF"/>
    <w:rsid w:val="004629F4"/>
    <w:rsid w:val="00474C65"/>
    <w:rsid w:val="00484642"/>
    <w:rsid w:val="00487515"/>
    <w:rsid w:val="00487A39"/>
    <w:rsid w:val="004C5F26"/>
    <w:rsid w:val="004E7836"/>
    <w:rsid w:val="00501B90"/>
    <w:rsid w:val="00511E10"/>
    <w:rsid w:val="005171D4"/>
    <w:rsid w:val="00517CDB"/>
    <w:rsid w:val="00521FCB"/>
    <w:rsid w:val="005223B9"/>
    <w:rsid w:val="00532B64"/>
    <w:rsid w:val="005611F2"/>
    <w:rsid w:val="00565698"/>
    <w:rsid w:val="0056737A"/>
    <w:rsid w:val="00573817"/>
    <w:rsid w:val="00590D68"/>
    <w:rsid w:val="005A7B2C"/>
    <w:rsid w:val="005B0930"/>
    <w:rsid w:val="005B53F2"/>
    <w:rsid w:val="005C64AC"/>
    <w:rsid w:val="005E18C8"/>
    <w:rsid w:val="005E1E5E"/>
    <w:rsid w:val="005E1F03"/>
    <w:rsid w:val="005E3CAD"/>
    <w:rsid w:val="006070A8"/>
    <w:rsid w:val="0061252B"/>
    <w:rsid w:val="006152E6"/>
    <w:rsid w:val="0061599B"/>
    <w:rsid w:val="00660C3B"/>
    <w:rsid w:val="00664BF0"/>
    <w:rsid w:val="00667AE6"/>
    <w:rsid w:val="0068069B"/>
    <w:rsid w:val="00695FA3"/>
    <w:rsid w:val="006B1DE0"/>
    <w:rsid w:val="006C1680"/>
    <w:rsid w:val="006C6B16"/>
    <w:rsid w:val="006D2DC5"/>
    <w:rsid w:val="006D650C"/>
    <w:rsid w:val="006E0E1D"/>
    <w:rsid w:val="006E34CD"/>
    <w:rsid w:val="006F074C"/>
    <w:rsid w:val="00704D91"/>
    <w:rsid w:val="00723223"/>
    <w:rsid w:val="00725A6D"/>
    <w:rsid w:val="007343A3"/>
    <w:rsid w:val="007865B2"/>
    <w:rsid w:val="00786F5E"/>
    <w:rsid w:val="00794370"/>
    <w:rsid w:val="007B5A4F"/>
    <w:rsid w:val="007D39E8"/>
    <w:rsid w:val="007D6D13"/>
    <w:rsid w:val="007D7748"/>
    <w:rsid w:val="0080472F"/>
    <w:rsid w:val="00804FC2"/>
    <w:rsid w:val="008074CB"/>
    <w:rsid w:val="008316E9"/>
    <w:rsid w:val="00835C56"/>
    <w:rsid w:val="00844B76"/>
    <w:rsid w:val="00873537"/>
    <w:rsid w:val="008864E6"/>
    <w:rsid w:val="008A42E4"/>
    <w:rsid w:val="008B16D5"/>
    <w:rsid w:val="008C2D90"/>
    <w:rsid w:val="008D29E3"/>
    <w:rsid w:val="008D4B69"/>
    <w:rsid w:val="008E11EC"/>
    <w:rsid w:val="008E4CF6"/>
    <w:rsid w:val="008F7667"/>
    <w:rsid w:val="009003A2"/>
    <w:rsid w:val="00910F9D"/>
    <w:rsid w:val="00920178"/>
    <w:rsid w:val="00943F9C"/>
    <w:rsid w:val="00944E4E"/>
    <w:rsid w:val="0095488D"/>
    <w:rsid w:val="00957231"/>
    <w:rsid w:val="009626DD"/>
    <w:rsid w:val="0097483E"/>
    <w:rsid w:val="009938E4"/>
    <w:rsid w:val="009C0B32"/>
    <w:rsid w:val="009C73DD"/>
    <w:rsid w:val="009F75A1"/>
    <w:rsid w:val="00A02AF1"/>
    <w:rsid w:val="00A03817"/>
    <w:rsid w:val="00A05FEA"/>
    <w:rsid w:val="00A2685C"/>
    <w:rsid w:val="00A268AC"/>
    <w:rsid w:val="00A44BAD"/>
    <w:rsid w:val="00A46971"/>
    <w:rsid w:val="00A82E6D"/>
    <w:rsid w:val="00A87F0E"/>
    <w:rsid w:val="00A94701"/>
    <w:rsid w:val="00AB27D0"/>
    <w:rsid w:val="00B15D08"/>
    <w:rsid w:val="00B20CBB"/>
    <w:rsid w:val="00B35F20"/>
    <w:rsid w:val="00B47F6C"/>
    <w:rsid w:val="00B8207E"/>
    <w:rsid w:val="00B97105"/>
    <w:rsid w:val="00BA22F5"/>
    <w:rsid w:val="00BC19F7"/>
    <w:rsid w:val="00BC5792"/>
    <w:rsid w:val="00BC6F51"/>
    <w:rsid w:val="00BE317F"/>
    <w:rsid w:val="00BF4BC0"/>
    <w:rsid w:val="00C012A6"/>
    <w:rsid w:val="00C15AF0"/>
    <w:rsid w:val="00C1615A"/>
    <w:rsid w:val="00C3032D"/>
    <w:rsid w:val="00C360BE"/>
    <w:rsid w:val="00C5164F"/>
    <w:rsid w:val="00C5496F"/>
    <w:rsid w:val="00C64FEC"/>
    <w:rsid w:val="00C7289F"/>
    <w:rsid w:val="00C7768E"/>
    <w:rsid w:val="00C92346"/>
    <w:rsid w:val="00CB0AF1"/>
    <w:rsid w:val="00CD22F0"/>
    <w:rsid w:val="00CE36D4"/>
    <w:rsid w:val="00CF5092"/>
    <w:rsid w:val="00D0195D"/>
    <w:rsid w:val="00D418E3"/>
    <w:rsid w:val="00D51611"/>
    <w:rsid w:val="00D72E05"/>
    <w:rsid w:val="00D73FC0"/>
    <w:rsid w:val="00D81626"/>
    <w:rsid w:val="00DB3BF0"/>
    <w:rsid w:val="00DC02E2"/>
    <w:rsid w:val="00DC0B50"/>
    <w:rsid w:val="00DD22D9"/>
    <w:rsid w:val="00DD68C3"/>
    <w:rsid w:val="00DE67F6"/>
    <w:rsid w:val="00DF4691"/>
    <w:rsid w:val="00DF78BD"/>
    <w:rsid w:val="00E20C72"/>
    <w:rsid w:val="00E23001"/>
    <w:rsid w:val="00E260EE"/>
    <w:rsid w:val="00E34083"/>
    <w:rsid w:val="00E345E3"/>
    <w:rsid w:val="00E57EB0"/>
    <w:rsid w:val="00E67D60"/>
    <w:rsid w:val="00E70D9A"/>
    <w:rsid w:val="00E76573"/>
    <w:rsid w:val="00E8579E"/>
    <w:rsid w:val="00E9415A"/>
    <w:rsid w:val="00EA0B82"/>
    <w:rsid w:val="00EA727D"/>
    <w:rsid w:val="00EB0911"/>
    <w:rsid w:val="00EB2D4F"/>
    <w:rsid w:val="00EB47DD"/>
    <w:rsid w:val="00EC085E"/>
    <w:rsid w:val="00EC6008"/>
    <w:rsid w:val="00ED2B32"/>
    <w:rsid w:val="00EE366E"/>
    <w:rsid w:val="00EE4324"/>
    <w:rsid w:val="00F01CA4"/>
    <w:rsid w:val="00F03C24"/>
    <w:rsid w:val="00F118CC"/>
    <w:rsid w:val="00F16B3F"/>
    <w:rsid w:val="00F21AEE"/>
    <w:rsid w:val="00F66D50"/>
    <w:rsid w:val="00F96BEC"/>
    <w:rsid w:val="00F9714F"/>
    <w:rsid w:val="00FB7360"/>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910F9D"/>
    <w:rPr>
      <w:rFonts w:ascii="Perpetua Std" w:hAnsi="Perpetua Std"/>
    </w:rPr>
  </w:style>
  <w:style w:type="paragraph" w:styleId="Heading1">
    <w:name w:val="heading 1"/>
    <w:basedOn w:val="Normal"/>
    <w:next w:val="Normal"/>
    <w:link w:val="Heading1Char"/>
    <w:qFormat/>
    <w:rsid w:val="00910F9D"/>
    <w:pPr>
      <w:keepNext/>
      <w:outlineLvl w:val="0"/>
    </w:pPr>
    <w:rPr>
      <w:b/>
    </w:rPr>
  </w:style>
  <w:style w:type="paragraph" w:styleId="Heading2">
    <w:name w:val="heading 2"/>
    <w:basedOn w:val="Normal"/>
    <w:next w:val="Normal"/>
    <w:link w:val="Heading2Char"/>
    <w:qFormat/>
    <w:rsid w:val="00910F9D"/>
    <w:pPr>
      <w:keepNext/>
      <w:spacing w:before="240" w:after="60"/>
      <w:outlineLvl w:val="1"/>
    </w:pPr>
    <w:rPr>
      <w:rFonts w:ascii="Arial" w:hAnsi="Arial"/>
      <w:b/>
      <w:i/>
      <w:sz w:val="24"/>
    </w:rPr>
  </w:style>
  <w:style w:type="paragraph" w:styleId="Heading3">
    <w:name w:val="heading 3"/>
    <w:basedOn w:val="Normal"/>
    <w:next w:val="Normal"/>
    <w:link w:val="Heading3Char"/>
    <w:qFormat/>
    <w:rsid w:val="00910F9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910F9D"/>
    <w:pPr>
      <w:spacing w:after="240"/>
      <w:jc w:val="both"/>
    </w:pPr>
    <w:rPr>
      <w:rFonts w:ascii="Helvetica LT Std" w:hAnsi="Helvetica LT Std"/>
      <w:b/>
      <w:color w:val="000000"/>
      <w:sz w:val="26"/>
    </w:rPr>
  </w:style>
  <w:style w:type="paragraph" w:customStyle="1" w:styleId="PA">
    <w:name w:val="PA"/>
    <w:next w:val="Normal"/>
    <w:link w:val="PAChar"/>
    <w:rsid w:val="00910F9D"/>
    <w:pPr>
      <w:spacing w:after="240"/>
      <w:ind w:firstLine="288"/>
      <w:jc w:val="both"/>
    </w:pPr>
    <w:rPr>
      <w:rFonts w:ascii="Perpetua Std" w:hAnsi="Perpetua Std"/>
      <w:color w:val="000000"/>
      <w:sz w:val="24"/>
    </w:rPr>
  </w:style>
  <w:style w:type="character" w:customStyle="1" w:styleId="PAChar">
    <w:name w:val="PA Char"/>
    <w:link w:val="PA"/>
    <w:rsid w:val="00910F9D"/>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910F9D"/>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910F9D"/>
    <w:pPr>
      <w:tabs>
        <w:tab w:val="left" w:pos="720"/>
      </w:tabs>
      <w:spacing w:after="240"/>
      <w:ind w:left="720" w:hanging="360"/>
      <w:jc w:val="both"/>
    </w:pPr>
    <w:rPr>
      <w:rFonts w:ascii="Perpetua Std" w:hAnsi="Perpetua Std"/>
      <w:color w:val="000000"/>
      <w:sz w:val="24"/>
    </w:rPr>
  </w:style>
  <w:style w:type="paragraph" w:customStyle="1" w:styleId="HD">
    <w:name w:val="HD"/>
    <w:rsid w:val="00910F9D"/>
    <w:pPr>
      <w:suppressAutoHyphens/>
      <w:spacing w:before="120"/>
      <w:jc w:val="center"/>
    </w:pPr>
    <w:rPr>
      <w:rFonts w:ascii="Helvetica LT Std" w:hAnsi="Helvetica LT Std"/>
      <w:sz w:val="26"/>
      <w:szCs w:val="18"/>
    </w:rPr>
  </w:style>
  <w:style w:type="paragraph" w:customStyle="1" w:styleId="PN">
    <w:name w:val="PN"/>
    <w:rsid w:val="00910F9D"/>
    <w:pPr>
      <w:spacing w:after="240"/>
      <w:ind w:left="720" w:firstLine="288"/>
      <w:jc w:val="both"/>
    </w:pPr>
    <w:rPr>
      <w:rFonts w:ascii="Perpetua Std" w:eastAsia="MS Mincho" w:hAnsi="Perpetua Std"/>
      <w:color w:val="000000"/>
    </w:rPr>
  </w:style>
  <w:style w:type="paragraph" w:customStyle="1" w:styleId="PB">
    <w:name w:val="PB"/>
    <w:rsid w:val="00910F9D"/>
    <w:pPr>
      <w:spacing w:after="240"/>
      <w:jc w:val="both"/>
    </w:pPr>
    <w:rPr>
      <w:rFonts w:ascii="Perpetua Std" w:hAnsi="Perpetua Std"/>
      <w:color w:val="000000"/>
      <w:sz w:val="24"/>
    </w:rPr>
  </w:style>
  <w:style w:type="paragraph" w:customStyle="1" w:styleId="PQ">
    <w:name w:val="PQ"/>
    <w:link w:val="PQChar"/>
    <w:rsid w:val="00910F9D"/>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910F9D"/>
    <w:rPr>
      <w:rFonts w:ascii="Adobe Caslon Pro" w:hAnsi="Adobe Caslon Pro"/>
      <w:color w:val="000000"/>
      <w:sz w:val="14"/>
    </w:rPr>
  </w:style>
  <w:style w:type="paragraph" w:customStyle="1" w:styleId="PF">
    <w:name w:val="PF"/>
    <w:rsid w:val="00910F9D"/>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910F9D"/>
    <w:pPr>
      <w:spacing w:before="120" w:after="120"/>
      <w:jc w:val="center"/>
    </w:pPr>
    <w:rPr>
      <w:rFonts w:ascii="Helvetica LT Std" w:hAnsi="Helvetica LT Std"/>
      <w:sz w:val="24"/>
    </w:rPr>
  </w:style>
  <w:style w:type="table" w:styleId="TableGrid">
    <w:name w:val="Table Grid"/>
    <w:basedOn w:val="TableNormal"/>
    <w:rsid w:val="0091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910F9D"/>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910F9D"/>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910F9D"/>
    <w:pPr>
      <w:spacing w:before="144"/>
      <w:jc w:val="both"/>
    </w:pPr>
    <w:rPr>
      <w:noProof/>
    </w:rPr>
  </w:style>
  <w:style w:type="paragraph" w:customStyle="1" w:styleId="PD">
    <w:name w:val="PD"/>
    <w:rsid w:val="00910F9D"/>
    <w:pPr>
      <w:spacing w:after="240"/>
      <w:ind w:left="720" w:firstLine="288"/>
      <w:jc w:val="both"/>
    </w:pPr>
    <w:rPr>
      <w:rFonts w:ascii="Perpetua Std" w:hAnsi="Perpetua Std"/>
      <w:color w:val="000000"/>
      <w:sz w:val="24"/>
    </w:rPr>
  </w:style>
  <w:style w:type="paragraph" w:customStyle="1" w:styleId="PE">
    <w:name w:val="PE"/>
    <w:rsid w:val="00910F9D"/>
    <w:pPr>
      <w:spacing w:after="240"/>
      <w:ind w:left="720"/>
      <w:jc w:val="both"/>
    </w:pPr>
    <w:rPr>
      <w:rFonts w:ascii="Perpetua Std" w:hAnsi="Perpetua Std"/>
      <w:color w:val="000000"/>
      <w:sz w:val="24"/>
    </w:rPr>
  </w:style>
  <w:style w:type="paragraph" w:customStyle="1" w:styleId="PG">
    <w:name w:val="PG"/>
    <w:rsid w:val="00910F9D"/>
    <w:pPr>
      <w:spacing w:after="240"/>
      <w:ind w:left="360"/>
      <w:jc w:val="both"/>
    </w:pPr>
    <w:rPr>
      <w:rFonts w:ascii="Perpetua Std" w:hAnsi="Perpetua Std"/>
      <w:color w:val="000000"/>
      <w:sz w:val="24"/>
    </w:rPr>
  </w:style>
  <w:style w:type="paragraph" w:customStyle="1" w:styleId="PH">
    <w:name w:val="PH"/>
    <w:rsid w:val="00910F9D"/>
    <w:pPr>
      <w:tabs>
        <w:tab w:val="left" w:pos="360"/>
      </w:tabs>
      <w:spacing w:after="240"/>
      <w:ind w:left="360" w:hanging="360"/>
      <w:jc w:val="both"/>
    </w:pPr>
    <w:rPr>
      <w:rFonts w:ascii="Perpetua Std" w:hAnsi="Perpetua Std"/>
      <w:color w:val="000000"/>
      <w:sz w:val="24"/>
    </w:rPr>
  </w:style>
  <w:style w:type="paragraph" w:customStyle="1" w:styleId="PI">
    <w:name w:val="PI"/>
    <w:rsid w:val="00910F9D"/>
    <w:pPr>
      <w:spacing w:after="240"/>
      <w:ind w:left="360" w:hanging="360"/>
      <w:jc w:val="both"/>
    </w:pPr>
    <w:rPr>
      <w:rFonts w:ascii="Perpetua Std" w:hAnsi="Perpetua Std"/>
      <w:color w:val="000000"/>
      <w:sz w:val="24"/>
    </w:rPr>
  </w:style>
  <w:style w:type="paragraph" w:customStyle="1" w:styleId="PK">
    <w:name w:val="PK"/>
    <w:rsid w:val="00910F9D"/>
    <w:pPr>
      <w:spacing w:after="240"/>
      <w:ind w:left="360" w:firstLine="288"/>
      <w:jc w:val="both"/>
    </w:pPr>
    <w:rPr>
      <w:rFonts w:ascii="Perpetua Std" w:hAnsi="Perpetua Std"/>
      <w:color w:val="000000"/>
      <w:sz w:val="24"/>
    </w:rPr>
  </w:style>
  <w:style w:type="paragraph" w:customStyle="1" w:styleId="PL">
    <w:name w:val="PL"/>
    <w:rsid w:val="00910F9D"/>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910F9D"/>
    <w:pPr>
      <w:spacing w:after="240"/>
      <w:ind w:left="432" w:right="432" w:firstLine="432"/>
      <w:jc w:val="both"/>
    </w:pPr>
    <w:rPr>
      <w:rFonts w:ascii="Minion Pro" w:hAnsi="Minion Pro"/>
    </w:rPr>
  </w:style>
  <w:style w:type="paragraph" w:customStyle="1" w:styleId="TOC">
    <w:name w:val="TOC"/>
    <w:autoRedefine/>
    <w:rsid w:val="00910F9D"/>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910F9D"/>
    <w:pPr>
      <w:tabs>
        <w:tab w:val="clear" w:pos="1440"/>
        <w:tab w:val="clear" w:pos="8640"/>
        <w:tab w:val="left" w:pos="240"/>
        <w:tab w:val="left" w:pos="480"/>
        <w:tab w:val="right" w:leader="dot" w:pos="4680"/>
      </w:tabs>
      <w:ind w:left="0" w:firstLine="0"/>
    </w:pPr>
    <w:rPr>
      <w:sz w:val="22"/>
    </w:rPr>
  </w:style>
  <w:style w:type="paragraph" w:customStyle="1" w:styleId="PP">
    <w:name w:val="PP"/>
    <w:rsid w:val="00910F9D"/>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910F9D"/>
    <w:pPr>
      <w:spacing w:after="240"/>
      <w:jc w:val="center"/>
    </w:pPr>
    <w:rPr>
      <w:rFonts w:ascii="Helvetica LT Std" w:hAnsi="Helvetica LT Std"/>
      <w:b/>
      <w:caps/>
      <w:color w:val="000000"/>
      <w:sz w:val="36"/>
      <w:szCs w:val="32"/>
    </w:rPr>
  </w:style>
  <w:style w:type="paragraph" w:customStyle="1" w:styleId="HB">
    <w:name w:val="HB"/>
    <w:rsid w:val="00910F9D"/>
    <w:pPr>
      <w:spacing w:before="120" w:after="240"/>
      <w:jc w:val="center"/>
    </w:pPr>
    <w:rPr>
      <w:rFonts w:ascii="Helvetica LT Std" w:hAnsi="Helvetica LT Std"/>
      <w:b/>
      <w:color w:val="5F5F5F"/>
      <w:w w:val="105"/>
      <w:sz w:val="32"/>
    </w:rPr>
  </w:style>
  <w:style w:type="paragraph" w:customStyle="1" w:styleId="HC">
    <w:name w:val="HC"/>
    <w:autoRedefine/>
    <w:rsid w:val="00910F9D"/>
    <w:pPr>
      <w:tabs>
        <w:tab w:val="left" w:pos="284"/>
      </w:tabs>
      <w:spacing w:before="120" w:after="120"/>
      <w:jc w:val="center"/>
    </w:pPr>
    <w:rPr>
      <w:rFonts w:ascii="Helvetica LT Std" w:hAnsi="Helvetica LT Std"/>
      <w:b/>
      <w:color w:val="000000"/>
      <w:w w:val="110"/>
      <w:sz w:val="26"/>
    </w:rPr>
  </w:style>
  <w:style w:type="paragraph" w:customStyle="1" w:styleId="PR">
    <w:name w:val="PR"/>
    <w:rsid w:val="00910F9D"/>
    <w:pPr>
      <w:spacing w:after="240"/>
      <w:ind w:left="360" w:firstLine="288"/>
      <w:jc w:val="both"/>
    </w:pPr>
    <w:rPr>
      <w:rFonts w:ascii="Adobe Caslon Pro" w:hAnsi="Adobe Caslon Pro"/>
      <w:color w:val="000000"/>
      <w:sz w:val="14"/>
    </w:rPr>
  </w:style>
  <w:style w:type="paragraph" w:customStyle="1" w:styleId="PO">
    <w:name w:val="PO"/>
    <w:rsid w:val="00910F9D"/>
    <w:pPr>
      <w:spacing w:after="240"/>
      <w:jc w:val="both"/>
    </w:pPr>
    <w:rPr>
      <w:rFonts w:ascii="Perpetua Std" w:hAnsi="Perpetua Std"/>
      <w:color w:val="000000"/>
      <w:w w:val="95"/>
      <w:szCs w:val="16"/>
    </w:rPr>
  </w:style>
  <w:style w:type="paragraph" w:customStyle="1" w:styleId="GUIDEX">
    <w:name w:val="GUIDEX"/>
    <w:rsid w:val="00910F9D"/>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910F9D"/>
    <w:pPr>
      <w:tabs>
        <w:tab w:val="clear" w:pos="240"/>
        <w:tab w:val="clear" w:pos="480"/>
        <w:tab w:val="clear" w:pos="720"/>
        <w:tab w:val="right" w:pos="4680"/>
      </w:tabs>
    </w:pPr>
  </w:style>
  <w:style w:type="paragraph" w:customStyle="1" w:styleId="PCB">
    <w:name w:val="PCB"/>
    <w:autoRedefine/>
    <w:rsid w:val="00910F9D"/>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910F9D"/>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910F9D"/>
    <w:rPr>
      <w:rFonts w:ascii="Perpetua Std" w:hAnsi="Perpetua Std"/>
    </w:rPr>
  </w:style>
  <w:style w:type="paragraph" w:styleId="NoSpacing">
    <w:name w:val="No Spacing"/>
    <w:qFormat/>
    <w:rsid w:val="00910F9D"/>
    <w:rPr>
      <w:rFonts w:ascii="Perpetua" w:hAnsi="Perpetua"/>
    </w:rPr>
  </w:style>
  <w:style w:type="paragraph" w:customStyle="1" w:styleId="PCA">
    <w:name w:val="PCA"/>
    <w:rsid w:val="00910F9D"/>
    <w:pPr>
      <w:numPr>
        <w:numId w:val="29"/>
      </w:numPr>
      <w:tabs>
        <w:tab w:val="left" w:pos="720"/>
      </w:tabs>
      <w:spacing w:after="240"/>
      <w:jc w:val="both"/>
    </w:pPr>
    <w:rPr>
      <w:rFonts w:ascii="Perpetua Std" w:hAnsi="Perpetua Std"/>
      <w:sz w:val="24"/>
    </w:rPr>
  </w:style>
  <w:style w:type="paragraph" w:customStyle="1" w:styleId="PHB">
    <w:name w:val="PHB"/>
    <w:rsid w:val="00910F9D"/>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910F9D"/>
    <w:rPr>
      <w:rFonts w:ascii="Perpetua Std" w:eastAsia="MS Mincho" w:hAnsi="Perpetua Std"/>
      <w:color w:val="000000"/>
      <w:sz w:val="22"/>
    </w:rPr>
  </w:style>
  <w:style w:type="paragraph" w:styleId="EndnoteText">
    <w:name w:val="endnote text"/>
    <w:basedOn w:val="Normal"/>
    <w:link w:val="EndnoteTextChar"/>
    <w:semiHidden/>
    <w:unhideWhenUsed/>
    <w:rsid w:val="00487515"/>
  </w:style>
  <w:style w:type="character" w:customStyle="1" w:styleId="EndnoteTextChar">
    <w:name w:val="Endnote Text Char"/>
    <w:basedOn w:val="DefaultParagraphFont"/>
    <w:link w:val="EndnoteText"/>
    <w:semiHidden/>
    <w:rsid w:val="00487515"/>
    <w:rPr>
      <w:rFonts w:ascii="Perpetua Std" w:hAnsi="Perpetua Std"/>
    </w:rPr>
  </w:style>
  <w:style w:type="character" w:styleId="EndnoteReference">
    <w:name w:val="endnote reference"/>
    <w:basedOn w:val="DefaultParagraphFont"/>
    <w:semiHidden/>
    <w:unhideWhenUsed/>
    <w:rsid w:val="004875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910F9D"/>
    <w:rPr>
      <w:rFonts w:ascii="Perpetua Std" w:hAnsi="Perpetua Std"/>
    </w:rPr>
  </w:style>
  <w:style w:type="paragraph" w:styleId="Heading1">
    <w:name w:val="heading 1"/>
    <w:basedOn w:val="Normal"/>
    <w:next w:val="Normal"/>
    <w:link w:val="Heading1Char"/>
    <w:qFormat/>
    <w:rsid w:val="00910F9D"/>
    <w:pPr>
      <w:keepNext/>
      <w:outlineLvl w:val="0"/>
    </w:pPr>
    <w:rPr>
      <w:b/>
    </w:rPr>
  </w:style>
  <w:style w:type="paragraph" w:styleId="Heading2">
    <w:name w:val="heading 2"/>
    <w:basedOn w:val="Normal"/>
    <w:next w:val="Normal"/>
    <w:link w:val="Heading2Char"/>
    <w:qFormat/>
    <w:rsid w:val="00910F9D"/>
    <w:pPr>
      <w:keepNext/>
      <w:spacing w:before="240" w:after="60"/>
      <w:outlineLvl w:val="1"/>
    </w:pPr>
    <w:rPr>
      <w:rFonts w:ascii="Arial" w:hAnsi="Arial"/>
      <w:b/>
      <w:i/>
      <w:sz w:val="24"/>
    </w:rPr>
  </w:style>
  <w:style w:type="paragraph" w:styleId="Heading3">
    <w:name w:val="heading 3"/>
    <w:basedOn w:val="Normal"/>
    <w:next w:val="Normal"/>
    <w:link w:val="Heading3Char"/>
    <w:qFormat/>
    <w:rsid w:val="00910F9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910F9D"/>
    <w:pPr>
      <w:spacing w:after="240"/>
      <w:jc w:val="both"/>
    </w:pPr>
    <w:rPr>
      <w:rFonts w:ascii="Helvetica LT Std" w:hAnsi="Helvetica LT Std"/>
      <w:b/>
      <w:color w:val="000000"/>
      <w:sz w:val="26"/>
    </w:rPr>
  </w:style>
  <w:style w:type="paragraph" w:customStyle="1" w:styleId="PA">
    <w:name w:val="PA"/>
    <w:next w:val="Normal"/>
    <w:link w:val="PAChar"/>
    <w:rsid w:val="00910F9D"/>
    <w:pPr>
      <w:spacing w:after="240"/>
      <w:ind w:firstLine="288"/>
      <w:jc w:val="both"/>
    </w:pPr>
    <w:rPr>
      <w:rFonts w:ascii="Perpetua Std" w:hAnsi="Perpetua Std"/>
      <w:color w:val="000000"/>
      <w:sz w:val="24"/>
    </w:rPr>
  </w:style>
  <w:style w:type="character" w:customStyle="1" w:styleId="PAChar">
    <w:name w:val="PA Char"/>
    <w:link w:val="PA"/>
    <w:rsid w:val="00910F9D"/>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910F9D"/>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910F9D"/>
    <w:pPr>
      <w:tabs>
        <w:tab w:val="left" w:pos="720"/>
      </w:tabs>
      <w:spacing w:after="240"/>
      <w:ind w:left="720" w:hanging="360"/>
      <w:jc w:val="both"/>
    </w:pPr>
    <w:rPr>
      <w:rFonts w:ascii="Perpetua Std" w:hAnsi="Perpetua Std"/>
      <w:color w:val="000000"/>
      <w:sz w:val="24"/>
    </w:rPr>
  </w:style>
  <w:style w:type="paragraph" w:customStyle="1" w:styleId="HD">
    <w:name w:val="HD"/>
    <w:rsid w:val="00910F9D"/>
    <w:pPr>
      <w:suppressAutoHyphens/>
      <w:spacing w:before="120"/>
      <w:jc w:val="center"/>
    </w:pPr>
    <w:rPr>
      <w:rFonts w:ascii="Helvetica LT Std" w:hAnsi="Helvetica LT Std"/>
      <w:sz w:val="26"/>
      <w:szCs w:val="18"/>
    </w:rPr>
  </w:style>
  <w:style w:type="paragraph" w:customStyle="1" w:styleId="PN">
    <w:name w:val="PN"/>
    <w:rsid w:val="00910F9D"/>
    <w:pPr>
      <w:spacing w:after="240"/>
      <w:ind w:left="720" w:firstLine="288"/>
      <w:jc w:val="both"/>
    </w:pPr>
    <w:rPr>
      <w:rFonts w:ascii="Perpetua Std" w:eastAsia="MS Mincho" w:hAnsi="Perpetua Std"/>
      <w:color w:val="000000"/>
    </w:rPr>
  </w:style>
  <w:style w:type="paragraph" w:customStyle="1" w:styleId="PB">
    <w:name w:val="PB"/>
    <w:rsid w:val="00910F9D"/>
    <w:pPr>
      <w:spacing w:after="240"/>
      <w:jc w:val="both"/>
    </w:pPr>
    <w:rPr>
      <w:rFonts w:ascii="Perpetua Std" w:hAnsi="Perpetua Std"/>
      <w:color w:val="000000"/>
      <w:sz w:val="24"/>
    </w:rPr>
  </w:style>
  <w:style w:type="paragraph" w:customStyle="1" w:styleId="PQ">
    <w:name w:val="PQ"/>
    <w:link w:val="PQChar"/>
    <w:rsid w:val="00910F9D"/>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910F9D"/>
    <w:rPr>
      <w:rFonts w:ascii="Adobe Caslon Pro" w:hAnsi="Adobe Caslon Pro"/>
      <w:color w:val="000000"/>
      <w:sz w:val="14"/>
    </w:rPr>
  </w:style>
  <w:style w:type="paragraph" w:customStyle="1" w:styleId="PF">
    <w:name w:val="PF"/>
    <w:rsid w:val="00910F9D"/>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910F9D"/>
    <w:pPr>
      <w:spacing w:before="120" w:after="120"/>
      <w:jc w:val="center"/>
    </w:pPr>
    <w:rPr>
      <w:rFonts w:ascii="Helvetica LT Std" w:hAnsi="Helvetica LT Std"/>
      <w:sz w:val="24"/>
    </w:rPr>
  </w:style>
  <w:style w:type="table" w:styleId="TableGrid">
    <w:name w:val="Table Grid"/>
    <w:basedOn w:val="TableNormal"/>
    <w:rsid w:val="0091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910F9D"/>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910F9D"/>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910F9D"/>
    <w:pPr>
      <w:spacing w:before="144"/>
      <w:jc w:val="both"/>
    </w:pPr>
    <w:rPr>
      <w:noProof/>
    </w:rPr>
  </w:style>
  <w:style w:type="paragraph" w:customStyle="1" w:styleId="PD">
    <w:name w:val="PD"/>
    <w:rsid w:val="00910F9D"/>
    <w:pPr>
      <w:spacing w:after="240"/>
      <w:ind w:left="720" w:firstLine="288"/>
      <w:jc w:val="both"/>
    </w:pPr>
    <w:rPr>
      <w:rFonts w:ascii="Perpetua Std" w:hAnsi="Perpetua Std"/>
      <w:color w:val="000000"/>
      <w:sz w:val="24"/>
    </w:rPr>
  </w:style>
  <w:style w:type="paragraph" w:customStyle="1" w:styleId="PE">
    <w:name w:val="PE"/>
    <w:rsid w:val="00910F9D"/>
    <w:pPr>
      <w:spacing w:after="240"/>
      <w:ind w:left="720"/>
      <w:jc w:val="both"/>
    </w:pPr>
    <w:rPr>
      <w:rFonts w:ascii="Perpetua Std" w:hAnsi="Perpetua Std"/>
      <w:color w:val="000000"/>
      <w:sz w:val="24"/>
    </w:rPr>
  </w:style>
  <w:style w:type="paragraph" w:customStyle="1" w:styleId="PG">
    <w:name w:val="PG"/>
    <w:rsid w:val="00910F9D"/>
    <w:pPr>
      <w:spacing w:after="240"/>
      <w:ind w:left="360"/>
      <w:jc w:val="both"/>
    </w:pPr>
    <w:rPr>
      <w:rFonts w:ascii="Perpetua Std" w:hAnsi="Perpetua Std"/>
      <w:color w:val="000000"/>
      <w:sz w:val="24"/>
    </w:rPr>
  </w:style>
  <w:style w:type="paragraph" w:customStyle="1" w:styleId="PH">
    <w:name w:val="PH"/>
    <w:rsid w:val="00910F9D"/>
    <w:pPr>
      <w:tabs>
        <w:tab w:val="left" w:pos="360"/>
      </w:tabs>
      <w:spacing w:after="240"/>
      <w:ind w:left="360" w:hanging="360"/>
      <w:jc w:val="both"/>
    </w:pPr>
    <w:rPr>
      <w:rFonts w:ascii="Perpetua Std" w:hAnsi="Perpetua Std"/>
      <w:color w:val="000000"/>
      <w:sz w:val="24"/>
    </w:rPr>
  </w:style>
  <w:style w:type="paragraph" w:customStyle="1" w:styleId="PI">
    <w:name w:val="PI"/>
    <w:rsid w:val="00910F9D"/>
    <w:pPr>
      <w:spacing w:after="240"/>
      <w:ind w:left="360" w:hanging="360"/>
      <w:jc w:val="both"/>
    </w:pPr>
    <w:rPr>
      <w:rFonts w:ascii="Perpetua Std" w:hAnsi="Perpetua Std"/>
      <w:color w:val="000000"/>
      <w:sz w:val="24"/>
    </w:rPr>
  </w:style>
  <w:style w:type="paragraph" w:customStyle="1" w:styleId="PK">
    <w:name w:val="PK"/>
    <w:rsid w:val="00910F9D"/>
    <w:pPr>
      <w:spacing w:after="240"/>
      <w:ind w:left="360" w:firstLine="288"/>
      <w:jc w:val="both"/>
    </w:pPr>
    <w:rPr>
      <w:rFonts w:ascii="Perpetua Std" w:hAnsi="Perpetua Std"/>
      <w:color w:val="000000"/>
      <w:sz w:val="24"/>
    </w:rPr>
  </w:style>
  <w:style w:type="paragraph" w:customStyle="1" w:styleId="PL">
    <w:name w:val="PL"/>
    <w:rsid w:val="00910F9D"/>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910F9D"/>
    <w:pPr>
      <w:spacing w:after="240"/>
      <w:ind w:left="432" w:right="432" w:firstLine="432"/>
      <w:jc w:val="both"/>
    </w:pPr>
    <w:rPr>
      <w:rFonts w:ascii="Minion Pro" w:hAnsi="Minion Pro"/>
    </w:rPr>
  </w:style>
  <w:style w:type="paragraph" w:customStyle="1" w:styleId="TOC">
    <w:name w:val="TOC"/>
    <w:autoRedefine/>
    <w:rsid w:val="00910F9D"/>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910F9D"/>
    <w:pPr>
      <w:tabs>
        <w:tab w:val="clear" w:pos="1440"/>
        <w:tab w:val="clear" w:pos="8640"/>
        <w:tab w:val="left" w:pos="240"/>
        <w:tab w:val="left" w:pos="480"/>
        <w:tab w:val="right" w:leader="dot" w:pos="4680"/>
      </w:tabs>
      <w:ind w:left="0" w:firstLine="0"/>
    </w:pPr>
    <w:rPr>
      <w:sz w:val="22"/>
    </w:rPr>
  </w:style>
  <w:style w:type="paragraph" w:customStyle="1" w:styleId="PP">
    <w:name w:val="PP"/>
    <w:rsid w:val="00910F9D"/>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910F9D"/>
    <w:pPr>
      <w:spacing w:after="240"/>
      <w:jc w:val="center"/>
    </w:pPr>
    <w:rPr>
      <w:rFonts w:ascii="Helvetica LT Std" w:hAnsi="Helvetica LT Std"/>
      <w:b/>
      <w:caps/>
      <w:color w:val="000000"/>
      <w:sz w:val="36"/>
      <w:szCs w:val="32"/>
    </w:rPr>
  </w:style>
  <w:style w:type="paragraph" w:customStyle="1" w:styleId="HB">
    <w:name w:val="HB"/>
    <w:rsid w:val="00910F9D"/>
    <w:pPr>
      <w:spacing w:before="120" w:after="240"/>
      <w:jc w:val="center"/>
    </w:pPr>
    <w:rPr>
      <w:rFonts w:ascii="Helvetica LT Std" w:hAnsi="Helvetica LT Std"/>
      <w:b/>
      <w:color w:val="5F5F5F"/>
      <w:w w:val="105"/>
      <w:sz w:val="32"/>
    </w:rPr>
  </w:style>
  <w:style w:type="paragraph" w:customStyle="1" w:styleId="HC">
    <w:name w:val="HC"/>
    <w:autoRedefine/>
    <w:rsid w:val="00910F9D"/>
    <w:pPr>
      <w:tabs>
        <w:tab w:val="left" w:pos="284"/>
      </w:tabs>
      <w:spacing w:before="120" w:after="120"/>
      <w:jc w:val="center"/>
    </w:pPr>
    <w:rPr>
      <w:rFonts w:ascii="Helvetica LT Std" w:hAnsi="Helvetica LT Std"/>
      <w:b/>
      <w:color w:val="000000"/>
      <w:w w:val="110"/>
      <w:sz w:val="26"/>
    </w:rPr>
  </w:style>
  <w:style w:type="paragraph" w:customStyle="1" w:styleId="PR">
    <w:name w:val="PR"/>
    <w:rsid w:val="00910F9D"/>
    <w:pPr>
      <w:spacing w:after="240"/>
      <w:ind w:left="360" w:firstLine="288"/>
      <w:jc w:val="both"/>
    </w:pPr>
    <w:rPr>
      <w:rFonts w:ascii="Adobe Caslon Pro" w:hAnsi="Adobe Caslon Pro"/>
      <w:color w:val="000000"/>
      <w:sz w:val="14"/>
    </w:rPr>
  </w:style>
  <w:style w:type="paragraph" w:customStyle="1" w:styleId="PO">
    <w:name w:val="PO"/>
    <w:rsid w:val="00910F9D"/>
    <w:pPr>
      <w:spacing w:after="240"/>
      <w:jc w:val="both"/>
    </w:pPr>
    <w:rPr>
      <w:rFonts w:ascii="Perpetua Std" w:hAnsi="Perpetua Std"/>
      <w:color w:val="000000"/>
      <w:w w:val="95"/>
      <w:szCs w:val="16"/>
    </w:rPr>
  </w:style>
  <w:style w:type="paragraph" w:customStyle="1" w:styleId="GUIDEX">
    <w:name w:val="GUIDEX"/>
    <w:rsid w:val="00910F9D"/>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910F9D"/>
    <w:pPr>
      <w:tabs>
        <w:tab w:val="clear" w:pos="240"/>
        <w:tab w:val="clear" w:pos="480"/>
        <w:tab w:val="clear" w:pos="720"/>
        <w:tab w:val="right" w:pos="4680"/>
      </w:tabs>
    </w:pPr>
  </w:style>
  <w:style w:type="paragraph" w:customStyle="1" w:styleId="PCB">
    <w:name w:val="PCB"/>
    <w:autoRedefine/>
    <w:rsid w:val="00910F9D"/>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910F9D"/>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910F9D"/>
    <w:rPr>
      <w:rFonts w:ascii="Perpetua Std" w:hAnsi="Perpetua Std"/>
    </w:rPr>
  </w:style>
  <w:style w:type="paragraph" w:styleId="NoSpacing">
    <w:name w:val="No Spacing"/>
    <w:qFormat/>
    <w:rsid w:val="00910F9D"/>
    <w:rPr>
      <w:rFonts w:ascii="Perpetua" w:hAnsi="Perpetua"/>
    </w:rPr>
  </w:style>
  <w:style w:type="paragraph" w:customStyle="1" w:styleId="PCA">
    <w:name w:val="PCA"/>
    <w:rsid w:val="00910F9D"/>
    <w:pPr>
      <w:numPr>
        <w:numId w:val="29"/>
      </w:numPr>
      <w:tabs>
        <w:tab w:val="left" w:pos="720"/>
      </w:tabs>
      <w:spacing w:after="240"/>
      <w:jc w:val="both"/>
    </w:pPr>
    <w:rPr>
      <w:rFonts w:ascii="Perpetua Std" w:hAnsi="Perpetua Std"/>
      <w:sz w:val="24"/>
    </w:rPr>
  </w:style>
  <w:style w:type="paragraph" w:customStyle="1" w:styleId="PHB">
    <w:name w:val="PHB"/>
    <w:rsid w:val="00910F9D"/>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910F9D"/>
    <w:rPr>
      <w:rFonts w:ascii="Perpetua Std" w:eastAsia="MS Mincho" w:hAnsi="Perpetua Std"/>
      <w:color w:val="000000"/>
      <w:sz w:val="22"/>
    </w:rPr>
  </w:style>
  <w:style w:type="paragraph" w:styleId="EndnoteText">
    <w:name w:val="endnote text"/>
    <w:basedOn w:val="Normal"/>
    <w:link w:val="EndnoteTextChar"/>
    <w:semiHidden/>
    <w:unhideWhenUsed/>
    <w:rsid w:val="00487515"/>
  </w:style>
  <w:style w:type="character" w:customStyle="1" w:styleId="EndnoteTextChar">
    <w:name w:val="Endnote Text Char"/>
    <w:basedOn w:val="DefaultParagraphFont"/>
    <w:link w:val="EndnoteText"/>
    <w:semiHidden/>
    <w:rsid w:val="00487515"/>
    <w:rPr>
      <w:rFonts w:ascii="Perpetua Std" w:hAnsi="Perpetua Std"/>
    </w:rPr>
  </w:style>
  <w:style w:type="character" w:styleId="EndnoteReference">
    <w:name w:val="endnote reference"/>
    <w:basedOn w:val="DefaultParagraphFont"/>
    <w:semiHidden/>
    <w:unhideWhenUsed/>
    <w:rsid w:val="00487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CE5EB-1734-49AC-B311-8BB68BE7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8537. How is the alternative minimum tax calculated?</vt:lpstr>
    </vt:vector>
  </TitlesOfParts>
  <Company>Summit Business Media</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8537. How is the alternative minimum tax calculated?</dc:title>
  <dc:creator>Alexis Long</dc:creator>
  <cp:lastModifiedBy>rcline</cp:lastModifiedBy>
  <cp:revision>2</cp:revision>
  <cp:lastPrinted>2014-08-16T17:03:00Z</cp:lastPrinted>
  <dcterms:created xsi:type="dcterms:W3CDTF">2014-08-20T19:16:00Z</dcterms:created>
  <dcterms:modified xsi:type="dcterms:W3CDTF">2014-08-20T19:16:00Z</dcterms:modified>
</cp:coreProperties>
</file>