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74" w:rsidRDefault="00097038" w:rsidP="00097038">
      <w:pPr>
        <w:pStyle w:val="HB"/>
      </w:pPr>
      <w:r w:rsidRPr="00532B64">
        <w:t>Estimated Tax and Self-Employment Tax</w:t>
      </w:r>
    </w:p>
    <w:p w:rsidR="00F3270F" w:rsidRDefault="00F3270F" w:rsidP="00097038">
      <w:pPr>
        <w:pStyle w:val="HB"/>
      </w:pPr>
    </w:p>
    <w:p w:rsidR="00F3270F" w:rsidRPr="00F3270F" w:rsidRDefault="00F3270F" w:rsidP="006C2C2B">
      <w:pPr>
        <w:pStyle w:val="HB"/>
        <w:jc w:val="both"/>
        <w:rPr>
          <w:color w:val="auto"/>
          <w:sz w:val="24"/>
          <w:szCs w:val="24"/>
        </w:rPr>
      </w:pPr>
      <w:r w:rsidRPr="00F3270F">
        <w:rPr>
          <w:color w:val="auto"/>
          <w:sz w:val="24"/>
          <w:szCs w:val="24"/>
        </w:rPr>
        <w:t xml:space="preserve">8535.  Who must pay the estimated tax and </w:t>
      </w:r>
      <w:r w:rsidR="006C2C2B">
        <w:rPr>
          <w:color w:val="auto"/>
          <w:sz w:val="24"/>
          <w:szCs w:val="24"/>
        </w:rPr>
        <w:t xml:space="preserve">are </w:t>
      </w:r>
      <w:r w:rsidRPr="00F3270F">
        <w:rPr>
          <w:color w:val="auto"/>
          <w:sz w:val="24"/>
          <w:szCs w:val="24"/>
        </w:rPr>
        <w:t>penalties imposed for underpayment of the tax?</w:t>
      </w:r>
    </w:p>
    <w:p w:rsidR="00CA093E" w:rsidRDefault="00C95BF0" w:rsidP="00097038">
      <w:pPr>
        <w:pStyle w:val="PA"/>
      </w:pPr>
      <w:r>
        <w:t xml:space="preserve">Subject to the potential imposition of penalties, </w:t>
      </w:r>
      <w:r w:rsidR="00D052AF">
        <w:t xml:space="preserve">any taxpayer who expects to owe tax of $1,000 or more is required to make estimated </w:t>
      </w:r>
      <w:r w:rsidR="00245E93">
        <w:t xml:space="preserve">tax </w:t>
      </w:r>
      <w:r w:rsidR="00D052AF">
        <w:t>payments.</w:t>
      </w:r>
      <w:r w:rsidR="00D052AF">
        <w:rPr>
          <w:rStyle w:val="EndnoteReference"/>
        </w:rPr>
        <w:endnoteReference w:id="1"/>
      </w:r>
      <w:r w:rsidR="005A7B2C" w:rsidRPr="00532B64">
        <w:t xml:space="preserve"> </w:t>
      </w:r>
      <w:r w:rsidR="00245E93">
        <w:t xml:space="preserve">In other words, a taxpayer should project the current year’s taxable income, tax and credits based on expected income, deductions, etc.  Based on “a pay as you go” method, estimated tax payments </w:t>
      </w:r>
      <w:r w:rsidR="00D94787">
        <w:t xml:space="preserve">are payable </w:t>
      </w:r>
      <w:r w:rsidR="00245E93">
        <w:t xml:space="preserve">periodically throughout the year.  </w:t>
      </w:r>
      <w:r>
        <w:t>For this purpose, tax liability includes regular income tax, alternative minimum tax as well as self-employment tax (Social Security and Medicare tax)</w:t>
      </w:r>
      <w:r w:rsidR="00245E93">
        <w:t>.</w:t>
      </w:r>
      <w:r w:rsidR="00D052AF">
        <w:rPr>
          <w:rStyle w:val="EndnoteReference"/>
        </w:rPr>
        <w:endnoteReference w:id="2"/>
      </w:r>
      <w:r w:rsidR="00D052AF">
        <w:t xml:space="preserve"> </w:t>
      </w:r>
    </w:p>
    <w:p w:rsidR="00CA093E" w:rsidRDefault="00D052AF" w:rsidP="00097038">
      <w:pPr>
        <w:pStyle w:val="PA"/>
      </w:pPr>
      <w:r>
        <w:t>For self-employed taxpayers, the requirement to make estimated payments is more problematic than</w:t>
      </w:r>
      <w:r w:rsidR="00245E93">
        <w:t xml:space="preserve"> for employees.  </w:t>
      </w:r>
      <w:r w:rsidR="00CA093E">
        <w:t xml:space="preserve">Unlike employees, no part of a self-employed individual’s compensation is withheld </w:t>
      </w:r>
      <w:r w:rsidR="00905378">
        <w:t xml:space="preserve">by the </w:t>
      </w:r>
      <w:proofErr w:type="spellStart"/>
      <w:r w:rsidR="00905378">
        <w:t>payor</w:t>
      </w:r>
      <w:proofErr w:type="spellEnd"/>
      <w:r w:rsidR="00905378">
        <w:t xml:space="preserve"> and </w:t>
      </w:r>
      <w:r w:rsidR="00245E93">
        <w:t xml:space="preserve">paid over to the IRS </w:t>
      </w:r>
      <w:r w:rsidR="00CA093E">
        <w:t xml:space="preserve">for taxes.  Moreover, in addition to regular income tax, these </w:t>
      </w:r>
      <w:r w:rsidR="00245E93">
        <w:t>taxpayers</w:t>
      </w:r>
      <w:r w:rsidR="00CA093E">
        <w:t xml:space="preserve"> are required to pay the full 15.3% of the Social Security and Medicare tax.  For this reason, a self-employed with </w:t>
      </w:r>
      <w:r w:rsidR="00245E93">
        <w:t xml:space="preserve">even </w:t>
      </w:r>
      <w:r w:rsidR="00CA093E">
        <w:t xml:space="preserve">a modest amount of income who may </w:t>
      </w:r>
      <w:r w:rsidR="00245E93">
        <w:t xml:space="preserve">owe </w:t>
      </w:r>
      <w:r w:rsidR="00CA093E">
        <w:t>little or no income tax, may, nonetheless have a significant Social Security and Medicare tax liability.</w:t>
      </w:r>
    </w:p>
    <w:p w:rsidR="00CA093E" w:rsidRDefault="00245E93" w:rsidP="00097038">
      <w:pPr>
        <w:pStyle w:val="PA"/>
      </w:pPr>
      <w:r>
        <w:t>However</w:t>
      </w:r>
      <w:r w:rsidR="00CA093E">
        <w:t xml:space="preserve">, even employed individuals </w:t>
      </w:r>
      <w:r>
        <w:t xml:space="preserve">who are subject to withholding </w:t>
      </w:r>
      <w:r w:rsidR="00CA093E">
        <w:t>should consider making estimated payments under the following circumstances:</w:t>
      </w:r>
    </w:p>
    <w:p w:rsidR="00CA093E" w:rsidRDefault="00CA093E" w:rsidP="00CA093E">
      <w:pPr>
        <w:pStyle w:val="PA"/>
        <w:numPr>
          <w:ilvl w:val="0"/>
          <w:numId w:val="31"/>
        </w:numPr>
      </w:pPr>
      <w:r>
        <w:t>The amount being withheld by the employer is insufficient.</w:t>
      </w:r>
    </w:p>
    <w:p w:rsidR="00CA093E" w:rsidRPr="00245E93" w:rsidRDefault="00CA093E" w:rsidP="00CA093E">
      <w:pPr>
        <w:pStyle w:val="ListParagraph"/>
        <w:numPr>
          <w:ilvl w:val="0"/>
          <w:numId w:val="31"/>
        </w:numPr>
      </w:pPr>
      <w:r>
        <w:rPr>
          <w:sz w:val="24"/>
          <w:szCs w:val="24"/>
        </w:rPr>
        <w:t>The taxpayer has a significant amount of other income such as dividends, interest, alimony, rent, etc. that is not subject to withholding.</w:t>
      </w:r>
    </w:p>
    <w:p w:rsidR="00245E93" w:rsidRDefault="00245E93" w:rsidP="00245E93">
      <w:pPr>
        <w:pStyle w:val="PA"/>
      </w:pPr>
      <w:r>
        <w:br/>
      </w:r>
      <w:r w:rsidR="00905378">
        <w:t xml:space="preserve">   </w:t>
      </w:r>
      <w:r>
        <w:t>On the other hand, an individual need not make estimated payments if all three of the following conditions are met:</w:t>
      </w:r>
    </w:p>
    <w:p w:rsidR="00245E93" w:rsidRDefault="00245E93" w:rsidP="00245E93">
      <w:pPr>
        <w:pStyle w:val="PA"/>
        <w:numPr>
          <w:ilvl w:val="0"/>
          <w:numId w:val="32"/>
        </w:numPr>
      </w:pPr>
      <w:r>
        <w:t>The individual had no tax liability for the prior tax year.</w:t>
      </w:r>
    </w:p>
    <w:p w:rsidR="00245E93" w:rsidRPr="00CA093E" w:rsidRDefault="00245E93" w:rsidP="00245E93">
      <w:pPr>
        <w:pStyle w:val="ListParagraph"/>
        <w:numPr>
          <w:ilvl w:val="0"/>
          <w:numId w:val="32"/>
        </w:numPr>
      </w:pPr>
      <w:r>
        <w:rPr>
          <w:sz w:val="24"/>
          <w:szCs w:val="24"/>
        </w:rPr>
        <w:t>The individual was a U.S. citizen for the entire tax year.</w:t>
      </w:r>
    </w:p>
    <w:p w:rsidR="00245E93" w:rsidRPr="00CA093E" w:rsidRDefault="00245E93" w:rsidP="00245E93">
      <w:pPr>
        <w:pStyle w:val="ListParagraph"/>
        <w:ind w:left="1008"/>
      </w:pPr>
    </w:p>
    <w:p w:rsidR="00245E93" w:rsidRPr="00B80DD6" w:rsidRDefault="00245E93" w:rsidP="00245E93">
      <w:pPr>
        <w:pStyle w:val="ListParagraph"/>
        <w:numPr>
          <w:ilvl w:val="0"/>
          <w:numId w:val="32"/>
        </w:numPr>
      </w:pPr>
      <w:r>
        <w:rPr>
          <w:sz w:val="24"/>
          <w:szCs w:val="24"/>
        </w:rPr>
        <w:t>The prior tax year was a 12 month period.</w:t>
      </w:r>
      <w:r>
        <w:rPr>
          <w:rStyle w:val="EndnoteReference"/>
          <w:sz w:val="24"/>
          <w:szCs w:val="24"/>
        </w:rPr>
        <w:endnoteReference w:id="3"/>
      </w:r>
    </w:p>
    <w:p w:rsidR="00245E93" w:rsidRPr="00B80DD6" w:rsidRDefault="00245E93" w:rsidP="00245E93"/>
    <w:p w:rsidR="00B80DD6" w:rsidRPr="00B80DD6" w:rsidRDefault="00B80DD6" w:rsidP="00B80DD6">
      <w:pPr>
        <w:pStyle w:val="ListParagraph"/>
        <w:ind w:left="1008"/>
      </w:pPr>
    </w:p>
    <w:p w:rsidR="00DF3A78" w:rsidRDefault="006F6060" w:rsidP="00EB4385">
      <w:pPr>
        <w:ind w:firstLine="2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Although estimated payments can be made at any time during the tax year, there </w:t>
      </w:r>
      <w:r w:rsidR="00A50373">
        <w:rPr>
          <w:sz w:val="24"/>
          <w:szCs w:val="24"/>
        </w:rPr>
        <w:t>is a “required annual payment” that is payable in</w:t>
      </w:r>
      <w:r w:rsidR="00D80626">
        <w:rPr>
          <w:sz w:val="24"/>
          <w:szCs w:val="24"/>
        </w:rPr>
        <w:t xml:space="preserve"> “required installments” with </w:t>
      </w:r>
      <w:r w:rsidR="00A50373">
        <w:rPr>
          <w:sz w:val="24"/>
          <w:szCs w:val="24"/>
        </w:rPr>
        <w:t xml:space="preserve">specific due dates.  </w:t>
      </w:r>
      <w:r w:rsidR="00DF3A78">
        <w:rPr>
          <w:sz w:val="24"/>
          <w:szCs w:val="24"/>
        </w:rPr>
        <w:t xml:space="preserve">For </w:t>
      </w:r>
      <w:r w:rsidR="00A50373">
        <w:rPr>
          <w:sz w:val="24"/>
          <w:szCs w:val="24"/>
        </w:rPr>
        <w:t xml:space="preserve">that purpose, </w:t>
      </w:r>
      <w:r w:rsidR="00D80626">
        <w:rPr>
          <w:sz w:val="24"/>
          <w:szCs w:val="24"/>
        </w:rPr>
        <w:t>the tax year is divided into</w:t>
      </w:r>
      <w:r w:rsidR="00DF3A78">
        <w:rPr>
          <w:sz w:val="24"/>
          <w:szCs w:val="24"/>
        </w:rPr>
        <w:t xml:space="preserve"> four unequal quarters with the following due dates:</w:t>
      </w:r>
    </w:p>
    <w:p w:rsidR="00DF3A78" w:rsidRDefault="00DF3A78" w:rsidP="00EB4385">
      <w:pPr>
        <w:ind w:firstLine="270"/>
        <w:jc w:val="both"/>
        <w:rPr>
          <w:sz w:val="24"/>
          <w:szCs w:val="24"/>
        </w:rPr>
      </w:pPr>
    </w:p>
    <w:p w:rsidR="00DF3A78" w:rsidRDefault="00DF3A78" w:rsidP="00EB4385">
      <w:pPr>
        <w:ind w:firstLine="270"/>
        <w:jc w:val="both"/>
        <w:rPr>
          <w:sz w:val="24"/>
          <w:szCs w:val="24"/>
        </w:rPr>
      </w:pPr>
    </w:p>
    <w:p w:rsidR="00DF3A78" w:rsidRDefault="00DF3A78" w:rsidP="00EB4385">
      <w:pPr>
        <w:ind w:firstLine="270"/>
        <w:jc w:val="both"/>
        <w:rPr>
          <w:sz w:val="24"/>
          <w:szCs w:val="24"/>
        </w:rPr>
      </w:pPr>
      <w:r>
        <w:rPr>
          <w:sz w:val="24"/>
          <w:szCs w:val="24"/>
        </w:rPr>
        <w:t>First Quarter January through March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April 15</w:t>
      </w:r>
      <w:r w:rsidRPr="00DF3A78">
        <w:rPr>
          <w:sz w:val="24"/>
          <w:szCs w:val="24"/>
          <w:vertAlign w:val="superscript"/>
        </w:rPr>
        <w:t>th</w:t>
      </w:r>
    </w:p>
    <w:p w:rsidR="00DF3A78" w:rsidRDefault="00DF3A78" w:rsidP="00EB4385">
      <w:pPr>
        <w:ind w:firstLine="270"/>
        <w:jc w:val="both"/>
        <w:rPr>
          <w:sz w:val="24"/>
          <w:szCs w:val="24"/>
        </w:rPr>
      </w:pPr>
      <w:r>
        <w:rPr>
          <w:sz w:val="24"/>
          <w:szCs w:val="24"/>
        </w:rPr>
        <w:t>Second Quarter April through June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June</w:t>
      </w:r>
      <w:proofErr w:type="spellEnd"/>
      <w:r>
        <w:rPr>
          <w:sz w:val="24"/>
          <w:szCs w:val="24"/>
        </w:rPr>
        <w:t xml:space="preserve"> 15</w:t>
      </w:r>
      <w:r w:rsidRPr="00DF3A78">
        <w:rPr>
          <w:sz w:val="24"/>
          <w:szCs w:val="24"/>
          <w:vertAlign w:val="superscript"/>
        </w:rPr>
        <w:t>th</w:t>
      </w:r>
    </w:p>
    <w:p w:rsidR="00DF3A78" w:rsidRDefault="00DF3A78" w:rsidP="00EB4385">
      <w:pPr>
        <w:ind w:firstLine="270"/>
        <w:jc w:val="both"/>
        <w:rPr>
          <w:sz w:val="24"/>
          <w:szCs w:val="24"/>
        </w:rPr>
      </w:pPr>
      <w:r>
        <w:rPr>
          <w:sz w:val="24"/>
          <w:szCs w:val="24"/>
        </w:rPr>
        <w:t>Third Quarter June through August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September 15</w:t>
      </w:r>
      <w:r w:rsidR="00D80626">
        <w:rPr>
          <w:sz w:val="24"/>
          <w:szCs w:val="24"/>
        </w:rPr>
        <w:t>th</w:t>
      </w:r>
    </w:p>
    <w:p w:rsidR="00DF3A78" w:rsidRDefault="00D80626" w:rsidP="00EB4385">
      <w:pPr>
        <w:ind w:firstLine="270"/>
        <w:jc w:val="both"/>
        <w:rPr>
          <w:sz w:val="24"/>
          <w:szCs w:val="24"/>
        </w:rPr>
      </w:pPr>
      <w:r>
        <w:rPr>
          <w:sz w:val="24"/>
          <w:szCs w:val="24"/>
        </w:rPr>
        <w:t>Fourth Quarter</w:t>
      </w:r>
      <w:r w:rsidR="00DF3A78">
        <w:rPr>
          <w:sz w:val="24"/>
          <w:szCs w:val="24"/>
        </w:rPr>
        <w:t xml:space="preserve"> September through December</w:t>
      </w:r>
      <w:r w:rsidR="00DF3A78">
        <w:rPr>
          <w:sz w:val="24"/>
          <w:szCs w:val="24"/>
        </w:rPr>
        <w:tab/>
      </w:r>
      <w:r w:rsidR="00DF3A78">
        <w:rPr>
          <w:sz w:val="24"/>
          <w:szCs w:val="24"/>
        </w:rPr>
        <w:tab/>
        <w:t>January 15</w:t>
      </w:r>
      <w:r>
        <w:rPr>
          <w:sz w:val="24"/>
          <w:szCs w:val="24"/>
        </w:rPr>
        <w:t>th</w:t>
      </w:r>
      <w:r w:rsidR="00DF3A78">
        <w:rPr>
          <w:sz w:val="24"/>
          <w:szCs w:val="24"/>
        </w:rPr>
        <w:t xml:space="preserve"> of following tax year</w:t>
      </w:r>
      <w:r w:rsidR="00A50373">
        <w:rPr>
          <w:rStyle w:val="EndnoteReference"/>
          <w:sz w:val="24"/>
          <w:szCs w:val="24"/>
        </w:rPr>
        <w:endnoteReference w:id="4"/>
      </w:r>
    </w:p>
    <w:p w:rsidR="00DF3A78" w:rsidRDefault="00DF3A78" w:rsidP="00EB4385">
      <w:pPr>
        <w:ind w:firstLine="270"/>
        <w:jc w:val="both"/>
        <w:rPr>
          <w:sz w:val="24"/>
          <w:szCs w:val="24"/>
        </w:rPr>
      </w:pPr>
    </w:p>
    <w:p w:rsidR="006C2C2B" w:rsidRDefault="00A50373" w:rsidP="00EB4385">
      <w:pPr>
        <w:ind w:firstLine="2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“required annual payment” is </w:t>
      </w:r>
      <w:r w:rsidR="009778E7">
        <w:rPr>
          <w:sz w:val="24"/>
          <w:szCs w:val="24"/>
        </w:rPr>
        <w:t xml:space="preserve">a) </w:t>
      </w:r>
      <w:r>
        <w:rPr>
          <w:sz w:val="24"/>
          <w:szCs w:val="24"/>
        </w:rPr>
        <w:t>90%</w:t>
      </w:r>
      <w:r w:rsidR="009778E7">
        <w:rPr>
          <w:sz w:val="24"/>
          <w:szCs w:val="24"/>
        </w:rPr>
        <w:t xml:space="preserve"> of the taxpayer’s expected tax liability for the tax year or b) 100% of the tax owing for the prior tax year </w:t>
      </w:r>
      <w:r w:rsidR="00D80626">
        <w:rPr>
          <w:sz w:val="24"/>
          <w:szCs w:val="24"/>
        </w:rPr>
        <w:t xml:space="preserve">(assuming the prior tax </w:t>
      </w:r>
      <w:proofErr w:type="gramStart"/>
      <w:r w:rsidR="00D80626">
        <w:rPr>
          <w:sz w:val="24"/>
          <w:szCs w:val="24"/>
        </w:rPr>
        <w:t xml:space="preserve">year </w:t>
      </w:r>
      <w:r w:rsidR="009778E7">
        <w:rPr>
          <w:sz w:val="24"/>
          <w:szCs w:val="24"/>
        </w:rPr>
        <w:t xml:space="preserve"> spanned</w:t>
      </w:r>
      <w:proofErr w:type="gramEnd"/>
      <w:r w:rsidR="009778E7">
        <w:rPr>
          <w:sz w:val="24"/>
          <w:szCs w:val="24"/>
        </w:rPr>
        <w:t xml:space="preserve"> 12 months).</w:t>
      </w:r>
      <w:r w:rsidR="009778E7">
        <w:rPr>
          <w:rStyle w:val="EndnoteReference"/>
          <w:sz w:val="24"/>
          <w:szCs w:val="24"/>
        </w:rPr>
        <w:endnoteReference w:id="5"/>
      </w:r>
      <w:r w:rsidR="009778E7">
        <w:rPr>
          <w:sz w:val="24"/>
          <w:szCs w:val="24"/>
        </w:rPr>
        <w:t xml:space="preserve">   However, if the taxpayer’s adjusted gross income exceeded </w:t>
      </w:r>
      <w:r w:rsidR="00D80626">
        <w:rPr>
          <w:sz w:val="24"/>
          <w:szCs w:val="24"/>
        </w:rPr>
        <w:t>$150,000 ($75,000 for filing</w:t>
      </w:r>
      <w:r w:rsidR="009778E7">
        <w:rPr>
          <w:sz w:val="24"/>
          <w:szCs w:val="24"/>
        </w:rPr>
        <w:t xml:space="preserve"> married filing separately)</w:t>
      </w:r>
      <w:proofErr w:type="gramStart"/>
      <w:r w:rsidR="009778E7">
        <w:rPr>
          <w:sz w:val="24"/>
          <w:szCs w:val="24"/>
        </w:rPr>
        <w:t>,</w:t>
      </w:r>
      <w:proofErr w:type="gramEnd"/>
      <w:r w:rsidR="009778E7">
        <w:rPr>
          <w:sz w:val="24"/>
          <w:szCs w:val="24"/>
        </w:rPr>
        <w:t xml:space="preserve"> the percentage in b), above is 110%.</w:t>
      </w:r>
      <w:r w:rsidR="009778E7">
        <w:rPr>
          <w:rStyle w:val="EndnoteReference"/>
          <w:sz w:val="24"/>
          <w:szCs w:val="24"/>
        </w:rPr>
        <w:endnoteReference w:id="6"/>
      </w:r>
      <w:r w:rsidR="009778E7">
        <w:rPr>
          <w:sz w:val="24"/>
          <w:szCs w:val="24"/>
        </w:rPr>
        <w:t xml:space="preserve"> </w:t>
      </w:r>
    </w:p>
    <w:p w:rsidR="006C2C2B" w:rsidRDefault="006C2C2B" w:rsidP="00EB4385">
      <w:pPr>
        <w:ind w:firstLine="270"/>
        <w:jc w:val="both"/>
        <w:rPr>
          <w:sz w:val="24"/>
          <w:szCs w:val="24"/>
        </w:rPr>
      </w:pPr>
    </w:p>
    <w:p w:rsidR="004E7836" w:rsidRPr="004E7836" w:rsidRDefault="006C2C2B" w:rsidP="00D94787">
      <w:pPr>
        <w:ind w:firstLine="270"/>
        <w:jc w:val="both"/>
      </w:pPr>
      <w:r>
        <w:rPr>
          <w:sz w:val="24"/>
          <w:szCs w:val="24"/>
        </w:rPr>
        <w:t>If the taxpayer fails to make timely estimated</w:t>
      </w:r>
      <w:r w:rsidR="00D80626">
        <w:rPr>
          <w:sz w:val="24"/>
          <w:szCs w:val="24"/>
        </w:rPr>
        <w:t xml:space="preserve"> installment payments, the taxpayer</w:t>
      </w:r>
      <w:r>
        <w:rPr>
          <w:sz w:val="24"/>
          <w:szCs w:val="24"/>
        </w:rPr>
        <w:t xml:space="preserve"> is subject to penalties.  Although the tax</w:t>
      </w:r>
      <w:r w:rsidR="00D80626">
        <w:rPr>
          <w:sz w:val="24"/>
          <w:szCs w:val="24"/>
        </w:rPr>
        <w:t>payer can compute the penalty on</w:t>
      </w:r>
      <w:bookmarkStart w:id="0" w:name="_GoBack"/>
      <w:bookmarkEnd w:id="0"/>
      <w:r>
        <w:rPr>
          <w:sz w:val="24"/>
          <w:szCs w:val="24"/>
        </w:rPr>
        <w:t xml:space="preserve"> Form 2210, the IRS will compute the penalty if the taxpayer does not complete the form.</w:t>
      </w:r>
      <w:r w:rsidR="00D94787">
        <w:rPr>
          <w:sz w:val="24"/>
          <w:szCs w:val="24"/>
        </w:rPr>
        <w:t xml:space="preserve">  </w:t>
      </w:r>
    </w:p>
    <w:sectPr w:rsidR="004E7836" w:rsidRPr="004E7836" w:rsidSect="00271A21">
      <w:footnotePr>
        <w:numRestart w:val="eachPage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D9C" w:rsidRDefault="00472D9C" w:rsidP="006F074C">
      <w:r>
        <w:separator/>
      </w:r>
    </w:p>
  </w:endnote>
  <w:endnote w:type="continuationSeparator" w:id="0">
    <w:p w:rsidR="00472D9C" w:rsidRDefault="00472D9C" w:rsidP="006F074C">
      <w:r>
        <w:continuationSeparator/>
      </w:r>
    </w:p>
  </w:endnote>
  <w:endnote w:id="1">
    <w:p w:rsidR="00D052AF" w:rsidRDefault="00D052AF" w:rsidP="00D052AF">
      <w:pPr>
        <w:pStyle w:val="EndnoteText"/>
      </w:pPr>
      <w:r>
        <w:rPr>
          <w:rStyle w:val="EndnoteReference"/>
        </w:rPr>
        <w:endnoteRef/>
      </w:r>
      <w:r w:rsidRPr="000037D3">
        <w:rPr>
          <w:sz w:val="16"/>
          <w:szCs w:val="16"/>
        </w:rPr>
        <w:t xml:space="preserve"> http://www.irs.gov/Businesses/Small-Businesses-&amp;-Self-Employed/Estimated-Taxes</w:t>
      </w:r>
    </w:p>
  </w:endnote>
  <w:endnote w:id="2">
    <w:p w:rsidR="00D052AF" w:rsidRPr="00D052AF" w:rsidRDefault="00D052AF">
      <w:pPr>
        <w:pStyle w:val="EndnoteText"/>
        <w:rPr>
          <w:sz w:val="16"/>
          <w:szCs w:val="16"/>
        </w:rPr>
      </w:pPr>
      <w:r>
        <w:rPr>
          <w:rStyle w:val="EndnoteReference"/>
        </w:rPr>
        <w:endnoteRef/>
      </w:r>
      <w:r>
        <w:t xml:space="preserve"> </w:t>
      </w:r>
      <w:r>
        <w:rPr>
          <w:sz w:val="16"/>
          <w:szCs w:val="16"/>
        </w:rPr>
        <w:t xml:space="preserve">IRC Sec. </w:t>
      </w:r>
      <w:proofErr w:type="gramStart"/>
      <w:r>
        <w:rPr>
          <w:sz w:val="16"/>
          <w:szCs w:val="16"/>
        </w:rPr>
        <w:t>6654(a</w:t>
      </w:r>
      <w:proofErr w:type="gramEnd"/>
      <w:r>
        <w:rPr>
          <w:sz w:val="16"/>
          <w:szCs w:val="16"/>
        </w:rPr>
        <w:t>).</w:t>
      </w:r>
    </w:p>
  </w:endnote>
  <w:endnote w:id="3">
    <w:p w:rsidR="00245E93" w:rsidRPr="00B80DD6" w:rsidRDefault="00245E93" w:rsidP="00245E93">
      <w:pPr>
        <w:pStyle w:val="EndnoteText"/>
        <w:rPr>
          <w:sz w:val="16"/>
          <w:szCs w:val="16"/>
        </w:rPr>
      </w:pPr>
      <w:r>
        <w:rPr>
          <w:rStyle w:val="EndnoteReference"/>
        </w:rPr>
        <w:endnoteRef/>
      </w:r>
      <w:r>
        <w:t xml:space="preserve"> </w:t>
      </w:r>
      <w:r w:rsidRPr="000037D3">
        <w:rPr>
          <w:sz w:val="16"/>
          <w:szCs w:val="16"/>
        </w:rPr>
        <w:t>http://www.irs.gov/Businesses/Small-Businesses-&amp;-Self-Employed/Estimated-Taxes</w:t>
      </w:r>
    </w:p>
  </w:endnote>
  <w:endnote w:id="4">
    <w:p w:rsidR="00A50373" w:rsidRDefault="00A50373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A50373">
        <w:rPr>
          <w:sz w:val="16"/>
          <w:szCs w:val="16"/>
        </w:rPr>
        <w:t xml:space="preserve">IRC Sec. </w:t>
      </w:r>
      <w:proofErr w:type="gramStart"/>
      <w:r w:rsidRPr="00A50373">
        <w:rPr>
          <w:sz w:val="16"/>
          <w:szCs w:val="16"/>
        </w:rPr>
        <w:t>6654(c</w:t>
      </w:r>
      <w:proofErr w:type="gramEnd"/>
      <w:r w:rsidRPr="00A50373">
        <w:rPr>
          <w:sz w:val="16"/>
          <w:szCs w:val="16"/>
        </w:rPr>
        <w:t>).</w:t>
      </w:r>
    </w:p>
  </w:endnote>
  <w:endnote w:id="5">
    <w:p w:rsidR="009778E7" w:rsidRPr="009778E7" w:rsidRDefault="009778E7">
      <w:pPr>
        <w:pStyle w:val="EndnoteText"/>
        <w:rPr>
          <w:sz w:val="16"/>
          <w:szCs w:val="16"/>
        </w:rPr>
      </w:pPr>
      <w:r>
        <w:rPr>
          <w:rStyle w:val="EndnoteReference"/>
        </w:rPr>
        <w:endnoteRef/>
      </w:r>
      <w:r>
        <w:t xml:space="preserve"> </w:t>
      </w:r>
      <w:r>
        <w:rPr>
          <w:sz w:val="16"/>
          <w:szCs w:val="16"/>
        </w:rPr>
        <w:t>IRC Sec. 6654(d</w:t>
      </w:r>
      <w:proofErr w:type="gramStart"/>
      <w:r>
        <w:rPr>
          <w:sz w:val="16"/>
          <w:szCs w:val="16"/>
        </w:rPr>
        <w:t>)(</w:t>
      </w:r>
      <w:proofErr w:type="gramEnd"/>
      <w:r>
        <w:rPr>
          <w:sz w:val="16"/>
          <w:szCs w:val="16"/>
        </w:rPr>
        <w:t>1)(A).</w:t>
      </w:r>
    </w:p>
  </w:endnote>
  <w:endnote w:id="6">
    <w:p w:rsidR="009778E7" w:rsidRPr="009778E7" w:rsidRDefault="009778E7">
      <w:pPr>
        <w:pStyle w:val="EndnoteText"/>
        <w:rPr>
          <w:sz w:val="16"/>
          <w:szCs w:val="16"/>
        </w:rPr>
      </w:pPr>
      <w:r>
        <w:rPr>
          <w:rStyle w:val="EndnoteReference"/>
        </w:rPr>
        <w:endnoteRef/>
      </w:r>
      <w:r>
        <w:t xml:space="preserve"> </w:t>
      </w:r>
      <w:r>
        <w:rPr>
          <w:sz w:val="16"/>
          <w:szCs w:val="16"/>
        </w:rPr>
        <w:t>IRC Sec, 6654(d</w:t>
      </w:r>
      <w:proofErr w:type="gramStart"/>
      <w:r>
        <w:rPr>
          <w:sz w:val="16"/>
          <w:szCs w:val="16"/>
        </w:rPr>
        <w:t>)(</w:t>
      </w:r>
      <w:proofErr w:type="gramEnd"/>
      <w:r>
        <w:rPr>
          <w:sz w:val="16"/>
          <w:szCs w:val="16"/>
        </w:rPr>
        <w:t>1)(C).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87" w:usb1="00000001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D9C" w:rsidRDefault="00472D9C" w:rsidP="006F074C">
      <w:r>
        <w:separator/>
      </w:r>
    </w:p>
  </w:footnote>
  <w:footnote w:type="continuationSeparator" w:id="0">
    <w:p w:rsidR="00472D9C" w:rsidRDefault="00472D9C" w:rsidP="006F0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7"/>
      <w:numFmt w:val="decimal"/>
      <w:isLgl/>
      <w:lvlText w:val="(%1)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(%2)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1"/>
      <w:numFmt w:val="decimal"/>
      <w:isLgl/>
      <w:lvlText w:val="(%3)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3">
      <w:start w:val="1"/>
      <w:numFmt w:val="decimal"/>
      <w:isLgl/>
      <w:lvlText w:val="(%4)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5">
      <w:start w:val="1"/>
      <w:numFmt w:val="decimal"/>
      <w:isLgl/>
      <w:lvlText w:val="(%6)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6">
      <w:start w:val="1"/>
      <w:numFmt w:val="decimal"/>
      <w:isLgl/>
      <w:lvlText w:val="(%7)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8">
      <w:start w:val="1"/>
      <w:numFmt w:val="decimal"/>
      <w:isLgl/>
      <w:lvlText w:val="(%9)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</w:abstractNum>
  <w:abstractNum w:abstractNumId="1">
    <w:nsid w:val="01B65D04"/>
    <w:multiLevelType w:val="hybridMultilevel"/>
    <w:tmpl w:val="5EC05654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2412C3C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">
    <w:nsid w:val="08E560D1"/>
    <w:multiLevelType w:val="hybridMultilevel"/>
    <w:tmpl w:val="07C45336"/>
    <w:lvl w:ilvl="0" w:tplc="1988D886">
      <w:start w:val="1"/>
      <w:numFmt w:val="bullet"/>
      <w:pStyle w:val="PCB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A70D24"/>
    <w:multiLevelType w:val="hybridMultilevel"/>
    <w:tmpl w:val="13FE58CE"/>
    <w:lvl w:ilvl="0" w:tplc="5ADE4D7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C152CDE"/>
    <w:multiLevelType w:val="hybridMultilevel"/>
    <w:tmpl w:val="16CE55F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0DE4036D"/>
    <w:multiLevelType w:val="hybridMultilevel"/>
    <w:tmpl w:val="F4EA6C4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>
    <w:nsid w:val="0F072E76"/>
    <w:multiLevelType w:val="hybridMultilevel"/>
    <w:tmpl w:val="BFF4687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32237DC"/>
    <w:multiLevelType w:val="hybridMultilevel"/>
    <w:tmpl w:val="ED42B81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4763935"/>
    <w:multiLevelType w:val="hybridMultilevel"/>
    <w:tmpl w:val="AD063F5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16311D34"/>
    <w:multiLevelType w:val="hybridMultilevel"/>
    <w:tmpl w:val="3A4015C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75B1591"/>
    <w:multiLevelType w:val="hybridMultilevel"/>
    <w:tmpl w:val="87483FB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2ABB0CF0"/>
    <w:multiLevelType w:val="hybridMultilevel"/>
    <w:tmpl w:val="88D830E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2C810A8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4">
    <w:nsid w:val="347F1D30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5">
    <w:nsid w:val="38893208"/>
    <w:multiLevelType w:val="hybridMultilevel"/>
    <w:tmpl w:val="914C9F1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4AB6625A"/>
    <w:multiLevelType w:val="hybridMultilevel"/>
    <w:tmpl w:val="CEB20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8E329A"/>
    <w:multiLevelType w:val="hybridMultilevel"/>
    <w:tmpl w:val="5A1A228C"/>
    <w:lvl w:ilvl="0" w:tplc="CA14D9A4">
      <w:start w:val="1"/>
      <w:numFmt w:val="bullet"/>
      <w:pStyle w:val="PHB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E62DC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DBE334A"/>
    <w:multiLevelType w:val="hybridMultilevel"/>
    <w:tmpl w:val="D98E954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4DF862F3"/>
    <w:multiLevelType w:val="hybridMultilevel"/>
    <w:tmpl w:val="0D92D91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0">
    <w:nsid w:val="52084466"/>
    <w:multiLevelType w:val="hybridMultilevel"/>
    <w:tmpl w:val="5C186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1B2CB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54DC48F3"/>
    <w:multiLevelType w:val="hybridMultilevel"/>
    <w:tmpl w:val="20CEF1F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5DCD4640"/>
    <w:multiLevelType w:val="hybridMultilevel"/>
    <w:tmpl w:val="D84A266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63E765D5"/>
    <w:multiLevelType w:val="hybridMultilevel"/>
    <w:tmpl w:val="E3A6E13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66E472CD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6">
    <w:nsid w:val="6A546E28"/>
    <w:multiLevelType w:val="hybridMultilevel"/>
    <w:tmpl w:val="8814D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5C6868"/>
    <w:multiLevelType w:val="hybridMultilevel"/>
    <w:tmpl w:val="6290BC30"/>
    <w:lvl w:ilvl="0" w:tplc="04DE2670">
      <w:start w:val="1"/>
      <w:numFmt w:val="bullet"/>
      <w:pStyle w:val="PF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D686C85"/>
    <w:multiLevelType w:val="hybridMultilevel"/>
    <w:tmpl w:val="B7E8C7F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76D35E3C"/>
    <w:multiLevelType w:val="hybridMultilevel"/>
    <w:tmpl w:val="053C091E"/>
    <w:lvl w:ilvl="0" w:tplc="7BC6D7B6">
      <w:start w:val="1"/>
      <w:numFmt w:val="bullet"/>
      <w:pStyle w:val="PCA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EAD774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1">
    <w:nsid w:val="7F257861"/>
    <w:multiLevelType w:val="hybridMultilevel"/>
    <w:tmpl w:val="1AA0ECD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31"/>
  </w:num>
  <w:num w:numId="3">
    <w:abstractNumId w:val="26"/>
  </w:num>
  <w:num w:numId="4">
    <w:abstractNumId w:val="16"/>
  </w:num>
  <w:num w:numId="5">
    <w:abstractNumId w:val="10"/>
  </w:num>
  <w:num w:numId="6">
    <w:abstractNumId w:val="20"/>
  </w:num>
  <w:num w:numId="7">
    <w:abstractNumId w:val="23"/>
  </w:num>
  <w:num w:numId="8">
    <w:abstractNumId w:val="7"/>
  </w:num>
  <w:num w:numId="9">
    <w:abstractNumId w:val="1"/>
  </w:num>
  <w:num w:numId="10">
    <w:abstractNumId w:val="15"/>
  </w:num>
  <w:num w:numId="11">
    <w:abstractNumId w:val="22"/>
  </w:num>
  <w:num w:numId="12">
    <w:abstractNumId w:val="28"/>
  </w:num>
  <w:num w:numId="13">
    <w:abstractNumId w:val="5"/>
  </w:num>
  <w:num w:numId="14">
    <w:abstractNumId w:val="24"/>
  </w:num>
  <w:num w:numId="15">
    <w:abstractNumId w:val="9"/>
  </w:num>
  <w:num w:numId="16">
    <w:abstractNumId w:val="8"/>
  </w:num>
  <w:num w:numId="17">
    <w:abstractNumId w:val="12"/>
  </w:num>
  <w:num w:numId="18">
    <w:abstractNumId w:val="18"/>
  </w:num>
  <w:num w:numId="19">
    <w:abstractNumId w:val="11"/>
  </w:num>
  <w:num w:numId="20">
    <w:abstractNumId w:val="25"/>
  </w:num>
  <w:num w:numId="21">
    <w:abstractNumId w:val="2"/>
  </w:num>
  <w:num w:numId="22">
    <w:abstractNumId w:val="14"/>
  </w:num>
  <w:num w:numId="23">
    <w:abstractNumId w:val="30"/>
  </w:num>
  <w:num w:numId="24">
    <w:abstractNumId w:val="13"/>
  </w:num>
  <w:num w:numId="25">
    <w:abstractNumId w:val="21"/>
  </w:num>
  <w:num w:numId="26">
    <w:abstractNumId w:val="3"/>
  </w:num>
  <w:num w:numId="27">
    <w:abstractNumId w:val="4"/>
  </w:num>
  <w:num w:numId="28">
    <w:abstractNumId w:val="27"/>
  </w:num>
  <w:num w:numId="29">
    <w:abstractNumId w:val="29"/>
  </w:num>
  <w:num w:numId="30">
    <w:abstractNumId w:val="17"/>
  </w:num>
  <w:num w:numId="31">
    <w:abstractNumId w:val="19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BFB"/>
    <w:rsid w:val="000037D3"/>
    <w:rsid w:val="000057B9"/>
    <w:rsid w:val="00007B43"/>
    <w:rsid w:val="0001174C"/>
    <w:rsid w:val="000201D4"/>
    <w:rsid w:val="00037960"/>
    <w:rsid w:val="00043906"/>
    <w:rsid w:val="000465CA"/>
    <w:rsid w:val="0008018A"/>
    <w:rsid w:val="00083567"/>
    <w:rsid w:val="000925AB"/>
    <w:rsid w:val="00097038"/>
    <w:rsid w:val="000A2B66"/>
    <w:rsid w:val="000A33FF"/>
    <w:rsid w:val="000A6CAB"/>
    <w:rsid w:val="000B6372"/>
    <w:rsid w:val="000D258D"/>
    <w:rsid w:val="000D6146"/>
    <w:rsid w:val="000E6BBB"/>
    <w:rsid w:val="000F1C90"/>
    <w:rsid w:val="00114F5B"/>
    <w:rsid w:val="00116205"/>
    <w:rsid w:val="001244E9"/>
    <w:rsid w:val="00141FAB"/>
    <w:rsid w:val="0017741C"/>
    <w:rsid w:val="00190E67"/>
    <w:rsid w:val="00197132"/>
    <w:rsid w:val="0019748C"/>
    <w:rsid w:val="001A05A6"/>
    <w:rsid w:val="001A2727"/>
    <w:rsid w:val="001B232A"/>
    <w:rsid w:val="001D0595"/>
    <w:rsid w:val="001E1AC3"/>
    <w:rsid w:val="001F52F4"/>
    <w:rsid w:val="002000C6"/>
    <w:rsid w:val="00202A9B"/>
    <w:rsid w:val="00202F50"/>
    <w:rsid w:val="002040BD"/>
    <w:rsid w:val="00212ED8"/>
    <w:rsid w:val="002160D4"/>
    <w:rsid w:val="00231C02"/>
    <w:rsid w:val="00242C92"/>
    <w:rsid w:val="00243A4C"/>
    <w:rsid w:val="00245E93"/>
    <w:rsid w:val="00264FD9"/>
    <w:rsid w:val="00271A21"/>
    <w:rsid w:val="00287277"/>
    <w:rsid w:val="002B58F5"/>
    <w:rsid w:val="002E46AF"/>
    <w:rsid w:val="002E4BFB"/>
    <w:rsid w:val="002F6745"/>
    <w:rsid w:val="00310C38"/>
    <w:rsid w:val="0031303A"/>
    <w:rsid w:val="0032167A"/>
    <w:rsid w:val="00323E1D"/>
    <w:rsid w:val="00327BDB"/>
    <w:rsid w:val="003315FD"/>
    <w:rsid w:val="00342CFB"/>
    <w:rsid w:val="00355BC4"/>
    <w:rsid w:val="00360557"/>
    <w:rsid w:val="00377919"/>
    <w:rsid w:val="003B1DF7"/>
    <w:rsid w:val="003B450F"/>
    <w:rsid w:val="003B65D8"/>
    <w:rsid w:val="003C1548"/>
    <w:rsid w:val="003F00D7"/>
    <w:rsid w:val="003F05E5"/>
    <w:rsid w:val="00407D8B"/>
    <w:rsid w:val="004167F4"/>
    <w:rsid w:val="00427B74"/>
    <w:rsid w:val="00435B94"/>
    <w:rsid w:val="004454DB"/>
    <w:rsid w:val="00456493"/>
    <w:rsid w:val="004629F4"/>
    <w:rsid w:val="00472D9C"/>
    <w:rsid w:val="00474C65"/>
    <w:rsid w:val="00477A0B"/>
    <w:rsid w:val="00484642"/>
    <w:rsid w:val="00487A39"/>
    <w:rsid w:val="004C5F26"/>
    <w:rsid w:val="004E7836"/>
    <w:rsid w:val="00501B90"/>
    <w:rsid w:val="00511E10"/>
    <w:rsid w:val="005171D4"/>
    <w:rsid w:val="00521FCB"/>
    <w:rsid w:val="005223B9"/>
    <w:rsid w:val="00532B64"/>
    <w:rsid w:val="005611F2"/>
    <w:rsid w:val="00565698"/>
    <w:rsid w:val="0056737A"/>
    <w:rsid w:val="00573817"/>
    <w:rsid w:val="00590D68"/>
    <w:rsid w:val="005A7B2C"/>
    <w:rsid w:val="005B0930"/>
    <w:rsid w:val="005B53F2"/>
    <w:rsid w:val="005C64AC"/>
    <w:rsid w:val="005E18C8"/>
    <w:rsid w:val="005E1E5E"/>
    <w:rsid w:val="005E1F03"/>
    <w:rsid w:val="005E3CAD"/>
    <w:rsid w:val="006070A8"/>
    <w:rsid w:val="006152E6"/>
    <w:rsid w:val="0061599B"/>
    <w:rsid w:val="00660C3B"/>
    <w:rsid w:val="00664BF0"/>
    <w:rsid w:val="00667AE6"/>
    <w:rsid w:val="0068069B"/>
    <w:rsid w:val="00695FA3"/>
    <w:rsid w:val="006B1DE0"/>
    <w:rsid w:val="006C1680"/>
    <w:rsid w:val="006C1EE9"/>
    <w:rsid w:val="006C2C2B"/>
    <w:rsid w:val="006C6B16"/>
    <w:rsid w:val="006D650C"/>
    <w:rsid w:val="006E0E1D"/>
    <w:rsid w:val="006E34CD"/>
    <w:rsid w:val="006F074C"/>
    <w:rsid w:val="006F6060"/>
    <w:rsid w:val="00704D91"/>
    <w:rsid w:val="00723223"/>
    <w:rsid w:val="00725A6D"/>
    <w:rsid w:val="007343A3"/>
    <w:rsid w:val="007865B2"/>
    <w:rsid w:val="00786F5E"/>
    <w:rsid w:val="00794370"/>
    <w:rsid w:val="007B5A4F"/>
    <w:rsid w:val="007D39E8"/>
    <w:rsid w:val="007D6D13"/>
    <w:rsid w:val="007D7748"/>
    <w:rsid w:val="0080472F"/>
    <w:rsid w:val="00804FC2"/>
    <w:rsid w:val="008316E9"/>
    <w:rsid w:val="00835C56"/>
    <w:rsid w:val="00844B76"/>
    <w:rsid w:val="008864E6"/>
    <w:rsid w:val="008A42E4"/>
    <w:rsid w:val="008B16D5"/>
    <w:rsid w:val="008C2D90"/>
    <w:rsid w:val="008D4B69"/>
    <w:rsid w:val="008E11EC"/>
    <w:rsid w:val="008E4CF6"/>
    <w:rsid w:val="008F7667"/>
    <w:rsid w:val="009003A2"/>
    <w:rsid w:val="00905378"/>
    <w:rsid w:val="00920178"/>
    <w:rsid w:val="00944E4E"/>
    <w:rsid w:val="0095488D"/>
    <w:rsid w:val="00957231"/>
    <w:rsid w:val="009626DD"/>
    <w:rsid w:val="0097483E"/>
    <w:rsid w:val="009778E7"/>
    <w:rsid w:val="009938E4"/>
    <w:rsid w:val="009C0B32"/>
    <w:rsid w:val="009C73DD"/>
    <w:rsid w:val="009F75A1"/>
    <w:rsid w:val="00A02AF1"/>
    <w:rsid w:val="00A03817"/>
    <w:rsid w:val="00A05FEA"/>
    <w:rsid w:val="00A2685C"/>
    <w:rsid w:val="00A268AC"/>
    <w:rsid w:val="00A44BAD"/>
    <w:rsid w:val="00A46971"/>
    <w:rsid w:val="00A50373"/>
    <w:rsid w:val="00A82E6D"/>
    <w:rsid w:val="00A94701"/>
    <w:rsid w:val="00A94B07"/>
    <w:rsid w:val="00B15D08"/>
    <w:rsid w:val="00B20CBB"/>
    <w:rsid w:val="00B47F6C"/>
    <w:rsid w:val="00B80DD6"/>
    <w:rsid w:val="00B8207E"/>
    <w:rsid w:val="00B964AB"/>
    <w:rsid w:val="00B96715"/>
    <w:rsid w:val="00B97105"/>
    <w:rsid w:val="00BA22F5"/>
    <w:rsid w:val="00BA46F1"/>
    <w:rsid w:val="00BC19F7"/>
    <w:rsid w:val="00BC5792"/>
    <w:rsid w:val="00BC6F51"/>
    <w:rsid w:val="00BE317F"/>
    <w:rsid w:val="00BF4BC0"/>
    <w:rsid w:val="00C15AF0"/>
    <w:rsid w:val="00C1615A"/>
    <w:rsid w:val="00C3032D"/>
    <w:rsid w:val="00C360BE"/>
    <w:rsid w:val="00C5496F"/>
    <w:rsid w:val="00C64FEC"/>
    <w:rsid w:val="00C7768E"/>
    <w:rsid w:val="00C92346"/>
    <w:rsid w:val="00C95BF0"/>
    <w:rsid w:val="00CA093E"/>
    <w:rsid w:val="00CB0AF1"/>
    <w:rsid w:val="00CD22F0"/>
    <w:rsid w:val="00CF5092"/>
    <w:rsid w:val="00D0195D"/>
    <w:rsid w:val="00D052AF"/>
    <w:rsid w:val="00D124E2"/>
    <w:rsid w:val="00D418E3"/>
    <w:rsid w:val="00D51611"/>
    <w:rsid w:val="00D72E05"/>
    <w:rsid w:val="00D73FC0"/>
    <w:rsid w:val="00D80626"/>
    <w:rsid w:val="00D81626"/>
    <w:rsid w:val="00D94787"/>
    <w:rsid w:val="00DB3BF0"/>
    <w:rsid w:val="00DC02E2"/>
    <w:rsid w:val="00DC0B50"/>
    <w:rsid w:val="00DD22D9"/>
    <w:rsid w:val="00DD68C3"/>
    <w:rsid w:val="00DE67F6"/>
    <w:rsid w:val="00DF3A78"/>
    <w:rsid w:val="00DF4691"/>
    <w:rsid w:val="00DF78BD"/>
    <w:rsid w:val="00E20C72"/>
    <w:rsid w:val="00E23001"/>
    <w:rsid w:val="00E260EE"/>
    <w:rsid w:val="00E34083"/>
    <w:rsid w:val="00E345E3"/>
    <w:rsid w:val="00E57EB0"/>
    <w:rsid w:val="00E67D60"/>
    <w:rsid w:val="00E70D9A"/>
    <w:rsid w:val="00E76573"/>
    <w:rsid w:val="00E8579E"/>
    <w:rsid w:val="00E9415A"/>
    <w:rsid w:val="00EA0B82"/>
    <w:rsid w:val="00EA727D"/>
    <w:rsid w:val="00EB0911"/>
    <w:rsid w:val="00EB2D4F"/>
    <w:rsid w:val="00EB4385"/>
    <w:rsid w:val="00EB47DD"/>
    <w:rsid w:val="00EC085E"/>
    <w:rsid w:val="00EC6008"/>
    <w:rsid w:val="00ED2B32"/>
    <w:rsid w:val="00EE366E"/>
    <w:rsid w:val="00EE4324"/>
    <w:rsid w:val="00EE7914"/>
    <w:rsid w:val="00F03C24"/>
    <w:rsid w:val="00F118CC"/>
    <w:rsid w:val="00F16B3F"/>
    <w:rsid w:val="00F21AEE"/>
    <w:rsid w:val="00F3270F"/>
    <w:rsid w:val="00F561D6"/>
    <w:rsid w:val="00F564AD"/>
    <w:rsid w:val="00F66D50"/>
    <w:rsid w:val="00F96BEC"/>
    <w:rsid w:val="00F9714F"/>
    <w:rsid w:val="00FB7360"/>
    <w:rsid w:val="00FC74E6"/>
    <w:rsid w:val="00FD7753"/>
    <w:rsid w:val="00FE02E1"/>
    <w:rsid w:val="00FE5D9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mac/office/2008/main"/>
  <w:attachedSchema w:val="urn:schemas-microsoft-com:mac:vml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semiHidden="0" w:unhideWhenUsed="0" w:qFormat="1"/>
  </w:latentStyles>
  <w:style w:type="paragraph" w:default="1" w:styleId="Normal">
    <w:name w:val="Normal"/>
    <w:qFormat/>
    <w:rsid w:val="00EE7914"/>
    <w:rPr>
      <w:rFonts w:ascii="Perpetua Std" w:hAnsi="Perpetua Std"/>
    </w:rPr>
  </w:style>
  <w:style w:type="paragraph" w:styleId="Heading1">
    <w:name w:val="heading 1"/>
    <w:basedOn w:val="Normal"/>
    <w:next w:val="Normal"/>
    <w:link w:val="Heading1Char"/>
    <w:qFormat/>
    <w:rsid w:val="00EE7914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EE7914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EE7914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B16D5"/>
    <w:rPr>
      <w:rFonts w:ascii="Perpetua Std" w:hAnsi="Perpetua Std"/>
      <w:b/>
    </w:rPr>
  </w:style>
  <w:style w:type="character" w:customStyle="1" w:styleId="Heading2Char">
    <w:name w:val="Heading 2 Char"/>
    <w:link w:val="Heading2"/>
    <w:rsid w:val="008B16D5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8B16D5"/>
    <w:rPr>
      <w:rFonts w:ascii="Arial" w:hAnsi="Arial"/>
      <w:sz w:val="24"/>
    </w:rPr>
  </w:style>
  <w:style w:type="paragraph" w:styleId="ListParagraph">
    <w:name w:val="List Paragraph"/>
    <w:basedOn w:val="Normal"/>
    <w:qFormat/>
    <w:rsid w:val="008B16D5"/>
    <w:pPr>
      <w:ind w:left="720"/>
      <w:contextualSpacing/>
    </w:pPr>
  </w:style>
  <w:style w:type="paragraph" w:styleId="TOCHeading">
    <w:name w:val="TOC Heading"/>
    <w:basedOn w:val="Heading1"/>
    <w:next w:val="Normal"/>
    <w:qFormat/>
    <w:rsid w:val="008B16D5"/>
    <w:pPr>
      <w:outlineLvl w:val="9"/>
    </w:pPr>
  </w:style>
  <w:style w:type="paragraph" w:customStyle="1" w:styleId="QU">
    <w:name w:val="QU"/>
    <w:rsid w:val="00EE7914"/>
    <w:pPr>
      <w:spacing w:after="240"/>
      <w:jc w:val="both"/>
    </w:pPr>
    <w:rPr>
      <w:rFonts w:ascii="Helvetica LT Std" w:hAnsi="Helvetica LT Std"/>
      <w:b/>
      <w:color w:val="000000"/>
      <w:sz w:val="26"/>
    </w:rPr>
  </w:style>
  <w:style w:type="paragraph" w:customStyle="1" w:styleId="PA">
    <w:name w:val="PA"/>
    <w:next w:val="Normal"/>
    <w:link w:val="PAChar"/>
    <w:rsid w:val="00EE7914"/>
    <w:pPr>
      <w:spacing w:after="240"/>
      <w:ind w:firstLine="288"/>
      <w:jc w:val="both"/>
    </w:pPr>
    <w:rPr>
      <w:rFonts w:ascii="Perpetua Std" w:hAnsi="Perpetua Std"/>
      <w:color w:val="000000"/>
      <w:sz w:val="24"/>
    </w:rPr>
  </w:style>
  <w:style w:type="character" w:customStyle="1" w:styleId="PAChar">
    <w:name w:val="PA Char"/>
    <w:link w:val="PA"/>
    <w:rsid w:val="00EE7914"/>
    <w:rPr>
      <w:rFonts w:ascii="Perpetua Std" w:hAnsi="Perpetua Std"/>
      <w:color w:val="000000"/>
      <w:sz w:val="24"/>
    </w:rPr>
  </w:style>
  <w:style w:type="paragraph" w:styleId="FootnoteText">
    <w:name w:val="footnote text"/>
    <w:basedOn w:val="Normal"/>
    <w:link w:val="FootnoteTextChar"/>
    <w:rsid w:val="006F074C"/>
  </w:style>
  <w:style w:type="character" w:customStyle="1" w:styleId="FootnoteTextChar">
    <w:name w:val="Footnote Text Char"/>
    <w:link w:val="FootnoteText"/>
    <w:rsid w:val="006F074C"/>
    <w:rPr>
      <w:sz w:val="20"/>
      <w:szCs w:val="20"/>
    </w:rPr>
  </w:style>
  <w:style w:type="character" w:styleId="FootnoteReference">
    <w:name w:val="footnote reference"/>
    <w:rsid w:val="00EE7914"/>
    <w:rPr>
      <w:vertAlign w:val="superscript"/>
    </w:rPr>
  </w:style>
  <w:style w:type="paragraph" w:customStyle="1" w:styleId="FreeForm">
    <w:name w:val="Free Form"/>
    <w:autoRedefine/>
    <w:rsid w:val="005A7B2C"/>
    <w:rPr>
      <w:rFonts w:ascii="Helvetica" w:eastAsia="ヒラギノ角ゴ Pro W3" w:hAnsi="Helvetica"/>
      <w:color w:val="000000"/>
      <w:sz w:val="24"/>
    </w:rPr>
  </w:style>
  <w:style w:type="character" w:styleId="Hyperlink">
    <w:name w:val="Hyperlink"/>
    <w:rsid w:val="005A7B2C"/>
    <w:rPr>
      <w:color w:val="0000FF"/>
      <w:u w:val="single"/>
    </w:rPr>
  </w:style>
  <w:style w:type="paragraph" w:customStyle="1" w:styleId="PC">
    <w:name w:val="PC"/>
    <w:rsid w:val="00EE7914"/>
    <w:pPr>
      <w:tabs>
        <w:tab w:val="left" w:pos="720"/>
      </w:tabs>
      <w:spacing w:after="240"/>
      <w:ind w:left="720" w:hanging="360"/>
      <w:jc w:val="both"/>
    </w:pPr>
    <w:rPr>
      <w:rFonts w:ascii="Perpetua Std" w:hAnsi="Perpetua Std"/>
      <w:color w:val="000000"/>
      <w:sz w:val="24"/>
    </w:rPr>
  </w:style>
  <w:style w:type="paragraph" w:customStyle="1" w:styleId="HD">
    <w:name w:val="HD"/>
    <w:rsid w:val="00EE7914"/>
    <w:pPr>
      <w:suppressAutoHyphens/>
      <w:spacing w:before="120"/>
      <w:jc w:val="center"/>
    </w:pPr>
    <w:rPr>
      <w:rFonts w:ascii="Helvetica LT Std" w:hAnsi="Helvetica LT Std"/>
      <w:sz w:val="26"/>
      <w:szCs w:val="18"/>
    </w:rPr>
  </w:style>
  <w:style w:type="paragraph" w:customStyle="1" w:styleId="PN">
    <w:name w:val="PN"/>
    <w:rsid w:val="00EE7914"/>
    <w:pPr>
      <w:spacing w:after="240"/>
      <w:ind w:left="720" w:firstLine="288"/>
      <w:jc w:val="both"/>
    </w:pPr>
    <w:rPr>
      <w:rFonts w:ascii="Perpetua Std" w:eastAsia="MS Mincho" w:hAnsi="Perpetua Std"/>
      <w:color w:val="000000"/>
    </w:rPr>
  </w:style>
  <w:style w:type="paragraph" w:customStyle="1" w:styleId="PB">
    <w:name w:val="PB"/>
    <w:rsid w:val="00EE7914"/>
    <w:pPr>
      <w:spacing w:after="240"/>
      <w:jc w:val="both"/>
    </w:pPr>
    <w:rPr>
      <w:rFonts w:ascii="Perpetua Std" w:hAnsi="Perpetua Std"/>
      <w:color w:val="000000"/>
      <w:sz w:val="24"/>
    </w:rPr>
  </w:style>
  <w:style w:type="paragraph" w:customStyle="1" w:styleId="PQ">
    <w:name w:val="PQ"/>
    <w:link w:val="PQChar"/>
    <w:rsid w:val="00EE7914"/>
    <w:pPr>
      <w:tabs>
        <w:tab w:val="left" w:pos="360"/>
      </w:tabs>
      <w:spacing w:after="120"/>
      <w:ind w:left="360" w:hanging="360"/>
      <w:jc w:val="both"/>
    </w:pPr>
    <w:rPr>
      <w:rFonts w:ascii="Adobe Caslon Pro" w:hAnsi="Adobe Caslon Pro"/>
      <w:color w:val="000000"/>
      <w:sz w:val="14"/>
    </w:rPr>
  </w:style>
  <w:style w:type="character" w:customStyle="1" w:styleId="PQChar">
    <w:name w:val="PQ Char"/>
    <w:link w:val="PQ"/>
    <w:rsid w:val="00EE7914"/>
    <w:rPr>
      <w:rFonts w:ascii="Adobe Caslon Pro" w:hAnsi="Adobe Caslon Pro"/>
      <w:color w:val="000000"/>
      <w:sz w:val="14"/>
    </w:rPr>
  </w:style>
  <w:style w:type="paragraph" w:customStyle="1" w:styleId="PF">
    <w:name w:val="PF"/>
    <w:rsid w:val="00EE7914"/>
    <w:pPr>
      <w:tabs>
        <w:tab w:val="left" w:pos="1080"/>
      </w:tabs>
      <w:spacing w:after="240"/>
      <w:ind w:left="1080" w:hanging="360"/>
      <w:jc w:val="both"/>
    </w:pPr>
    <w:rPr>
      <w:rFonts w:ascii="Perpetua Std" w:hAnsi="Perpetua Std"/>
      <w:color w:val="000000"/>
      <w:sz w:val="24"/>
    </w:rPr>
  </w:style>
  <w:style w:type="character" w:customStyle="1" w:styleId="pa-h2">
    <w:name w:val="pa-h2"/>
    <w:rsid w:val="00C3032D"/>
    <w:rPr>
      <w:rFonts w:ascii="Helvetica LT Std" w:hAnsi="Helvetica LT Std" w:hint="default"/>
      <w:color w:val="000000"/>
      <w:sz w:val="24"/>
      <w:szCs w:val="24"/>
    </w:rPr>
  </w:style>
  <w:style w:type="paragraph" w:customStyle="1" w:styleId="HE">
    <w:name w:val="HE"/>
    <w:rsid w:val="00EE7914"/>
    <w:pPr>
      <w:spacing w:before="120" w:after="120"/>
      <w:jc w:val="center"/>
    </w:pPr>
    <w:rPr>
      <w:rFonts w:ascii="Helvetica LT Std" w:hAnsi="Helvetica LT Std"/>
      <w:sz w:val="24"/>
    </w:rPr>
  </w:style>
  <w:style w:type="table" w:styleId="TableGrid">
    <w:name w:val="Table Grid"/>
    <w:basedOn w:val="TableNormal"/>
    <w:rsid w:val="00EE7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90D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0D6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EE791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72E05"/>
    <w:rPr>
      <w:rFonts w:ascii="Perpetua Std" w:hAnsi="Perpetua Std"/>
    </w:rPr>
  </w:style>
  <w:style w:type="paragraph" w:styleId="Footer">
    <w:name w:val="footer"/>
    <w:basedOn w:val="Normal"/>
    <w:link w:val="FooterChar"/>
    <w:rsid w:val="00EE791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72E05"/>
    <w:rPr>
      <w:rFonts w:ascii="Perpetua Std" w:hAnsi="Perpetua Std"/>
    </w:rPr>
  </w:style>
  <w:style w:type="paragraph" w:styleId="CommentText">
    <w:name w:val="annotation text"/>
    <w:basedOn w:val="Normal"/>
    <w:link w:val="CommentTextChar"/>
    <w:rsid w:val="00310C38"/>
  </w:style>
  <w:style w:type="character" w:customStyle="1" w:styleId="CommentTextChar">
    <w:name w:val="Comment Text Char"/>
    <w:link w:val="CommentText"/>
    <w:rsid w:val="00310C38"/>
    <w:rPr>
      <w:rFonts w:ascii="Perpetua" w:eastAsia="Times New Roman" w:hAnsi="Perpetua" w:cs="Times New Roman"/>
      <w:sz w:val="20"/>
      <w:szCs w:val="20"/>
    </w:rPr>
  </w:style>
  <w:style w:type="paragraph" w:customStyle="1" w:styleId="Standard">
    <w:name w:val="Standard"/>
    <w:rsid w:val="00EE7914"/>
    <w:pPr>
      <w:spacing w:before="144"/>
      <w:jc w:val="both"/>
    </w:pPr>
    <w:rPr>
      <w:noProof/>
    </w:rPr>
  </w:style>
  <w:style w:type="paragraph" w:customStyle="1" w:styleId="PD">
    <w:name w:val="PD"/>
    <w:rsid w:val="00EE7914"/>
    <w:pPr>
      <w:spacing w:after="240"/>
      <w:ind w:left="72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E">
    <w:name w:val="PE"/>
    <w:rsid w:val="00EE7914"/>
    <w:pPr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G">
    <w:name w:val="PG"/>
    <w:rsid w:val="00EE7914"/>
    <w:pPr>
      <w:spacing w:after="240"/>
      <w:ind w:left="360"/>
      <w:jc w:val="both"/>
    </w:pPr>
    <w:rPr>
      <w:rFonts w:ascii="Perpetua Std" w:hAnsi="Perpetua Std"/>
      <w:color w:val="000000"/>
      <w:sz w:val="24"/>
    </w:rPr>
  </w:style>
  <w:style w:type="paragraph" w:customStyle="1" w:styleId="PH">
    <w:name w:val="PH"/>
    <w:rsid w:val="00EE7914"/>
    <w:pPr>
      <w:tabs>
        <w:tab w:val="left" w:pos="360"/>
      </w:tabs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I">
    <w:name w:val="PI"/>
    <w:rsid w:val="00EE7914"/>
    <w:pPr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K">
    <w:name w:val="PK"/>
    <w:rsid w:val="00EE7914"/>
    <w:pPr>
      <w:spacing w:after="240"/>
      <w:ind w:left="36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L">
    <w:name w:val="PL"/>
    <w:rsid w:val="00EE7914"/>
    <w:pPr>
      <w:overflowPunct w:val="0"/>
      <w:autoSpaceDE w:val="0"/>
      <w:autoSpaceDN w:val="0"/>
      <w:adjustRightInd w:val="0"/>
      <w:spacing w:after="240"/>
      <w:jc w:val="right"/>
      <w:textAlignment w:val="baseline"/>
    </w:pPr>
    <w:rPr>
      <w:rFonts w:ascii="Minion Pro" w:hAnsi="Minion Pro"/>
      <w:sz w:val="16"/>
    </w:rPr>
  </w:style>
  <w:style w:type="paragraph" w:customStyle="1" w:styleId="PX">
    <w:name w:val="PX"/>
    <w:rsid w:val="00EE7914"/>
    <w:pPr>
      <w:spacing w:after="240"/>
      <w:ind w:left="432" w:right="432" w:firstLine="432"/>
      <w:jc w:val="both"/>
    </w:pPr>
    <w:rPr>
      <w:rFonts w:ascii="Minion Pro" w:hAnsi="Minion Pro"/>
    </w:rPr>
  </w:style>
  <w:style w:type="paragraph" w:customStyle="1" w:styleId="TOC">
    <w:name w:val="TOC"/>
    <w:autoRedefine/>
    <w:rsid w:val="00EE7914"/>
    <w:pPr>
      <w:tabs>
        <w:tab w:val="left" w:pos="720"/>
        <w:tab w:val="left" w:pos="1440"/>
        <w:tab w:val="right" w:leader="dot" w:pos="8640"/>
      </w:tabs>
      <w:ind w:left="720" w:hanging="720"/>
    </w:pPr>
    <w:rPr>
      <w:rFonts w:ascii="Perpetua Std" w:eastAsia="MS Mincho" w:hAnsi="Perpetua Std"/>
      <w:color w:val="000000"/>
      <w:sz w:val="24"/>
    </w:rPr>
  </w:style>
  <w:style w:type="paragraph" w:customStyle="1" w:styleId="Index">
    <w:name w:val="Index"/>
    <w:basedOn w:val="TOC"/>
    <w:link w:val="IndexChar"/>
    <w:autoRedefine/>
    <w:rsid w:val="00EE7914"/>
    <w:pPr>
      <w:tabs>
        <w:tab w:val="clear" w:pos="1440"/>
        <w:tab w:val="clear" w:pos="8640"/>
        <w:tab w:val="left" w:pos="240"/>
        <w:tab w:val="left" w:pos="480"/>
        <w:tab w:val="right" w:leader="dot" w:pos="4680"/>
      </w:tabs>
      <w:ind w:left="0" w:firstLine="0"/>
    </w:pPr>
    <w:rPr>
      <w:sz w:val="22"/>
    </w:rPr>
  </w:style>
  <w:style w:type="paragraph" w:customStyle="1" w:styleId="PP">
    <w:name w:val="PP"/>
    <w:rsid w:val="00EE7914"/>
    <w:pPr>
      <w:pBdr>
        <w:top w:val="single" w:sz="4" w:space="1" w:color="auto"/>
        <w:bottom w:val="single" w:sz="4" w:space="1" w:color="auto"/>
      </w:pBdr>
      <w:spacing w:after="240"/>
      <w:jc w:val="both"/>
    </w:pPr>
    <w:rPr>
      <w:rFonts w:ascii="Helvetica LT Std" w:hAnsi="Helvetica LT Std"/>
      <w:color w:val="000000"/>
      <w:sz w:val="22"/>
    </w:rPr>
  </w:style>
  <w:style w:type="paragraph" w:customStyle="1" w:styleId="HA">
    <w:name w:val="HA"/>
    <w:autoRedefine/>
    <w:rsid w:val="00EE7914"/>
    <w:pPr>
      <w:spacing w:after="240"/>
      <w:jc w:val="center"/>
    </w:pPr>
    <w:rPr>
      <w:rFonts w:ascii="Helvetica LT Std" w:hAnsi="Helvetica LT Std"/>
      <w:b/>
      <w:caps/>
      <w:color w:val="000000"/>
      <w:sz w:val="36"/>
      <w:szCs w:val="32"/>
    </w:rPr>
  </w:style>
  <w:style w:type="paragraph" w:customStyle="1" w:styleId="HB">
    <w:name w:val="HB"/>
    <w:rsid w:val="00EE7914"/>
    <w:pPr>
      <w:spacing w:before="120" w:after="240"/>
      <w:jc w:val="center"/>
    </w:pPr>
    <w:rPr>
      <w:rFonts w:ascii="Helvetica LT Std" w:hAnsi="Helvetica LT Std"/>
      <w:b/>
      <w:color w:val="5F5F5F"/>
      <w:w w:val="105"/>
      <w:sz w:val="32"/>
    </w:rPr>
  </w:style>
  <w:style w:type="paragraph" w:customStyle="1" w:styleId="HC">
    <w:name w:val="HC"/>
    <w:autoRedefine/>
    <w:rsid w:val="00EE7914"/>
    <w:pPr>
      <w:tabs>
        <w:tab w:val="left" w:pos="284"/>
      </w:tabs>
      <w:spacing w:before="120" w:after="120"/>
      <w:jc w:val="center"/>
    </w:pPr>
    <w:rPr>
      <w:rFonts w:ascii="Helvetica LT Std" w:hAnsi="Helvetica LT Std"/>
      <w:b/>
      <w:color w:val="000000"/>
      <w:w w:val="110"/>
      <w:sz w:val="26"/>
    </w:rPr>
  </w:style>
  <w:style w:type="paragraph" w:customStyle="1" w:styleId="PR">
    <w:name w:val="PR"/>
    <w:rsid w:val="00EE7914"/>
    <w:pPr>
      <w:spacing w:after="240"/>
      <w:ind w:left="360" w:firstLine="288"/>
      <w:jc w:val="both"/>
    </w:pPr>
    <w:rPr>
      <w:rFonts w:ascii="Adobe Caslon Pro" w:hAnsi="Adobe Caslon Pro"/>
      <w:color w:val="000000"/>
      <w:sz w:val="14"/>
    </w:rPr>
  </w:style>
  <w:style w:type="paragraph" w:customStyle="1" w:styleId="PO">
    <w:name w:val="PO"/>
    <w:rsid w:val="00EE7914"/>
    <w:pPr>
      <w:spacing w:after="240"/>
      <w:jc w:val="both"/>
    </w:pPr>
    <w:rPr>
      <w:rFonts w:ascii="Perpetua Std" w:hAnsi="Perpetua Std"/>
      <w:color w:val="000000"/>
      <w:w w:val="95"/>
      <w:szCs w:val="16"/>
    </w:rPr>
  </w:style>
  <w:style w:type="paragraph" w:customStyle="1" w:styleId="GUIDEX">
    <w:name w:val="GUIDEX"/>
    <w:rsid w:val="00EE7914"/>
    <w:pPr>
      <w:tabs>
        <w:tab w:val="left" w:leader="dot" w:pos="4565"/>
        <w:tab w:val="center" w:pos="5760"/>
        <w:tab w:val="center" w:pos="7200"/>
        <w:tab w:val="center" w:pos="8640"/>
      </w:tabs>
    </w:pPr>
    <w:rPr>
      <w:rFonts w:ascii="Helvetica LT Std" w:hAnsi="Helvetica LT Std"/>
      <w:bCs/>
      <w:color w:val="000000"/>
    </w:rPr>
  </w:style>
  <w:style w:type="paragraph" w:customStyle="1" w:styleId="Index2">
    <w:name w:val="Index2"/>
    <w:basedOn w:val="Index"/>
    <w:autoRedefine/>
    <w:rsid w:val="00EE7914"/>
    <w:pPr>
      <w:tabs>
        <w:tab w:val="clear" w:pos="240"/>
        <w:tab w:val="clear" w:pos="480"/>
        <w:tab w:val="clear" w:pos="720"/>
        <w:tab w:val="right" w:pos="4680"/>
      </w:tabs>
    </w:pPr>
  </w:style>
  <w:style w:type="paragraph" w:customStyle="1" w:styleId="PCB">
    <w:name w:val="PCB"/>
    <w:autoRedefine/>
    <w:rsid w:val="00EE7914"/>
    <w:pPr>
      <w:numPr>
        <w:numId w:val="26"/>
      </w:numPr>
      <w:tabs>
        <w:tab w:val="left" w:pos="720"/>
      </w:tabs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B">
    <w:name w:val="PFB"/>
    <w:autoRedefine/>
    <w:rsid w:val="00EE7914"/>
    <w:pPr>
      <w:numPr>
        <w:numId w:val="28"/>
      </w:numPr>
      <w:tabs>
        <w:tab w:val="left" w:pos="1080"/>
      </w:tabs>
      <w:spacing w:after="240"/>
      <w:ind w:left="1080"/>
      <w:jc w:val="both"/>
    </w:pPr>
    <w:rPr>
      <w:rFonts w:ascii="Perpetua Std" w:eastAsia="Calibri" w:hAnsi="Perpetua Std"/>
      <w:sz w:val="24"/>
      <w:szCs w:val="22"/>
    </w:rPr>
  </w:style>
  <w:style w:type="paragraph" w:customStyle="1" w:styleId="PerpetuaStd">
    <w:name w:val="Perpetua Std"/>
    <w:aliases w:val="10 pt"/>
    <w:next w:val="NoSpacing"/>
    <w:autoRedefine/>
    <w:rsid w:val="00EE7914"/>
    <w:rPr>
      <w:rFonts w:ascii="Perpetua Std" w:hAnsi="Perpetua Std"/>
    </w:rPr>
  </w:style>
  <w:style w:type="paragraph" w:styleId="NoSpacing">
    <w:name w:val="No Spacing"/>
    <w:qFormat/>
    <w:rsid w:val="00EE7914"/>
    <w:rPr>
      <w:rFonts w:ascii="Perpetua" w:hAnsi="Perpetua"/>
    </w:rPr>
  </w:style>
  <w:style w:type="paragraph" w:customStyle="1" w:styleId="PCA">
    <w:name w:val="PCA"/>
    <w:rsid w:val="00EE7914"/>
    <w:pPr>
      <w:numPr>
        <w:numId w:val="29"/>
      </w:numPr>
      <w:tabs>
        <w:tab w:val="left" w:pos="720"/>
      </w:tabs>
      <w:spacing w:after="240"/>
      <w:jc w:val="both"/>
    </w:pPr>
    <w:rPr>
      <w:rFonts w:ascii="Perpetua Std" w:hAnsi="Perpetua Std"/>
      <w:sz w:val="24"/>
    </w:rPr>
  </w:style>
  <w:style w:type="paragraph" w:customStyle="1" w:styleId="PHB">
    <w:name w:val="PHB"/>
    <w:rsid w:val="00EE7914"/>
    <w:pPr>
      <w:numPr>
        <w:numId w:val="30"/>
      </w:numPr>
      <w:tabs>
        <w:tab w:val="left" w:pos="360"/>
      </w:tabs>
      <w:spacing w:after="240"/>
      <w:jc w:val="both"/>
    </w:pPr>
    <w:rPr>
      <w:rFonts w:ascii="Perpetua Std" w:hAnsi="Perpetua Std"/>
      <w:sz w:val="24"/>
    </w:rPr>
  </w:style>
  <w:style w:type="character" w:customStyle="1" w:styleId="IndexChar">
    <w:name w:val="Index Char"/>
    <w:link w:val="Index"/>
    <w:rsid w:val="00EE7914"/>
    <w:rPr>
      <w:rFonts w:ascii="Perpetua Std" w:eastAsia="MS Mincho" w:hAnsi="Perpetua Std"/>
      <w:color w:val="000000"/>
      <w:sz w:val="22"/>
    </w:rPr>
  </w:style>
  <w:style w:type="paragraph" w:styleId="EndnoteText">
    <w:name w:val="endnote text"/>
    <w:basedOn w:val="Normal"/>
    <w:link w:val="EndnoteTextChar"/>
    <w:semiHidden/>
    <w:unhideWhenUsed/>
    <w:rsid w:val="006C1EE9"/>
  </w:style>
  <w:style w:type="character" w:customStyle="1" w:styleId="EndnoteTextChar">
    <w:name w:val="Endnote Text Char"/>
    <w:basedOn w:val="DefaultParagraphFont"/>
    <w:link w:val="EndnoteText"/>
    <w:semiHidden/>
    <w:rsid w:val="006C1EE9"/>
    <w:rPr>
      <w:rFonts w:ascii="Perpetua Std" w:hAnsi="Perpetua Std"/>
    </w:rPr>
  </w:style>
  <w:style w:type="character" w:styleId="EndnoteReference">
    <w:name w:val="endnote reference"/>
    <w:basedOn w:val="DefaultParagraphFont"/>
    <w:semiHidden/>
    <w:unhideWhenUsed/>
    <w:rsid w:val="006C1E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semiHidden="0" w:unhideWhenUsed="0" w:qFormat="1"/>
  </w:latentStyles>
  <w:style w:type="paragraph" w:default="1" w:styleId="Normal">
    <w:name w:val="Normal"/>
    <w:qFormat/>
    <w:rsid w:val="00EE7914"/>
    <w:rPr>
      <w:rFonts w:ascii="Perpetua Std" w:hAnsi="Perpetua Std"/>
    </w:rPr>
  </w:style>
  <w:style w:type="paragraph" w:styleId="Heading1">
    <w:name w:val="heading 1"/>
    <w:basedOn w:val="Normal"/>
    <w:next w:val="Normal"/>
    <w:link w:val="Heading1Char"/>
    <w:qFormat/>
    <w:rsid w:val="00EE7914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EE7914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qFormat/>
    <w:rsid w:val="00EE7914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B16D5"/>
    <w:rPr>
      <w:rFonts w:ascii="Perpetua Std" w:hAnsi="Perpetua Std"/>
      <w:b/>
    </w:rPr>
  </w:style>
  <w:style w:type="character" w:customStyle="1" w:styleId="Heading2Char">
    <w:name w:val="Heading 2 Char"/>
    <w:link w:val="Heading2"/>
    <w:rsid w:val="008B16D5"/>
    <w:rPr>
      <w:rFonts w:ascii="Arial" w:hAnsi="Arial"/>
      <w:b/>
      <w:i/>
      <w:sz w:val="24"/>
    </w:rPr>
  </w:style>
  <w:style w:type="character" w:customStyle="1" w:styleId="Heading3Char">
    <w:name w:val="Heading 3 Char"/>
    <w:link w:val="Heading3"/>
    <w:rsid w:val="008B16D5"/>
    <w:rPr>
      <w:rFonts w:ascii="Arial" w:hAnsi="Arial"/>
      <w:sz w:val="24"/>
    </w:rPr>
  </w:style>
  <w:style w:type="paragraph" w:styleId="ListParagraph">
    <w:name w:val="List Paragraph"/>
    <w:basedOn w:val="Normal"/>
    <w:qFormat/>
    <w:rsid w:val="008B16D5"/>
    <w:pPr>
      <w:ind w:left="720"/>
      <w:contextualSpacing/>
    </w:pPr>
  </w:style>
  <w:style w:type="paragraph" w:styleId="TOCHeading">
    <w:name w:val="TOC Heading"/>
    <w:basedOn w:val="Heading1"/>
    <w:next w:val="Normal"/>
    <w:qFormat/>
    <w:rsid w:val="008B16D5"/>
    <w:pPr>
      <w:outlineLvl w:val="9"/>
    </w:pPr>
  </w:style>
  <w:style w:type="paragraph" w:customStyle="1" w:styleId="QU">
    <w:name w:val="QU"/>
    <w:rsid w:val="00EE7914"/>
    <w:pPr>
      <w:spacing w:after="240"/>
      <w:jc w:val="both"/>
    </w:pPr>
    <w:rPr>
      <w:rFonts w:ascii="Helvetica LT Std" w:hAnsi="Helvetica LT Std"/>
      <w:b/>
      <w:color w:val="000000"/>
      <w:sz w:val="26"/>
    </w:rPr>
  </w:style>
  <w:style w:type="paragraph" w:customStyle="1" w:styleId="PA">
    <w:name w:val="PA"/>
    <w:next w:val="Normal"/>
    <w:link w:val="PAChar"/>
    <w:rsid w:val="00EE7914"/>
    <w:pPr>
      <w:spacing w:after="240"/>
      <w:ind w:firstLine="288"/>
      <w:jc w:val="both"/>
    </w:pPr>
    <w:rPr>
      <w:rFonts w:ascii="Perpetua Std" w:hAnsi="Perpetua Std"/>
      <w:color w:val="000000"/>
      <w:sz w:val="24"/>
    </w:rPr>
  </w:style>
  <w:style w:type="character" w:customStyle="1" w:styleId="PAChar">
    <w:name w:val="PA Char"/>
    <w:link w:val="PA"/>
    <w:rsid w:val="00EE7914"/>
    <w:rPr>
      <w:rFonts w:ascii="Perpetua Std" w:hAnsi="Perpetua Std"/>
      <w:color w:val="000000"/>
      <w:sz w:val="24"/>
    </w:rPr>
  </w:style>
  <w:style w:type="paragraph" w:styleId="FootnoteText">
    <w:name w:val="footnote text"/>
    <w:basedOn w:val="Normal"/>
    <w:link w:val="FootnoteTextChar"/>
    <w:rsid w:val="006F074C"/>
  </w:style>
  <w:style w:type="character" w:customStyle="1" w:styleId="FootnoteTextChar">
    <w:name w:val="Footnote Text Char"/>
    <w:link w:val="FootnoteText"/>
    <w:rsid w:val="006F074C"/>
    <w:rPr>
      <w:sz w:val="20"/>
      <w:szCs w:val="20"/>
    </w:rPr>
  </w:style>
  <w:style w:type="character" w:styleId="FootnoteReference">
    <w:name w:val="footnote reference"/>
    <w:rsid w:val="00EE7914"/>
    <w:rPr>
      <w:vertAlign w:val="superscript"/>
    </w:rPr>
  </w:style>
  <w:style w:type="paragraph" w:customStyle="1" w:styleId="FreeForm">
    <w:name w:val="Free Form"/>
    <w:autoRedefine/>
    <w:rsid w:val="005A7B2C"/>
    <w:rPr>
      <w:rFonts w:ascii="Helvetica" w:eastAsia="ヒラギノ角ゴ Pro W3" w:hAnsi="Helvetica"/>
      <w:color w:val="000000"/>
      <w:sz w:val="24"/>
    </w:rPr>
  </w:style>
  <w:style w:type="character" w:styleId="Hyperlink">
    <w:name w:val="Hyperlink"/>
    <w:rsid w:val="005A7B2C"/>
    <w:rPr>
      <w:color w:val="0000FF"/>
      <w:u w:val="single"/>
    </w:rPr>
  </w:style>
  <w:style w:type="paragraph" w:customStyle="1" w:styleId="PC">
    <w:name w:val="PC"/>
    <w:rsid w:val="00EE7914"/>
    <w:pPr>
      <w:tabs>
        <w:tab w:val="left" w:pos="720"/>
      </w:tabs>
      <w:spacing w:after="240"/>
      <w:ind w:left="720" w:hanging="360"/>
      <w:jc w:val="both"/>
    </w:pPr>
    <w:rPr>
      <w:rFonts w:ascii="Perpetua Std" w:hAnsi="Perpetua Std"/>
      <w:color w:val="000000"/>
      <w:sz w:val="24"/>
    </w:rPr>
  </w:style>
  <w:style w:type="paragraph" w:customStyle="1" w:styleId="HD">
    <w:name w:val="HD"/>
    <w:rsid w:val="00EE7914"/>
    <w:pPr>
      <w:suppressAutoHyphens/>
      <w:spacing w:before="120"/>
      <w:jc w:val="center"/>
    </w:pPr>
    <w:rPr>
      <w:rFonts w:ascii="Helvetica LT Std" w:hAnsi="Helvetica LT Std"/>
      <w:sz w:val="26"/>
      <w:szCs w:val="18"/>
    </w:rPr>
  </w:style>
  <w:style w:type="paragraph" w:customStyle="1" w:styleId="PN">
    <w:name w:val="PN"/>
    <w:rsid w:val="00EE7914"/>
    <w:pPr>
      <w:spacing w:after="240"/>
      <w:ind w:left="720" w:firstLine="288"/>
      <w:jc w:val="both"/>
    </w:pPr>
    <w:rPr>
      <w:rFonts w:ascii="Perpetua Std" w:eastAsia="MS Mincho" w:hAnsi="Perpetua Std"/>
      <w:color w:val="000000"/>
    </w:rPr>
  </w:style>
  <w:style w:type="paragraph" w:customStyle="1" w:styleId="PB">
    <w:name w:val="PB"/>
    <w:rsid w:val="00EE7914"/>
    <w:pPr>
      <w:spacing w:after="240"/>
      <w:jc w:val="both"/>
    </w:pPr>
    <w:rPr>
      <w:rFonts w:ascii="Perpetua Std" w:hAnsi="Perpetua Std"/>
      <w:color w:val="000000"/>
      <w:sz w:val="24"/>
    </w:rPr>
  </w:style>
  <w:style w:type="paragraph" w:customStyle="1" w:styleId="PQ">
    <w:name w:val="PQ"/>
    <w:link w:val="PQChar"/>
    <w:rsid w:val="00EE7914"/>
    <w:pPr>
      <w:tabs>
        <w:tab w:val="left" w:pos="360"/>
      </w:tabs>
      <w:spacing w:after="120"/>
      <w:ind w:left="360" w:hanging="360"/>
      <w:jc w:val="both"/>
    </w:pPr>
    <w:rPr>
      <w:rFonts w:ascii="Adobe Caslon Pro" w:hAnsi="Adobe Caslon Pro"/>
      <w:color w:val="000000"/>
      <w:sz w:val="14"/>
    </w:rPr>
  </w:style>
  <w:style w:type="character" w:customStyle="1" w:styleId="PQChar">
    <w:name w:val="PQ Char"/>
    <w:link w:val="PQ"/>
    <w:rsid w:val="00EE7914"/>
    <w:rPr>
      <w:rFonts w:ascii="Adobe Caslon Pro" w:hAnsi="Adobe Caslon Pro"/>
      <w:color w:val="000000"/>
      <w:sz w:val="14"/>
    </w:rPr>
  </w:style>
  <w:style w:type="paragraph" w:customStyle="1" w:styleId="PF">
    <w:name w:val="PF"/>
    <w:rsid w:val="00EE7914"/>
    <w:pPr>
      <w:tabs>
        <w:tab w:val="left" w:pos="1080"/>
      </w:tabs>
      <w:spacing w:after="240"/>
      <w:ind w:left="1080" w:hanging="360"/>
      <w:jc w:val="both"/>
    </w:pPr>
    <w:rPr>
      <w:rFonts w:ascii="Perpetua Std" w:hAnsi="Perpetua Std"/>
      <w:color w:val="000000"/>
      <w:sz w:val="24"/>
    </w:rPr>
  </w:style>
  <w:style w:type="character" w:customStyle="1" w:styleId="pa-h2">
    <w:name w:val="pa-h2"/>
    <w:rsid w:val="00C3032D"/>
    <w:rPr>
      <w:rFonts w:ascii="Helvetica LT Std" w:hAnsi="Helvetica LT Std" w:hint="default"/>
      <w:color w:val="000000"/>
      <w:sz w:val="24"/>
      <w:szCs w:val="24"/>
    </w:rPr>
  </w:style>
  <w:style w:type="paragraph" w:customStyle="1" w:styleId="HE">
    <w:name w:val="HE"/>
    <w:rsid w:val="00EE7914"/>
    <w:pPr>
      <w:spacing w:before="120" w:after="120"/>
      <w:jc w:val="center"/>
    </w:pPr>
    <w:rPr>
      <w:rFonts w:ascii="Helvetica LT Std" w:hAnsi="Helvetica LT Std"/>
      <w:sz w:val="24"/>
    </w:rPr>
  </w:style>
  <w:style w:type="table" w:styleId="TableGrid">
    <w:name w:val="Table Grid"/>
    <w:basedOn w:val="TableNormal"/>
    <w:rsid w:val="00EE7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90D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0D6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EE791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72E05"/>
    <w:rPr>
      <w:rFonts w:ascii="Perpetua Std" w:hAnsi="Perpetua Std"/>
    </w:rPr>
  </w:style>
  <w:style w:type="paragraph" w:styleId="Footer">
    <w:name w:val="footer"/>
    <w:basedOn w:val="Normal"/>
    <w:link w:val="FooterChar"/>
    <w:rsid w:val="00EE791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D72E05"/>
    <w:rPr>
      <w:rFonts w:ascii="Perpetua Std" w:hAnsi="Perpetua Std"/>
    </w:rPr>
  </w:style>
  <w:style w:type="paragraph" w:styleId="CommentText">
    <w:name w:val="annotation text"/>
    <w:basedOn w:val="Normal"/>
    <w:link w:val="CommentTextChar"/>
    <w:rsid w:val="00310C38"/>
  </w:style>
  <w:style w:type="character" w:customStyle="1" w:styleId="CommentTextChar">
    <w:name w:val="Comment Text Char"/>
    <w:link w:val="CommentText"/>
    <w:rsid w:val="00310C38"/>
    <w:rPr>
      <w:rFonts w:ascii="Perpetua" w:eastAsia="Times New Roman" w:hAnsi="Perpetua" w:cs="Times New Roman"/>
      <w:sz w:val="20"/>
      <w:szCs w:val="20"/>
    </w:rPr>
  </w:style>
  <w:style w:type="paragraph" w:customStyle="1" w:styleId="Standard">
    <w:name w:val="Standard"/>
    <w:rsid w:val="00EE7914"/>
    <w:pPr>
      <w:spacing w:before="144"/>
      <w:jc w:val="both"/>
    </w:pPr>
    <w:rPr>
      <w:noProof/>
    </w:rPr>
  </w:style>
  <w:style w:type="paragraph" w:customStyle="1" w:styleId="PD">
    <w:name w:val="PD"/>
    <w:rsid w:val="00EE7914"/>
    <w:pPr>
      <w:spacing w:after="240"/>
      <w:ind w:left="72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E">
    <w:name w:val="PE"/>
    <w:rsid w:val="00EE7914"/>
    <w:pPr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G">
    <w:name w:val="PG"/>
    <w:rsid w:val="00EE7914"/>
    <w:pPr>
      <w:spacing w:after="240"/>
      <w:ind w:left="360"/>
      <w:jc w:val="both"/>
    </w:pPr>
    <w:rPr>
      <w:rFonts w:ascii="Perpetua Std" w:hAnsi="Perpetua Std"/>
      <w:color w:val="000000"/>
      <w:sz w:val="24"/>
    </w:rPr>
  </w:style>
  <w:style w:type="paragraph" w:customStyle="1" w:styleId="PH">
    <w:name w:val="PH"/>
    <w:rsid w:val="00EE7914"/>
    <w:pPr>
      <w:tabs>
        <w:tab w:val="left" w:pos="360"/>
      </w:tabs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I">
    <w:name w:val="PI"/>
    <w:rsid w:val="00EE7914"/>
    <w:pPr>
      <w:spacing w:after="240"/>
      <w:ind w:left="360" w:hanging="360"/>
      <w:jc w:val="both"/>
    </w:pPr>
    <w:rPr>
      <w:rFonts w:ascii="Perpetua Std" w:hAnsi="Perpetua Std"/>
      <w:color w:val="000000"/>
      <w:sz w:val="24"/>
    </w:rPr>
  </w:style>
  <w:style w:type="paragraph" w:customStyle="1" w:styleId="PK">
    <w:name w:val="PK"/>
    <w:rsid w:val="00EE7914"/>
    <w:pPr>
      <w:spacing w:after="240"/>
      <w:ind w:left="360" w:firstLine="288"/>
      <w:jc w:val="both"/>
    </w:pPr>
    <w:rPr>
      <w:rFonts w:ascii="Perpetua Std" w:hAnsi="Perpetua Std"/>
      <w:color w:val="000000"/>
      <w:sz w:val="24"/>
    </w:rPr>
  </w:style>
  <w:style w:type="paragraph" w:customStyle="1" w:styleId="PL">
    <w:name w:val="PL"/>
    <w:rsid w:val="00EE7914"/>
    <w:pPr>
      <w:overflowPunct w:val="0"/>
      <w:autoSpaceDE w:val="0"/>
      <w:autoSpaceDN w:val="0"/>
      <w:adjustRightInd w:val="0"/>
      <w:spacing w:after="240"/>
      <w:jc w:val="right"/>
      <w:textAlignment w:val="baseline"/>
    </w:pPr>
    <w:rPr>
      <w:rFonts w:ascii="Minion Pro" w:hAnsi="Minion Pro"/>
      <w:sz w:val="16"/>
    </w:rPr>
  </w:style>
  <w:style w:type="paragraph" w:customStyle="1" w:styleId="PX">
    <w:name w:val="PX"/>
    <w:rsid w:val="00EE7914"/>
    <w:pPr>
      <w:spacing w:after="240"/>
      <w:ind w:left="432" w:right="432" w:firstLine="432"/>
      <w:jc w:val="both"/>
    </w:pPr>
    <w:rPr>
      <w:rFonts w:ascii="Minion Pro" w:hAnsi="Minion Pro"/>
    </w:rPr>
  </w:style>
  <w:style w:type="paragraph" w:customStyle="1" w:styleId="TOC">
    <w:name w:val="TOC"/>
    <w:autoRedefine/>
    <w:rsid w:val="00EE7914"/>
    <w:pPr>
      <w:tabs>
        <w:tab w:val="left" w:pos="720"/>
        <w:tab w:val="left" w:pos="1440"/>
        <w:tab w:val="right" w:leader="dot" w:pos="8640"/>
      </w:tabs>
      <w:ind w:left="720" w:hanging="720"/>
    </w:pPr>
    <w:rPr>
      <w:rFonts w:ascii="Perpetua Std" w:eastAsia="MS Mincho" w:hAnsi="Perpetua Std"/>
      <w:color w:val="000000"/>
      <w:sz w:val="24"/>
    </w:rPr>
  </w:style>
  <w:style w:type="paragraph" w:customStyle="1" w:styleId="Index">
    <w:name w:val="Index"/>
    <w:basedOn w:val="TOC"/>
    <w:link w:val="IndexChar"/>
    <w:autoRedefine/>
    <w:rsid w:val="00EE7914"/>
    <w:pPr>
      <w:tabs>
        <w:tab w:val="clear" w:pos="1440"/>
        <w:tab w:val="clear" w:pos="8640"/>
        <w:tab w:val="left" w:pos="240"/>
        <w:tab w:val="left" w:pos="480"/>
        <w:tab w:val="right" w:leader="dot" w:pos="4680"/>
      </w:tabs>
      <w:ind w:left="0" w:firstLine="0"/>
    </w:pPr>
    <w:rPr>
      <w:sz w:val="22"/>
    </w:rPr>
  </w:style>
  <w:style w:type="paragraph" w:customStyle="1" w:styleId="PP">
    <w:name w:val="PP"/>
    <w:rsid w:val="00EE7914"/>
    <w:pPr>
      <w:pBdr>
        <w:top w:val="single" w:sz="4" w:space="1" w:color="auto"/>
        <w:bottom w:val="single" w:sz="4" w:space="1" w:color="auto"/>
      </w:pBdr>
      <w:spacing w:after="240"/>
      <w:jc w:val="both"/>
    </w:pPr>
    <w:rPr>
      <w:rFonts w:ascii="Helvetica LT Std" w:hAnsi="Helvetica LT Std"/>
      <w:color w:val="000000"/>
      <w:sz w:val="22"/>
    </w:rPr>
  </w:style>
  <w:style w:type="paragraph" w:customStyle="1" w:styleId="HA">
    <w:name w:val="HA"/>
    <w:autoRedefine/>
    <w:rsid w:val="00EE7914"/>
    <w:pPr>
      <w:spacing w:after="240"/>
      <w:jc w:val="center"/>
    </w:pPr>
    <w:rPr>
      <w:rFonts w:ascii="Helvetica LT Std" w:hAnsi="Helvetica LT Std"/>
      <w:b/>
      <w:caps/>
      <w:color w:val="000000"/>
      <w:sz w:val="36"/>
      <w:szCs w:val="32"/>
    </w:rPr>
  </w:style>
  <w:style w:type="paragraph" w:customStyle="1" w:styleId="HB">
    <w:name w:val="HB"/>
    <w:rsid w:val="00EE7914"/>
    <w:pPr>
      <w:spacing w:before="120" w:after="240"/>
      <w:jc w:val="center"/>
    </w:pPr>
    <w:rPr>
      <w:rFonts w:ascii="Helvetica LT Std" w:hAnsi="Helvetica LT Std"/>
      <w:b/>
      <w:color w:val="5F5F5F"/>
      <w:w w:val="105"/>
      <w:sz w:val="32"/>
    </w:rPr>
  </w:style>
  <w:style w:type="paragraph" w:customStyle="1" w:styleId="HC">
    <w:name w:val="HC"/>
    <w:autoRedefine/>
    <w:rsid w:val="00EE7914"/>
    <w:pPr>
      <w:tabs>
        <w:tab w:val="left" w:pos="284"/>
      </w:tabs>
      <w:spacing w:before="120" w:after="120"/>
      <w:jc w:val="center"/>
    </w:pPr>
    <w:rPr>
      <w:rFonts w:ascii="Helvetica LT Std" w:hAnsi="Helvetica LT Std"/>
      <w:b/>
      <w:color w:val="000000"/>
      <w:w w:val="110"/>
      <w:sz w:val="26"/>
    </w:rPr>
  </w:style>
  <w:style w:type="paragraph" w:customStyle="1" w:styleId="PR">
    <w:name w:val="PR"/>
    <w:rsid w:val="00EE7914"/>
    <w:pPr>
      <w:spacing w:after="240"/>
      <w:ind w:left="360" w:firstLine="288"/>
      <w:jc w:val="both"/>
    </w:pPr>
    <w:rPr>
      <w:rFonts w:ascii="Adobe Caslon Pro" w:hAnsi="Adobe Caslon Pro"/>
      <w:color w:val="000000"/>
      <w:sz w:val="14"/>
    </w:rPr>
  </w:style>
  <w:style w:type="paragraph" w:customStyle="1" w:styleId="PO">
    <w:name w:val="PO"/>
    <w:rsid w:val="00EE7914"/>
    <w:pPr>
      <w:spacing w:after="240"/>
      <w:jc w:val="both"/>
    </w:pPr>
    <w:rPr>
      <w:rFonts w:ascii="Perpetua Std" w:hAnsi="Perpetua Std"/>
      <w:color w:val="000000"/>
      <w:w w:val="95"/>
      <w:szCs w:val="16"/>
    </w:rPr>
  </w:style>
  <w:style w:type="paragraph" w:customStyle="1" w:styleId="GUIDEX">
    <w:name w:val="GUIDEX"/>
    <w:rsid w:val="00EE7914"/>
    <w:pPr>
      <w:tabs>
        <w:tab w:val="left" w:leader="dot" w:pos="4565"/>
        <w:tab w:val="center" w:pos="5760"/>
        <w:tab w:val="center" w:pos="7200"/>
        <w:tab w:val="center" w:pos="8640"/>
      </w:tabs>
    </w:pPr>
    <w:rPr>
      <w:rFonts w:ascii="Helvetica LT Std" w:hAnsi="Helvetica LT Std"/>
      <w:bCs/>
      <w:color w:val="000000"/>
    </w:rPr>
  </w:style>
  <w:style w:type="paragraph" w:customStyle="1" w:styleId="Index2">
    <w:name w:val="Index2"/>
    <w:basedOn w:val="Index"/>
    <w:autoRedefine/>
    <w:rsid w:val="00EE7914"/>
    <w:pPr>
      <w:tabs>
        <w:tab w:val="clear" w:pos="240"/>
        <w:tab w:val="clear" w:pos="480"/>
        <w:tab w:val="clear" w:pos="720"/>
        <w:tab w:val="right" w:pos="4680"/>
      </w:tabs>
    </w:pPr>
  </w:style>
  <w:style w:type="paragraph" w:customStyle="1" w:styleId="PCB">
    <w:name w:val="PCB"/>
    <w:autoRedefine/>
    <w:rsid w:val="00EE7914"/>
    <w:pPr>
      <w:numPr>
        <w:numId w:val="26"/>
      </w:numPr>
      <w:tabs>
        <w:tab w:val="left" w:pos="720"/>
      </w:tabs>
      <w:spacing w:after="240"/>
      <w:ind w:left="720"/>
      <w:jc w:val="both"/>
    </w:pPr>
    <w:rPr>
      <w:rFonts w:ascii="Perpetua Std" w:hAnsi="Perpetua Std"/>
      <w:color w:val="000000"/>
      <w:sz w:val="24"/>
    </w:rPr>
  </w:style>
  <w:style w:type="paragraph" w:customStyle="1" w:styleId="PFB">
    <w:name w:val="PFB"/>
    <w:autoRedefine/>
    <w:rsid w:val="00EE7914"/>
    <w:pPr>
      <w:numPr>
        <w:numId w:val="28"/>
      </w:numPr>
      <w:tabs>
        <w:tab w:val="left" w:pos="1080"/>
      </w:tabs>
      <w:spacing w:after="240"/>
      <w:ind w:left="1080"/>
      <w:jc w:val="both"/>
    </w:pPr>
    <w:rPr>
      <w:rFonts w:ascii="Perpetua Std" w:eastAsia="Calibri" w:hAnsi="Perpetua Std"/>
      <w:sz w:val="24"/>
      <w:szCs w:val="22"/>
    </w:rPr>
  </w:style>
  <w:style w:type="paragraph" w:customStyle="1" w:styleId="PerpetuaStd">
    <w:name w:val="Perpetua Std"/>
    <w:aliases w:val="10 pt"/>
    <w:next w:val="NoSpacing"/>
    <w:autoRedefine/>
    <w:rsid w:val="00EE7914"/>
    <w:rPr>
      <w:rFonts w:ascii="Perpetua Std" w:hAnsi="Perpetua Std"/>
    </w:rPr>
  </w:style>
  <w:style w:type="paragraph" w:styleId="NoSpacing">
    <w:name w:val="No Spacing"/>
    <w:qFormat/>
    <w:rsid w:val="00EE7914"/>
    <w:rPr>
      <w:rFonts w:ascii="Perpetua" w:hAnsi="Perpetua"/>
    </w:rPr>
  </w:style>
  <w:style w:type="paragraph" w:customStyle="1" w:styleId="PCA">
    <w:name w:val="PCA"/>
    <w:rsid w:val="00EE7914"/>
    <w:pPr>
      <w:numPr>
        <w:numId w:val="29"/>
      </w:numPr>
      <w:tabs>
        <w:tab w:val="left" w:pos="720"/>
      </w:tabs>
      <w:spacing w:after="240"/>
      <w:jc w:val="both"/>
    </w:pPr>
    <w:rPr>
      <w:rFonts w:ascii="Perpetua Std" w:hAnsi="Perpetua Std"/>
      <w:sz w:val="24"/>
    </w:rPr>
  </w:style>
  <w:style w:type="paragraph" w:customStyle="1" w:styleId="PHB">
    <w:name w:val="PHB"/>
    <w:rsid w:val="00EE7914"/>
    <w:pPr>
      <w:numPr>
        <w:numId w:val="30"/>
      </w:numPr>
      <w:tabs>
        <w:tab w:val="left" w:pos="360"/>
      </w:tabs>
      <w:spacing w:after="240"/>
      <w:jc w:val="both"/>
    </w:pPr>
    <w:rPr>
      <w:rFonts w:ascii="Perpetua Std" w:hAnsi="Perpetua Std"/>
      <w:sz w:val="24"/>
    </w:rPr>
  </w:style>
  <w:style w:type="character" w:customStyle="1" w:styleId="IndexChar">
    <w:name w:val="Index Char"/>
    <w:link w:val="Index"/>
    <w:rsid w:val="00EE7914"/>
    <w:rPr>
      <w:rFonts w:ascii="Perpetua Std" w:eastAsia="MS Mincho" w:hAnsi="Perpetua Std"/>
      <w:color w:val="000000"/>
      <w:sz w:val="22"/>
    </w:rPr>
  </w:style>
  <w:style w:type="paragraph" w:styleId="EndnoteText">
    <w:name w:val="endnote text"/>
    <w:basedOn w:val="Normal"/>
    <w:link w:val="EndnoteTextChar"/>
    <w:semiHidden/>
    <w:unhideWhenUsed/>
    <w:rsid w:val="006C1EE9"/>
  </w:style>
  <w:style w:type="character" w:customStyle="1" w:styleId="EndnoteTextChar">
    <w:name w:val="Endnote Text Char"/>
    <w:basedOn w:val="DefaultParagraphFont"/>
    <w:link w:val="EndnoteText"/>
    <w:semiHidden/>
    <w:rsid w:val="006C1EE9"/>
    <w:rPr>
      <w:rFonts w:ascii="Perpetua Std" w:hAnsi="Perpetua Std"/>
    </w:rPr>
  </w:style>
  <w:style w:type="character" w:styleId="EndnoteReference">
    <w:name w:val="endnote reference"/>
    <w:basedOn w:val="DefaultParagraphFont"/>
    <w:semiHidden/>
    <w:unhideWhenUsed/>
    <w:rsid w:val="006C1E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ump\AppData\Roaming\Microsoft\Templates\Tax%20Fac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28DF2-9F34-4239-9845-8A511E731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Tax Facts</Template>
  <TotalTime>0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8535. Who must pay the estimated tax and what penalties are imposed for underpayment of the tax?</vt:lpstr>
    </vt:vector>
  </TitlesOfParts>
  <Company>Summit Business Media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8535. Who must pay the estimated tax and what penalties are imposed for underpayment of the tax?</dc:title>
  <dc:creator>Alexis Long</dc:creator>
  <cp:lastModifiedBy>rcline</cp:lastModifiedBy>
  <cp:revision>2</cp:revision>
  <cp:lastPrinted>2014-08-15T20:14:00Z</cp:lastPrinted>
  <dcterms:created xsi:type="dcterms:W3CDTF">2014-08-20T17:53:00Z</dcterms:created>
  <dcterms:modified xsi:type="dcterms:W3CDTF">2014-08-20T17:53:00Z</dcterms:modified>
</cp:coreProperties>
</file>