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96" w:rsidRPr="00DA7596" w:rsidRDefault="00DA7596" w:rsidP="00097038">
      <w:pPr>
        <w:pStyle w:val="PA"/>
        <w:rPr>
          <w:b/>
        </w:rPr>
      </w:pPr>
      <w:bookmarkStart w:id="0" w:name="_GoBack"/>
      <w:bookmarkEnd w:id="0"/>
      <w:r w:rsidRPr="00DA7596">
        <w:rPr>
          <w:b/>
        </w:rPr>
        <w:t>8531.  Who qualifies for the child tax credit?</w:t>
      </w:r>
    </w:p>
    <w:p w:rsidR="00427B74" w:rsidRPr="00532B64" w:rsidRDefault="00723223" w:rsidP="00097038">
      <w:pPr>
        <w:pStyle w:val="PA"/>
      </w:pPr>
      <w:r w:rsidRPr="00532B64">
        <w:t xml:space="preserve">The child tax credit is generally a nonrefundable tax credit that </w:t>
      </w:r>
      <w:r w:rsidR="00377919" w:rsidRPr="00532B64">
        <w:t xml:space="preserve">is available for each “qualifying child” (defined below) of eligible taxpayers who meet certain income requirements. </w:t>
      </w:r>
      <w:r w:rsidRPr="00532B64">
        <w:t xml:space="preserve">The child tax credit may be refundable to the extent that the taxpayer has three or more qualifying children or for a certain portion of the taxpayer’s earned income (see below). </w:t>
      </w:r>
      <w:r w:rsidR="00377919" w:rsidRPr="00532B64">
        <w:t>The child tax credit is $1,000</w:t>
      </w:r>
      <w:r w:rsidR="00342884">
        <w:t xml:space="preserve"> per child</w:t>
      </w:r>
      <w:r w:rsidR="00377919" w:rsidRPr="00532B64">
        <w:t>.</w:t>
      </w:r>
      <w:r w:rsidR="00377919" w:rsidRPr="00532B64">
        <w:rPr>
          <w:vertAlign w:val="superscript"/>
        </w:rPr>
        <w:footnoteReference w:id="1"/>
      </w:r>
    </w:p>
    <w:p w:rsidR="00427B74" w:rsidRPr="00532B64" w:rsidRDefault="00377919">
      <w:pPr>
        <w:pStyle w:val="PA"/>
      </w:pPr>
      <w:r w:rsidRPr="00532B64">
        <w:t xml:space="preserve">The term </w:t>
      </w:r>
      <w:r w:rsidRPr="00532B64">
        <w:rPr>
          <w:i/>
          <w:iCs/>
        </w:rPr>
        <w:t>qualifying child</w:t>
      </w:r>
      <w:r w:rsidRPr="00532B64">
        <w:t xml:space="preserve"> means a “qualifying child” of the taxpayer (as defined under IRC Section 152(c) – see below) who has not attained the age of 17</w:t>
      </w:r>
      <w:r w:rsidR="00342884">
        <w:t>;</w:t>
      </w:r>
      <w:r w:rsidRPr="00532B64">
        <w:rPr>
          <w:vertAlign w:val="superscript"/>
        </w:rPr>
        <w:footnoteReference w:id="2"/>
      </w:r>
      <w:r w:rsidR="00342884">
        <w:t xml:space="preserve"> and</w:t>
      </w:r>
    </w:p>
    <w:p w:rsidR="00427B74" w:rsidRPr="00532B64" w:rsidRDefault="00377919" w:rsidP="00097038">
      <w:pPr>
        <w:pStyle w:val="PC"/>
      </w:pPr>
      <w:r w:rsidRPr="00532B64">
        <w:t>(1)</w:t>
      </w:r>
      <w:r w:rsidRPr="00532B64">
        <w:tab/>
      </w:r>
      <w:proofErr w:type="gramStart"/>
      <w:r w:rsidRPr="00532B64">
        <w:t>who</w:t>
      </w:r>
      <w:proofErr w:type="gramEnd"/>
      <w:r w:rsidRPr="00532B64">
        <w:t xml:space="preserve"> is the taxpayer’s “child” (see below) or a descendant of such a child, </w:t>
      </w:r>
      <w:r w:rsidRPr="00532B64">
        <w:rPr>
          <w:i/>
          <w:iCs/>
        </w:rPr>
        <w:t>or</w:t>
      </w:r>
      <w:r w:rsidRPr="00532B64">
        <w:t xml:space="preserve"> the taxpayer’s brother, sister, stepbrother, or stepsister or a descendant of any such relative;</w:t>
      </w:r>
    </w:p>
    <w:p w:rsidR="00427B74" w:rsidRPr="00532B64" w:rsidRDefault="00377919" w:rsidP="00097038">
      <w:pPr>
        <w:pStyle w:val="PC"/>
      </w:pPr>
      <w:r w:rsidRPr="00532B64">
        <w:t>(2)</w:t>
      </w:r>
      <w:r w:rsidRPr="00532B64">
        <w:tab/>
      </w:r>
      <w:proofErr w:type="gramStart"/>
      <w:r w:rsidRPr="00532B64">
        <w:t>who</w:t>
      </w:r>
      <w:proofErr w:type="gramEnd"/>
      <w:r w:rsidRPr="00532B64">
        <w:t xml:space="preserve"> has the same principal place of abode as the taxpayer for more than one-half of the taxable year; </w:t>
      </w:r>
      <w:r w:rsidRPr="00532B64">
        <w:rPr>
          <w:i/>
          <w:iCs/>
        </w:rPr>
        <w:t>and</w:t>
      </w:r>
    </w:p>
    <w:p w:rsidR="00427B74" w:rsidRPr="00532B64" w:rsidRDefault="00377919" w:rsidP="00097038">
      <w:pPr>
        <w:pStyle w:val="PC"/>
      </w:pPr>
      <w:r w:rsidRPr="00532B64">
        <w:t>(3)</w:t>
      </w:r>
      <w:r w:rsidRPr="00532B64">
        <w:tab/>
      </w:r>
      <w:proofErr w:type="gramStart"/>
      <w:r w:rsidRPr="00532B64">
        <w:t>who</w:t>
      </w:r>
      <w:proofErr w:type="gramEnd"/>
      <w:r w:rsidRPr="00532B64">
        <w:t xml:space="preserve"> has </w:t>
      </w:r>
      <w:r w:rsidRPr="00532B64">
        <w:rPr>
          <w:iCs/>
        </w:rPr>
        <w:t>not</w:t>
      </w:r>
      <w:r w:rsidRPr="00532B64">
        <w:t xml:space="preserve"> </w:t>
      </w:r>
      <w:r w:rsidR="00704D91" w:rsidRPr="00532B64">
        <w:t>provided over one-half of</w:t>
      </w:r>
      <w:r w:rsidR="00427B74" w:rsidRPr="00532B64">
        <w:t xml:space="preserve"> </w:t>
      </w:r>
      <w:r w:rsidR="00704D91" w:rsidRPr="00532B64">
        <w:t>his or her</w:t>
      </w:r>
      <w:r w:rsidRPr="00532B64">
        <w:t xml:space="preserve"> own support for the calendar year in which the taxpayer’s taxable year begins.</w:t>
      </w:r>
      <w:r w:rsidRPr="00532B64">
        <w:rPr>
          <w:vertAlign w:val="superscript"/>
        </w:rPr>
        <w:footnoteReference w:id="3"/>
      </w:r>
    </w:p>
    <w:p w:rsidR="00427B74" w:rsidRPr="00532B64" w:rsidRDefault="00377919" w:rsidP="00097038">
      <w:pPr>
        <w:pStyle w:val="PB"/>
      </w:pPr>
      <w:r w:rsidRPr="00532B64">
        <w:t>Additionally, a qualifying child must be either a citizen or a resident of the United States.</w:t>
      </w:r>
      <w:r w:rsidRPr="00532B64">
        <w:rPr>
          <w:vertAlign w:val="superscript"/>
        </w:rPr>
        <w:footnoteReference w:id="4"/>
      </w:r>
    </w:p>
    <w:p w:rsidR="00427B74" w:rsidRPr="00532B64" w:rsidRDefault="00377919" w:rsidP="00097038">
      <w:pPr>
        <w:pStyle w:val="PA"/>
      </w:pPr>
      <w:r w:rsidRPr="00532B64">
        <w:t>The term “child” means an individual who is: (1) a son, daughter, stepson, or stepdaughter of the taxpayer; or (2) an “eligible foster child” of the taxpayer.</w:t>
      </w:r>
      <w:r w:rsidRPr="00532B64">
        <w:rPr>
          <w:vertAlign w:val="superscript"/>
        </w:rPr>
        <w:footnoteReference w:id="5"/>
      </w:r>
      <w:r w:rsidRPr="00532B64">
        <w:t xml:space="preserve"> An “eligible foster child” means an individual who is placed with the taxpayer by an authorized placement agency or by judgment decree, or other order of any court of competent jurisdiction.</w:t>
      </w:r>
      <w:r w:rsidRPr="00532B64">
        <w:rPr>
          <w:vertAlign w:val="superscript"/>
        </w:rPr>
        <w:footnoteReference w:id="6"/>
      </w:r>
      <w:r w:rsidRPr="00532B64">
        <w:t xml:space="preserve"> Any adopted children of the taxpayer are treated the same as natural born children.</w:t>
      </w:r>
      <w:r w:rsidRPr="00532B64">
        <w:rPr>
          <w:vertAlign w:val="superscript"/>
        </w:rPr>
        <w:footnoteReference w:id="7"/>
      </w:r>
    </w:p>
    <w:p w:rsidR="00427B74" w:rsidRPr="00532B64" w:rsidRDefault="00377919" w:rsidP="00097038">
      <w:pPr>
        <w:pStyle w:val="PA"/>
      </w:pPr>
      <w:r w:rsidRPr="00532B64">
        <w:t>The amount of the credit is reduced for taxpayers whose modified adjusted gross income (MAGI) exceeds certain levels. A taxpayer’s MAGI is</w:t>
      </w:r>
      <w:r w:rsidR="00427B74" w:rsidRPr="00532B64">
        <w:t xml:space="preserve"> </w:t>
      </w:r>
      <w:r w:rsidRPr="00532B64">
        <w:t>adjusted gross income without regard to the exclusions for income derived from certain foreign sources or sources within United States possessions. The credit amount is reduced by $50 for every $1</w:t>
      </w:r>
      <w:r w:rsidR="00A6424C">
        <w:t>,</w:t>
      </w:r>
      <w:r w:rsidRPr="00532B64">
        <w:t>000 or fraction thereof, by which the taxpayer’s MAGI exceeds the following threshold amounts: $110,000 for married taxpayers filing jointly, $75,000 for unmarried individuals, and $55,000 for married taxpayers filing separately.</w:t>
      </w:r>
      <w:r w:rsidRPr="00532B64">
        <w:rPr>
          <w:vertAlign w:val="superscript"/>
        </w:rPr>
        <w:footnoteReference w:id="8"/>
      </w:r>
    </w:p>
    <w:p w:rsidR="00427B74" w:rsidRPr="00532B64" w:rsidRDefault="00377919" w:rsidP="00097038">
      <w:pPr>
        <w:pStyle w:val="PA"/>
      </w:pPr>
      <w:r w:rsidRPr="00532B64">
        <w:lastRenderedPageBreak/>
        <w:t xml:space="preserve">The child tax credit is </w:t>
      </w:r>
      <w:r w:rsidR="00DF6285">
        <w:t xml:space="preserve">also </w:t>
      </w:r>
      <w:r w:rsidRPr="00532B64">
        <w:t>refundable</w:t>
      </w:r>
      <w:r w:rsidR="00D9094A">
        <w:t>.  If the child tax credit exceeds the taxpayer’s tax liability, a taxpayer with one or two children</w:t>
      </w:r>
      <w:r w:rsidRPr="00532B64">
        <w:t xml:space="preserve"> </w:t>
      </w:r>
      <w:r w:rsidR="00D9094A">
        <w:t>can receive a refund of the lesser of the unused amount of the credit or 15% of earned income in excess of $3,000.</w:t>
      </w:r>
      <w:r w:rsidR="008C1CF2">
        <w:rPr>
          <w:rStyle w:val="EndnoteReference"/>
        </w:rPr>
        <w:endnoteReference w:id="1"/>
      </w:r>
      <w:r w:rsidR="008C1CF2" w:rsidRPr="00532B64" w:rsidDel="00D9094A">
        <w:t xml:space="preserve"> </w:t>
      </w:r>
      <w:r w:rsidRPr="00532B64">
        <w:t xml:space="preserve"> For families with three or more qualifying children, </w:t>
      </w:r>
      <w:r w:rsidR="008C1CF2">
        <w:t xml:space="preserve">the amount of the refundable credit is the </w:t>
      </w:r>
      <w:proofErr w:type="gramStart"/>
      <w:r w:rsidR="008C1CF2">
        <w:t>greater</w:t>
      </w:r>
      <w:proofErr w:type="gramEnd"/>
      <w:r w:rsidR="008C1CF2">
        <w:t xml:space="preserve"> of 15% of earned income over $3,000 or the sum of social security and Medicare taxes paid minus the earned income credit. </w:t>
      </w:r>
    </w:p>
    <w:p w:rsidR="009D1694" w:rsidRDefault="00377919" w:rsidP="00097038">
      <w:pPr>
        <w:pStyle w:val="PA"/>
      </w:pPr>
      <w:r w:rsidRPr="00532B64">
        <w:t xml:space="preserve">The nonrefundable child tax credit can be claimed against the individual’s regular income tax </w:t>
      </w:r>
      <w:r w:rsidRPr="00532B64">
        <w:rPr>
          <w:i/>
          <w:iCs/>
        </w:rPr>
        <w:t>and</w:t>
      </w:r>
      <w:r w:rsidRPr="00532B64">
        <w:t xml:space="preserve"> alternative minimum tax (see</w:t>
      </w:r>
      <w:r w:rsidR="00704D91" w:rsidRPr="00532B64">
        <w:t xml:space="preserve"> </w:t>
      </w:r>
      <w:r w:rsidR="000465CA" w:rsidRPr="00532B64">
        <w:t>Q 85</w:t>
      </w:r>
      <w:r w:rsidR="00704D91" w:rsidRPr="00532B64">
        <w:t xml:space="preserve">37 and </w:t>
      </w:r>
      <w:r w:rsidR="000465CA" w:rsidRPr="00532B64">
        <w:t>Q 85</w:t>
      </w:r>
      <w:r w:rsidR="00704D91" w:rsidRPr="00532B64">
        <w:t>38</w:t>
      </w:r>
      <w:r w:rsidRPr="00532B64">
        <w:t>). The</w:t>
      </w:r>
      <w:r w:rsidR="00427B74" w:rsidRPr="00532B64">
        <w:t xml:space="preserve"> </w:t>
      </w:r>
      <w:r w:rsidRPr="00532B64">
        <w:t>tax credit cannot exceed the excess of (i) the sum of the taxpayer’s regular tax plus the alternative minimum tax over (ii) the sum of the taxpayer’s nonrefundable personal credits (other than the child tax credit, adoption credit, and saver’s credit) and the foreign tax credit for the taxable year.</w:t>
      </w:r>
      <w:r w:rsidR="009D1694">
        <w:rPr>
          <w:rStyle w:val="EndnoteReference"/>
        </w:rPr>
        <w:endnoteReference w:id="2"/>
      </w:r>
      <w:r w:rsidR="009D1694">
        <w:t xml:space="preserve">  </w:t>
      </w:r>
      <w:r w:rsidR="000A3810">
        <w:t>Finally</w:t>
      </w:r>
      <w:r w:rsidRPr="00532B64">
        <w:t>, the refundable child tax credit is not required to be reduced by the amount of the taxpayer’s alternative minimum tax.</w:t>
      </w:r>
      <w:r w:rsidR="009D1694">
        <w:rPr>
          <w:rStyle w:val="EndnoteReference"/>
        </w:rPr>
        <w:endnoteReference w:id="3"/>
      </w:r>
      <w:r w:rsidR="009D1694">
        <w:t xml:space="preserve">  </w:t>
      </w:r>
    </w:p>
    <w:p w:rsidR="00427B74" w:rsidRPr="00532B64" w:rsidRDefault="00377919" w:rsidP="00097038">
      <w:pPr>
        <w:pStyle w:val="PA"/>
      </w:pPr>
      <w:r w:rsidRPr="00532B64">
        <w:t>Some additional restrictions applying to the child tax credit include: (1) an individual’s tax return must identify the name and taxpayer identification number (Social Security number) of the child for whom the credit is claimed; and (2) the credit may be claimed only for a full taxable year, unless the taxable year is cut short by the death of the taxpayer.</w:t>
      </w:r>
      <w:r w:rsidR="009D1694">
        <w:rPr>
          <w:rStyle w:val="EndnoteReference"/>
        </w:rPr>
        <w:endnoteReference w:id="4"/>
      </w:r>
    </w:p>
    <w:p w:rsidR="00427B74" w:rsidRPr="00532B64" w:rsidRDefault="00377919" w:rsidP="00097038">
      <w:pPr>
        <w:pStyle w:val="PA"/>
      </w:pPr>
      <w:r w:rsidRPr="00532B64">
        <w:t xml:space="preserve">For purposes of applying a uniform method of determining when a child attains a specific age, the </w:t>
      </w:r>
      <w:r w:rsidR="00723223" w:rsidRPr="00532B64">
        <w:t xml:space="preserve">IRS </w:t>
      </w:r>
      <w:r w:rsidRPr="00532B64">
        <w:t>has ruled that a child attains a given age on the anniversary of the date that the child was born (e.g., a child born on January 1, 1987, attains the age of 17 on January 1, 2004).</w:t>
      </w:r>
      <w:r w:rsidR="00FD6CC8">
        <w:rPr>
          <w:rStyle w:val="EndnoteReference"/>
        </w:rPr>
        <w:endnoteReference w:id="5"/>
      </w:r>
      <w:r w:rsidRPr="00532B64">
        <w:t xml:space="preserve"> </w:t>
      </w:r>
    </w:p>
    <w:p w:rsidR="004E7836" w:rsidRPr="004E7836" w:rsidRDefault="004E7836" w:rsidP="004E7836"/>
    <w:sectPr w:rsidR="004E7836" w:rsidRPr="004E7836" w:rsidSect="00271A21">
      <w:footnotePr>
        <w:numRestart w:val="eachPage"/>
      </w:footnotePr>
      <w:endnotePr>
        <w:numFmt w:val="decimal"/>
        <w:numStart w:val="9"/>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22A" w:rsidRDefault="0005622A" w:rsidP="006F074C">
      <w:r>
        <w:separator/>
      </w:r>
    </w:p>
  </w:endnote>
  <w:endnote w:type="continuationSeparator" w:id="0">
    <w:p w:rsidR="0005622A" w:rsidRDefault="0005622A" w:rsidP="006F074C">
      <w:r>
        <w:continuationSeparator/>
      </w:r>
    </w:p>
  </w:endnote>
  <w:endnote w:id="1">
    <w:p w:rsidR="008C1CF2" w:rsidRPr="000A3810" w:rsidRDefault="008C1CF2">
      <w:pPr>
        <w:pStyle w:val="EndnoteText"/>
        <w:rPr>
          <w:sz w:val="16"/>
          <w:szCs w:val="16"/>
        </w:rPr>
      </w:pPr>
      <w:r>
        <w:rPr>
          <w:rStyle w:val="EndnoteReference"/>
        </w:rPr>
        <w:endnoteRef/>
      </w:r>
      <w:r>
        <w:t xml:space="preserve"> </w:t>
      </w:r>
      <w:r>
        <w:rPr>
          <w:sz w:val="16"/>
          <w:szCs w:val="16"/>
        </w:rPr>
        <w:t xml:space="preserve">IRC Sec. </w:t>
      </w:r>
      <w:proofErr w:type="gramStart"/>
      <w:r>
        <w:rPr>
          <w:sz w:val="16"/>
          <w:szCs w:val="16"/>
        </w:rPr>
        <w:t>24(d</w:t>
      </w:r>
      <w:proofErr w:type="gramEnd"/>
      <w:r>
        <w:rPr>
          <w:sz w:val="16"/>
          <w:szCs w:val="16"/>
        </w:rPr>
        <w:t>).</w:t>
      </w:r>
    </w:p>
  </w:endnote>
  <w:endnote w:id="2">
    <w:p w:rsidR="009D1694" w:rsidRDefault="009D1694">
      <w:pPr>
        <w:pStyle w:val="EndnoteText"/>
      </w:pPr>
      <w:r>
        <w:rPr>
          <w:rStyle w:val="EndnoteReference"/>
        </w:rPr>
        <w:endnoteRef/>
      </w:r>
      <w:r>
        <w:t xml:space="preserve"> </w:t>
      </w:r>
      <w:r w:rsidRPr="000A3810">
        <w:rPr>
          <w:sz w:val="16"/>
          <w:szCs w:val="16"/>
        </w:rPr>
        <w:t>IRC Sec. 24(b</w:t>
      </w:r>
      <w:proofErr w:type="gramStart"/>
      <w:r w:rsidRPr="000A3810">
        <w:rPr>
          <w:sz w:val="16"/>
          <w:szCs w:val="16"/>
        </w:rPr>
        <w:t>)(</w:t>
      </w:r>
      <w:proofErr w:type="gramEnd"/>
      <w:r w:rsidRPr="000A3810">
        <w:rPr>
          <w:sz w:val="16"/>
          <w:szCs w:val="16"/>
        </w:rPr>
        <w:t>3).</w:t>
      </w:r>
    </w:p>
  </w:endnote>
  <w:endnote w:id="3">
    <w:p w:rsidR="009D1694" w:rsidRDefault="009D1694">
      <w:pPr>
        <w:pStyle w:val="EndnoteText"/>
      </w:pPr>
      <w:r>
        <w:rPr>
          <w:rStyle w:val="EndnoteReference"/>
        </w:rPr>
        <w:endnoteRef/>
      </w:r>
      <w:r>
        <w:t xml:space="preserve"> </w:t>
      </w:r>
      <w:r>
        <w:rPr>
          <w:sz w:val="16"/>
          <w:szCs w:val="16"/>
        </w:rPr>
        <w:t>IRC Sec. 24(d</w:t>
      </w:r>
      <w:proofErr w:type="gramStart"/>
      <w:r>
        <w:rPr>
          <w:sz w:val="16"/>
          <w:szCs w:val="16"/>
        </w:rPr>
        <w:t>)(</w:t>
      </w:r>
      <w:proofErr w:type="gramEnd"/>
      <w:r>
        <w:rPr>
          <w:sz w:val="16"/>
          <w:szCs w:val="16"/>
        </w:rPr>
        <w:t>1</w:t>
      </w:r>
      <w:r w:rsidRPr="000A3810">
        <w:rPr>
          <w:sz w:val="16"/>
          <w:szCs w:val="16"/>
        </w:rPr>
        <w:t>).</w:t>
      </w:r>
    </w:p>
  </w:endnote>
  <w:endnote w:id="4">
    <w:p w:rsidR="009D1694" w:rsidRDefault="009D1694">
      <w:pPr>
        <w:pStyle w:val="EndnoteText"/>
      </w:pPr>
      <w:r>
        <w:rPr>
          <w:rStyle w:val="EndnoteReference"/>
        </w:rPr>
        <w:endnoteRef/>
      </w:r>
      <w:r>
        <w:t xml:space="preserve"> </w:t>
      </w:r>
      <w:r w:rsidRPr="000A3810">
        <w:rPr>
          <w:sz w:val="16"/>
          <w:szCs w:val="16"/>
        </w:rPr>
        <w:t xml:space="preserve">IRC </w:t>
      </w:r>
      <w:proofErr w:type="spellStart"/>
      <w:r w:rsidRPr="000A3810">
        <w:rPr>
          <w:sz w:val="16"/>
          <w:szCs w:val="16"/>
        </w:rPr>
        <w:t>Secs</w:t>
      </w:r>
      <w:proofErr w:type="spellEnd"/>
      <w:r w:rsidRPr="000A3810">
        <w:rPr>
          <w:sz w:val="16"/>
          <w:szCs w:val="16"/>
        </w:rPr>
        <w:t>. 24(e), 24(f).</w:t>
      </w:r>
    </w:p>
  </w:endnote>
  <w:endnote w:id="5">
    <w:p w:rsidR="00FD6CC8" w:rsidRPr="00160977" w:rsidRDefault="00FD6CC8" w:rsidP="00FD6CC8">
      <w:pPr>
        <w:pStyle w:val="PQ"/>
      </w:pPr>
      <w:r>
        <w:rPr>
          <w:rStyle w:val="EndnoteReference"/>
        </w:rPr>
        <w:endnoteRef/>
      </w:r>
      <w:r>
        <w:t xml:space="preserve"> </w:t>
      </w:r>
      <w:r w:rsidRPr="000A3810">
        <w:rPr>
          <w:sz w:val="16"/>
          <w:szCs w:val="16"/>
        </w:rPr>
        <w:t>Rev. Rul. 2003-72, 2003-2 CB 346</w:t>
      </w:r>
      <w:r w:rsidRPr="00160977">
        <w:t>.</w:t>
      </w:r>
    </w:p>
    <w:p w:rsidR="00FD6CC8" w:rsidRDefault="00FD6CC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22A" w:rsidRDefault="0005622A" w:rsidP="006F074C">
      <w:r>
        <w:separator/>
      </w:r>
    </w:p>
  </w:footnote>
  <w:footnote w:type="continuationSeparator" w:id="0">
    <w:p w:rsidR="0005622A" w:rsidRDefault="0005622A" w:rsidP="006F074C">
      <w:r>
        <w:continuationSeparator/>
      </w:r>
    </w:p>
  </w:footnote>
  <w:footnote w:id="1">
    <w:p w:rsidR="00D73FC0" w:rsidRPr="00160977" w:rsidRDefault="00D73FC0" w:rsidP="00FE5D9D">
      <w:pPr>
        <w:pStyle w:val="PQ"/>
      </w:pPr>
      <w:r w:rsidRPr="00160977">
        <w:footnoteRef/>
      </w:r>
      <w:r w:rsidR="00F16B3F">
        <w:t>.</w:t>
      </w:r>
      <w:r w:rsidR="00F16B3F">
        <w:tab/>
      </w:r>
      <w:r w:rsidR="00FE5D9D" w:rsidRPr="00160977">
        <w:t xml:space="preserve">IRC Sec. </w:t>
      </w:r>
      <w:proofErr w:type="gramStart"/>
      <w:r w:rsidR="00FE5D9D" w:rsidRPr="00160977">
        <w:t>24(a</w:t>
      </w:r>
      <w:proofErr w:type="gramEnd"/>
      <w:r w:rsidR="00FE5D9D" w:rsidRPr="00160977">
        <w:t>).</w:t>
      </w:r>
    </w:p>
  </w:footnote>
  <w:footnote w:id="2">
    <w:p w:rsidR="00D73FC0" w:rsidRPr="00160977" w:rsidRDefault="00D73FC0" w:rsidP="00FE5D9D">
      <w:pPr>
        <w:pStyle w:val="PQ"/>
      </w:pPr>
      <w:r w:rsidRPr="00160977">
        <w:footnoteRef/>
      </w:r>
      <w:r w:rsidR="00F16B3F">
        <w:t>.</w:t>
      </w:r>
      <w:r w:rsidR="00F16B3F">
        <w:tab/>
      </w:r>
      <w:r w:rsidR="00FE5D9D" w:rsidRPr="00160977">
        <w:t>IRC Sec. 24(c)(1).</w:t>
      </w:r>
    </w:p>
  </w:footnote>
  <w:footnote w:id="3">
    <w:p w:rsidR="00D73FC0" w:rsidRPr="00160977" w:rsidRDefault="00D73FC0" w:rsidP="00FE5D9D">
      <w:pPr>
        <w:pStyle w:val="PQ"/>
      </w:pPr>
      <w:r w:rsidRPr="00160977">
        <w:footnoteRef/>
      </w:r>
      <w:r w:rsidR="00F16B3F">
        <w:t>.</w:t>
      </w:r>
      <w:r w:rsidR="00F16B3F">
        <w:tab/>
      </w:r>
      <w:r w:rsidR="00FE5D9D" w:rsidRPr="00160977">
        <w:t>IRC Sec. 152(c).</w:t>
      </w:r>
    </w:p>
  </w:footnote>
  <w:footnote w:id="4">
    <w:p w:rsidR="00D73FC0" w:rsidRPr="00160977" w:rsidRDefault="00D73FC0" w:rsidP="00FE5D9D">
      <w:pPr>
        <w:pStyle w:val="PQ"/>
      </w:pPr>
      <w:r w:rsidRPr="00160977">
        <w:footnoteRef/>
      </w:r>
      <w:r w:rsidR="00F16B3F">
        <w:t>.</w:t>
      </w:r>
      <w:r w:rsidR="00F16B3F">
        <w:tab/>
      </w:r>
      <w:r w:rsidR="00FE5D9D" w:rsidRPr="00160977">
        <w:t>IRC Sec. 24(c)(2).</w:t>
      </w:r>
    </w:p>
  </w:footnote>
  <w:footnote w:id="5">
    <w:p w:rsidR="00D73FC0" w:rsidRPr="00160977" w:rsidRDefault="00D73FC0" w:rsidP="00FE5D9D">
      <w:pPr>
        <w:pStyle w:val="PQ"/>
      </w:pPr>
      <w:r w:rsidRPr="00160977">
        <w:footnoteRef/>
      </w:r>
      <w:r w:rsidR="00F16B3F">
        <w:t>.</w:t>
      </w:r>
      <w:r w:rsidR="00F16B3F">
        <w:tab/>
      </w:r>
      <w:r w:rsidR="00FE5D9D" w:rsidRPr="00160977">
        <w:t>IRC Sec. 152(f)(1).</w:t>
      </w:r>
    </w:p>
  </w:footnote>
  <w:footnote w:id="6">
    <w:p w:rsidR="00D73FC0" w:rsidRPr="00160977" w:rsidRDefault="00D73FC0" w:rsidP="00FE5D9D">
      <w:pPr>
        <w:pStyle w:val="PQ"/>
      </w:pPr>
      <w:r w:rsidRPr="00160977">
        <w:footnoteRef/>
      </w:r>
      <w:r w:rsidR="00F16B3F">
        <w:t>.</w:t>
      </w:r>
      <w:r w:rsidR="00F16B3F">
        <w:tab/>
      </w:r>
      <w:r w:rsidR="00FE5D9D" w:rsidRPr="00160977">
        <w:t>IRC Sec. 152(f</w:t>
      </w:r>
      <w:proofErr w:type="gramStart"/>
      <w:r w:rsidR="00FE5D9D" w:rsidRPr="00160977">
        <w:t>)(</w:t>
      </w:r>
      <w:proofErr w:type="gramEnd"/>
      <w:r w:rsidR="00FE5D9D" w:rsidRPr="00160977">
        <w:t>1)(C).</w:t>
      </w:r>
    </w:p>
  </w:footnote>
  <w:footnote w:id="7">
    <w:p w:rsidR="00D73FC0" w:rsidRPr="00160977" w:rsidRDefault="00D73FC0" w:rsidP="00FE5D9D">
      <w:pPr>
        <w:pStyle w:val="PQ"/>
      </w:pPr>
      <w:r w:rsidRPr="00160977">
        <w:footnoteRef/>
      </w:r>
      <w:r w:rsidR="00F16B3F">
        <w:t>.</w:t>
      </w:r>
      <w:r w:rsidR="00F16B3F">
        <w:tab/>
      </w:r>
      <w:r w:rsidR="00FE5D9D" w:rsidRPr="00160977">
        <w:t>IRC Sec. 152(f)(1)(B).</w:t>
      </w:r>
    </w:p>
  </w:footnote>
  <w:footnote w:id="8">
    <w:p w:rsidR="00D73FC0" w:rsidRPr="00160977" w:rsidRDefault="00D73FC0" w:rsidP="00FE5D9D">
      <w:pPr>
        <w:pStyle w:val="PQ"/>
      </w:pPr>
      <w:r w:rsidRPr="00160977">
        <w:footnoteRef/>
      </w:r>
      <w:r w:rsidR="00F16B3F">
        <w:t>.</w:t>
      </w:r>
      <w:r w:rsidR="00F16B3F">
        <w:tab/>
      </w:r>
      <w:r w:rsidR="00FE5D9D" w:rsidRPr="00160977">
        <w:t>IRC Sec. 24(b)(2).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1">
    <w:nsid w:val="01B65D04"/>
    <w:multiLevelType w:val="hybridMultilevel"/>
    <w:tmpl w:val="5EC056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152CDE"/>
    <w:multiLevelType w:val="hybridMultilevel"/>
    <w:tmpl w:val="16CE5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072E76"/>
    <w:multiLevelType w:val="hybridMultilevel"/>
    <w:tmpl w:val="BFF46874"/>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37DC"/>
    <w:multiLevelType w:val="hybridMultilevel"/>
    <w:tmpl w:val="ED42B8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4763935"/>
    <w:multiLevelType w:val="hybridMultilevel"/>
    <w:tmpl w:val="AD063F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6311D34"/>
    <w:multiLevelType w:val="hybridMultilevel"/>
    <w:tmpl w:val="3A401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75B1591"/>
    <w:multiLevelType w:val="hybridMultilevel"/>
    <w:tmpl w:val="87483F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ABB0CF0"/>
    <w:multiLevelType w:val="hybridMultilevel"/>
    <w:tmpl w:val="88D830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8893208"/>
    <w:multiLevelType w:val="hybridMultilevel"/>
    <w:tmpl w:val="914C9F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B6625A"/>
    <w:multiLevelType w:val="hybridMultilevel"/>
    <w:tmpl w:val="CEB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BE334A"/>
    <w:multiLevelType w:val="hybridMultilevel"/>
    <w:tmpl w:val="D98E95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2084466"/>
    <w:multiLevelType w:val="hybridMultilevel"/>
    <w:tmpl w:val="5C1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B2CBE"/>
    <w:multiLevelType w:val="singleLevel"/>
    <w:tmpl w:val="0409000F"/>
    <w:lvl w:ilvl="0">
      <w:start w:val="1"/>
      <w:numFmt w:val="decimal"/>
      <w:lvlText w:val="%1."/>
      <w:lvlJc w:val="left"/>
      <w:pPr>
        <w:tabs>
          <w:tab w:val="num" w:pos="360"/>
        </w:tabs>
        <w:ind w:left="360" w:hanging="360"/>
      </w:pPr>
    </w:lvl>
  </w:abstractNum>
  <w:abstractNum w:abstractNumId="20">
    <w:nsid w:val="54DC48F3"/>
    <w:multiLevelType w:val="hybridMultilevel"/>
    <w:tmpl w:val="20CEF1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DCD4640"/>
    <w:multiLevelType w:val="hybridMultilevel"/>
    <w:tmpl w:val="D84A26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3E765D5"/>
    <w:multiLevelType w:val="hybridMultilevel"/>
    <w:tmpl w:val="E3A6E1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6A546E28"/>
    <w:multiLevelType w:val="hybridMultilevel"/>
    <w:tmpl w:val="881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686C85"/>
    <w:multiLevelType w:val="hybridMultilevel"/>
    <w:tmpl w:val="B7E8C7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nsid w:val="7F257861"/>
    <w:multiLevelType w:val="hybridMultilevel"/>
    <w:tmpl w:val="1AA0E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9"/>
  </w:num>
  <w:num w:numId="3">
    <w:abstractNumId w:val="24"/>
  </w:num>
  <w:num w:numId="4">
    <w:abstractNumId w:val="15"/>
  </w:num>
  <w:num w:numId="5">
    <w:abstractNumId w:val="9"/>
  </w:num>
  <w:num w:numId="6">
    <w:abstractNumId w:val="18"/>
  </w:num>
  <w:num w:numId="7">
    <w:abstractNumId w:val="21"/>
  </w:num>
  <w:num w:numId="8">
    <w:abstractNumId w:val="6"/>
  </w:num>
  <w:num w:numId="9">
    <w:abstractNumId w:val="1"/>
  </w:num>
  <w:num w:numId="10">
    <w:abstractNumId w:val="14"/>
  </w:num>
  <w:num w:numId="11">
    <w:abstractNumId w:val="20"/>
  </w:num>
  <w:num w:numId="12">
    <w:abstractNumId w:val="26"/>
  </w:num>
  <w:num w:numId="13">
    <w:abstractNumId w:val="5"/>
  </w:num>
  <w:num w:numId="14">
    <w:abstractNumId w:val="22"/>
  </w:num>
  <w:num w:numId="15">
    <w:abstractNumId w:val="8"/>
  </w:num>
  <w:num w:numId="16">
    <w:abstractNumId w:val="7"/>
  </w:num>
  <w:num w:numId="17">
    <w:abstractNumId w:val="11"/>
  </w:num>
  <w:num w:numId="18">
    <w:abstractNumId w:val="17"/>
  </w:num>
  <w:num w:numId="19">
    <w:abstractNumId w:val="10"/>
  </w:num>
  <w:num w:numId="20">
    <w:abstractNumId w:val="23"/>
  </w:num>
  <w:num w:numId="21">
    <w:abstractNumId w:val="2"/>
  </w:num>
  <w:num w:numId="22">
    <w:abstractNumId w:val="13"/>
  </w:num>
  <w:num w:numId="23">
    <w:abstractNumId w:val="28"/>
  </w:num>
  <w:num w:numId="24">
    <w:abstractNumId w:val="12"/>
  </w:num>
  <w:num w:numId="25">
    <w:abstractNumId w:val="19"/>
  </w:num>
  <w:num w:numId="26">
    <w:abstractNumId w:val="3"/>
  </w:num>
  <w:num w:numId="27">
    <w:abstractNumId w:val="4"/>
  </w:num>
  <w:num w:numId="28">
    <w:abstractNumId w:val="25"/>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numFmt w:val="decimal"/>
    <w:numStart w:val="9"/>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FB"/>
    <w:rsid w:val="00007B43"/>
    <w:rsid w:val="0001174C"/>
    <w:rsid w:val="000201D4"/>
    <w:rsid w:val="00037960"/>
    <w:rsid w:val="00043906"/>
    <w:rsid w:val="000465CA"/>
    <w:rsid w:val="0005622A"/>
    <w:rsid w:val="0008018A"/>
    <w:rsid w:val="00083567"/>
    <w:rsid w:val="000925AB"/>
    <w:rsid w:val="00097038"/>
    <w:rsid w:val="000A2B66"/>
    <w:rsid w:val="000A3810"/>
    <w:rsid w:val="000A6CAB"/>
    <w:rsid w:val="000B6372"/>
    <w:rsid w:val="000D258D"/>
    <w:rsid w:val="000D6146"/>
    <w:rsid w:val="000E6BBB"/>
    <w:rsid w:val="00114F5B"/>
    <w:rsid w:val="00116205"/>
    <w:rsid w:val="001244E9"/>
    <w:rsid w:val="00141FAB"/>
    <w:rsid w:val="001469A2"/>
    <w:rsid w:val="0017741C"/>
    <w:rsid w:val="00190E67"/>
    <w:rsid w:val="00197132"/>
    <w:rsid w:val="0019748C"/>
    <w:rsid w:val="001A05A6"/>
    <w:rsid w:val="001A2727"/>
    <w:rsid w:val="001B6BBA"/>
    <w:rsid w:val="001D0595"/>
    <w:rsid w:val="001E1AC3"/>
    <w:rsid w:val="001F52F4"/>
    <w:rsid w:val="002000C6"/>
    <w:rsid w:val="00202A9B"/>
    <w:rsid w:val="00202F50"/>
    <w:rsid w:val="002040BD"/>
    <w:rsid w:val="00212ED8"/>
    <w:rsid w:val="00231C02"/>
    <w:rsid w:val="00242C92"/>
    <w:rsid w:val="00243A4C"/>
    <w:rsid w:val="00264FD9"/>
    <w:rsid w:val="00271A21"/>
    <w:rsid w:val="00287277"/>
    <w:rsid w:val="002B58F5"/>
    <w:rsid w:val="002E46AF"/>
    <w:rsid w:val="002E4BFB"/>
    <w:rsid w:val="002F6745"/>
    <w:rsid w:val="00310C38"/>
    <w:rsid w:val="0032167A"/>
    <w:rsid w:val="00323E1D"/>
    <w:rsid w:val="00327BDB"/>
    <w:rsid w:val="00342884"/>
    <w:rsid w:val="00355BC4"/>
    <w:rsid w:val="00360557"/>
    <w:rsid w:val="00377919"/>
    <w:rsid w:val="003B1DF7"/>
    <w:rsid w:val="003B450F"/>
    <w:rsid w:val="003B65D8"/>
    <w:rsid w:val="003C1548"/>
    <w:rsid w:val="003F00D7"/>
    <w:rsid w:val="003F05E5"/>
    <w:rsid w:val="00407D8B"/>
    <w:rsid w:val="004167F4"/>
    <w:rsid w:val="00427B74"/>
    <w:rsid w:val="00435B94"/>
    <w:rsid w:val="00456493"/>
    <w:rsid w:val="004629F4"/>
    <w:rsid w:val="00474C65"/>
    <w:rsid w:val="00484642"/>
    <w:rsid w:val="00487A39"/>
    <w:rsid w:val="004C5F26"/>
    <w:rsid w:val="004E7836"/>
    <w:rsid w:val="00501B90"/>
    <w:rsid w:val="00511E10"/>
    <w:rsid w:val="00521FCB"/>
    <w:rsid w:val="005223B9"/>
    <w:rsid w:val="00532B64"/>
    <w:rsid w:val="005611F2"/>
    <w:rsid w:val="00565698"/>
    <w:rsid w:val="0056737A"/>
    <w:rsid w:val="00573817"/>
    <w:rsid w:val="00590D68"/>
    <w:rsid w:val="005A7B2C"/>
    <w:rsid w:val="005B0930"/>
    <w:rsid w:val="005B53F2"/>
    <w:rsid w:val="005C64AC"/>
    <w:rsid w:val="005E18C8"/>
    <w:rsid w:val="005E1E5E"/>
    <w:rsid w:val="005E1F03"/>
    <w:rsid w:val="005E3CAD"/>
    <w:rsid w:val="006070A8"/>
    <w:rsid w:val="006152E6"/>
    <w:rsid w:val="0061599B"/>
    <w:rsid w:val="00660C3B"/>
    <w:rsid w:val="00664BF0"/>
    <w:rsid w:val="00667AE6"/>
    <w:rsid w:val="00677EB6"/>
    <w:rsid w:val="0068069B"/>
    <w:rsid w:val="00695FA3"/>
    <w:rsid w:val="006B1DE0"/>
    <w:rsid w:val="006C1680"/>
    <w:rsid w:val="006C6B16"/>
    <w:rsid w:val="006D650C"/>
    <w:rsid w:val="006E0E1D"/>
    <w:rsid w:val="006E34CD"/>
    <w:rsid w:val="006F074C"/>
    <w:rsid w:val="00704D91"/>
    <w:rsid w:val="00723223"/>
    <w:rsid w:val="00725A6D"/>
    <w:rsid w:val="007343A3"/>
    <w:rsid w:val="007865B2"/>
    <w:rsid w:val="00786F5E"/>
    <w:rsid w:val="00794370"/>
    <w:rsid w:val="007B5A4F"/>
    <w:rsid w:val="007D39E8"/>
    <w:rsid w:val="007D6D13"/>
    <w:rsid w:val="007D7748"/>
    <w:rsid w:val="0080472F"/>
    <w:rsid w:val="00804FC2"/>
    <w:rsid w:val="00816705"/>
    <w:rsid w:val="008316E9"/>
    <w:rsid w:val="00835C56"/>
    <w:rsid w:val="00844B76"/>
    <w:rsid w:val="00845761"/>
    <w:rsid w:val="008864E6"/>
    <w:rsid w:val="008A42E4"/>
    <w:rsid w:val="008B16D5"/>
    <w:rsid w:val="008C1CF2"/>
    <w:rsid w:val="008C2D90"/>
    <w:rsid w:val="008D4B69"/>
    <w:rsid w:val="008E11EC"/>
    <w:rsid w:val="008E4CF6"/>
    <w:rsid w:val="008F7667"/>
    <w:rsid w:val="009003A2"/>
    <w:rsid w:val="00920178"/>
    <w:rsid w:val="00944E4E"/>
    <w:rsid w:val="0095488D"/>
    <w:rsid w:val="00957231"/>
    <w:rsid w:val="009626DD"/>
    <w:rsid w:val="0097483E"/>
    <w:rsid w:val="009938E4"/>
    <w:rsid w:val="009C0B32"/>
    <w:rsid w:val="009C73DD"/>
    <w:rsid w:val="009D1694"/>
    <w:rsid w:val="009F75A1"/>
    <w:rsid w:val="00A0154E"/>
    <w:rsid w:val="00A02AF1"/>
    <w:rsid w:val="00A03817"/>
    <w:rsid w:val="00A05FEA"/>
    <w:rsid w:val="00A2685C"/>
    <w:rsid w:val="00A268AC"/>
    <w:rsid w:val="00A2724C"/>
    <w:rsid w:val="00A44BAD"/>
    <w:rsid w:val="00A46971"/>
    <w:rsid w:val="00A6424C"/>
    <w:rsid w:val="00A82E6D"/>
    <w:rsid w:val="00B15D08"/>
    <w:rsid w:val="00B20CBB"/>
    <w:rsid w:val="00B47F6C"/>
    <w:rsid w:val="00B8207E"/>
    <w:rsid w:val="00B97105"/>
    <w:rsid w:val="00BA22F5"/>
    <w:rsid w:val="00BC19F7"/>
    <w:rsid w:val="00BC5792"/>
    <w:rsid w:val="00BC633A"/>
    <w:rsid w:val="00BC6F51"/>
    <w:rsid w:val="00BE10D0"/>
    <w:rsid w:val="00BE317F"/>
    <w:rsid w:val="00BE7F1A"/>
    <w:rsid w:val="00BF4BC0"/>
    <w:rsid w:val="00C15AF0"/>
    <w:rsid w:val="00C1615A"/>
    <w:rsid w:val="00C3032D"/>
    <w:rsid w:val="00C360BE"/>
    <w:rsid w:val="00C37632"/>
    <w:rsid w:val="00C5496F"/>
    <w:rsid w:val="00C64FEC"/>
    <w:rsid w:val="00C7768E"/>
    <w:rsid w:val="00C92346"/>
    <w:rsid w:val="00CA0268"/>
    <w:rsid w:val="00CB055F"/>
    <w:rsid w:val="00CB0AF1"/>
    <w:rsid w:val="00CD22F0"/>
    <w:rsid w:val="00CF5092"/>
    <w:rsid w:val="00D0195D"/>
    <w:rsid w:val="00D418E3"/>
    <w:rsid w:val="00D51611"/>
    <w:rsid w:val="00D72E05"/>
    <w:rsid w:val="00D73FC0"/>
    <w:rsid w:val="00D81626"/>
    <w:rsid w:val="00D9094A"/>
    <w:rsid w:val="00DA7596"/>
    <w:rsid w:val="00DB3BF0"/>
    <w:rsid w:val="00DC02E2"/>
    <w:rsid w:val="00DC0B50"/>
    <w:rsid w:val="00DD22D9"/>
    <w:rsid w:val="00DD68C3"/>
    <w:rsid w:val="00DE67F6"/>
    <w:rsid w:val="00DF4691"/>
    <w:rsid w:val="00DF6285"/>
    <w:rsid w:val="00DF78BD"/>
    <w:rsid w:val="00E20C72"/>
    <w:rsid w:val="00E23001"/>
    <w:rsid w:val="00E260EE"/>
    <w:rsid w:val="00E308BF"/>
    <w:rsid w:val="00E34083"/>
    <w:rsid w:val="00E345E3"/>
    <w:rsid w:val="00E57EB0"/>
    <w:rsid w:val="00E67D60"/>
    <w:rsid w:val="00E70D9A"/>
    <w:rsid w:val="00E76573"/>
    <w:rsid w:val="00E8579E"/>
    <w:rsid w:val="00E9415A"/>
    <w:rsid w:val="00EA0B82"/>
    <w:rsid w:val="00EA727D"/>
    <w:rsid w:val="00EB0911"/>
    <w:rsid w:val="00EB2D4F"/>
    <w:rsid w:val="00EB47DD"/>
    <w:rsid w:val="00EC085E"/>
    <w:rsid w:val="00EC6008"/>
    <w:rsid w:val="00ED2B32"/>
    <w:rsid w:val="00EE366E"/>
    <w:rsid w:val="00EE4324"/>
    <w:rsid w:val="00F03C24"/>
    <w:rsid w:val="00F118CC"/>
    <w:rsid w:val="00F16B3F"/>
    <w:rsid w:val="00F21AEE"/>
    <w:rsid w:val="00F66D50"/>
    <w:rsid w:val="00F96BEC"/>
    <w:rsid w:val="00F9714F"/>
    <w:rsid w:val="00FA1799"/>
    <w:rsid w:val="00FB7360"/>
    <w:rsid w:val="00FC74E6"/>
    <w:rsid w:val="00FD6CC8"/>
    <w:rsid w:val="00FD7753"/>
    <w:rsid w:val="00FE0996"/>
    <w:rsid w:val="00FE5D9D"/>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FA1799"/>
    <w:rPr>
      <w:rFonts w:ascii="Perpetua Std" w:hAnsi="Perpetua Std"/>
    </w:rPr>
  </w:style>
  <w:style w:type="paragraph" w:styleId="Heading1">
    <w:name w:val="heading 1"/>
    <w:basedOn w:val="Normal"/>
    <w:next w:val="Normal"/>
    <w:link w:val="Heading1Char"/>
    <w:qFormat/>
    <w:rsid w:val="00FA1799"/>
    <w:pPr>
      <w:keepNext/>
      <w:outlineLvl w:val="0"/>
    </w:pPr>
    <w:rPr>
      <w:b/>
    </w:rPr>
  </w:style>
  <w:style w:type="paragraph" w:styleId="Heading2">
    <w:name w:val="heading 2"/>
    <w:basedOn w:val="Normal"/>
    <w:next w:val="Normal"/>
    <w:link w:val="Heading2Char"/>
    <w:qFormat/>
    <w:rsid w:val="00FA1799"/>
    <w:pPr>
      <w:keepNext/>
      <w:spacing w:before="240" w:after="60"/>
      <w:outlineLvl w:val="1"/>
    </w:pPr>
    <w:rPr>
      <w:rFonts w:ascii="Arial" w:hAnsi="Arial"/>
      <w:b/>
      <w:i/>
      <w:sz w:val="24"/>
    </w:rPr>
  </w:style>
  <w:style w:type="paragraph" w:styleId="Heading3">
    <w:name w:val="heading 3"/>
    <w:basedOn w:val="Normal"/>
    <w:next w:val="Normal"/>
    <w:link w:val="Heading3Char"/>
    <w:qFormat/>
    <w:rsid w:val="00FA179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FA1799"/>
    <w:pPr>
      <w:spacing w:after="240"/>
      <w:jc w:val="both"/>
    </w:pPr>
    <w:rPr>
      <w:rFonts w:ascii="Helvetica LT Std" w:hAnsi="Helvetica LT Std"/>
      <w:b/>
      <w:color w:val="000000"/>
      <w:sz w:val="26"/>
    </w:rPr>
  </w:style>
  <w:style w:type="paragraph" w:customStyle="1" w:styleId="PA">
    <w:name w:val="PA"/>
    <w:next w:val="Normal"/>
    <w:link w:val="PAChar"/>
    <w:rsid w:val="00FA1799"/>
    <w:pPr>
      <w:spacing w:after="240"/>
      <w:ind w:firstLine="288"/>
      <w:jc w:val="both"/>
    </w:pPr>
    <w:rPr>
      <w:rFonts w:ascii="Perpetua Std" w:hAnsi="Perpetua Std"/>
      <w:color w:val="000000"/>
      <w:sz w:val="24"/>
    </w:rPr>
  </w:style>
  <w:style w:type="character" w:customStyle="1" w:styleId="PAChar">
    <w:name w:val="PA Char"/>
    <w:link w:val="PA"/>
    <w:rsid w:val="00FA1799"/>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FA1799"/>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FA1799"/>
    <w:pPr>
      <w:tabs>
        <w:tab w:val="left" w:pos="720"/>
      </w:tabs>
      <w:spacing w:after="240"/>
      <w:ind w:left="720" w:hanging="360"/>
      <w:jc w:val="both"/>
    </w:pPr>
    <w:rPr>
      <w:rFonts w:ascii="Perpetua Std" w:hAnsi="Perpetua Std"/>
      <w:color w:val="000000"/>
      <w:sz w:val="24"/>
    </w:rPr>
  </w:style>
  <w:style w:type="paragraph" w:customStyle="1" w:styleId="HD">
    <w:name w:val="HD"/>
    <w:rsid w:val="00FA1799"/>
    <w:pPr>
      <w:suppressAutoHyphens/>
      <w:spacing w:before="120"/>
      <w:jc w:val="center"/>
    </w:pPr>
    <w:rPr>
      <w:rFonts w:ascii="Helvetica LT Std" w:hAnsi="Helvetica LT Std"/>
      <w:sz w:val="26"/>
      <w:szCs w:val="18"/>
    </w:rPr>
  </w:style>
  <w:style w:type="paragraph" w:customStyle="1" w:styleId="PN">
    <w:name w:val="PN"/>
    <w:rsid w:val="00FA1799"/>
    <w:pPr>
      <w:spacing w:after="240"/>
      <w:ind w:left="720" w:firstLine="288"/>
      <w:jc w:val="both"/>
    </w:pPr>
    <w:rPr>
      <w:rFonts w:ascii="Perpetua Std" w:eastAsia="MS Mincho" w:hAnsi="Perpetua Std"/>
      <w:color w:val="000000"/>
    </w:rPr>
  </w:style>
  <w:style w:type="paragraph" w:customStyle="1" w:styleId="PB">
    <w:name w:val="PB"/>
    <w:rsid w:val="00FA1799"/>
    <w:pPr>
      <w:spacing w:after="240"/>
      <w:jc w:val="both"/>
    </w:pPr>
    <w:rPr>
      <w:rFonts w:ascii="Perpetua Std" w:hAnsi="Perpetua Std"/>
      <w:color w:val="000000"/>
      <w:sz w:val="24"/>
    </w:rPr>
  </w:style>
  <w:style w:type="paragraph" w:customStyle="1" w:styleId="PQ">
    <w:name w:val="PQ"/>
    <w:link w:val="PQChar"/>
    <w:rsid w:val="00FA1799"/>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FA1799"/>
    <w:rPr>
      <w:rFonts w:ascii="Adobe Caslon Pro" w:hAnsi="Adobe Caslon Pro"/>
      <w:color w:val="000000"/>
      <w:sz w:val="14"/>
    </w:rPr>
  </w:style>
  <w:style w:type="paragraph" w:customStyle="1" w:styleId="PF">
    <w:name w:val="PF"/>
    <w:rsid w:val="00FA1799"/>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FA1799"/>
    <w:pPr>
      <w:spacing w:before="120" w:after="120"/>
      <w:jc w:val="center"/>
    </w:pPr>
    <w:rPr>
      <w:rFonts w:ascii="Helvetica LT Std" w:hAnsi="Helvetica LT Std"/>
      <w:sz w:val="24"/>
    </w:rPr>
  </w:style>
  <w:style w:type="table" w:styleId="TableGrid">
    <w:name w:val="Table Grid"/>
    <w:basedOn w:val="TableNormal"/>
    <w:rsid w:val="00FA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FA1799"/>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FA1799"/>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FA1799"/>
    <w:pPr>
      <w:spacing w:before="144"/>
      <w:jc w:val="both"/>
    </w:pPr>
    <w:rPr>
      <w:noProof/>
    </w:rPr>
  </w:style>
  <w:style w:type="paragraph" w:customStyle="1" w:styleId="PD">
    <w:name w:val="PD"/>
    <w:rsid w:val="00FA1799"/>
    <w:pPr>
      <w:spacing w:after="240"/>
      <w:ind w:left="720" w:firstLine="288"/>
      <w:jc w:val="both"/>
    </w:pPr>
    <w:rPr>
      <w:rFonts w:ascii="Perpetua Std" w:hAnsi="Perpetua Std"/>
      <w:color w:val="000000"/>
      <w:sz w:val="24"/>
    </w:rPr>
  </w:style>
  <w:style w:type="paragraph" w:customStyle="1" w:styleId="PE">
    <w:name w:val="PE"/>
    <w:rsid w:val="00FA1799"/>
    <w:pPr>
      <w:spacing w:after="240"/>
      <w:ind w:left="720"/>
      <w:jc w:val="both"/>
    </w:pPr>
    <w:rPr>
      <w:rFonts w:ascii="Perpetua Std" w:hAnsi="Perpetua Std"/>
      <w:color w:val="000000"/>
      <w:sz w:val="24"/>
    </w:rPr>
  </w:style>
  <w:style w:type="paragraph" w:customStyle="1" w:styleId="PG">
    <w:name w:val="PG"/>
    <w:rsid w:val="00FA1799"/>
    <w:pPr>
      <w:spacing w:after="240"/>
      <w:ind w:left="360"/>
      <w:jc w:val="both"/>
    </w:pPr>
    <w:rPr>
      <w:rFonts w:ascii="Perpetua Std" w:hAnsi="Perpetua Std"/>
      <w:color w:val="000000"/>
      <w:sz w:val="24"/>
    </w:rPr>
  </w:style>
  <w:style w:type="paragraph" w:customStyle="1" w:styleId="PH">
    <w:name w:val="PH"/>
    <w:rsid w:val="00FA1799"/>
    <w:pPr>
      <w:tabs>
        <w:tab w:val="left" w:pos="360"/>
      </w:tabs>
      <w:spacing w:after="240"/>
      <w:ind w:left="360" w:hanging="360"/>
      <w:jc w:val="both"/>
    </w:pPr>
    <w:rPr>
      <w:rFonts w:ascii="Perpetua Std" w:hAnsi="Perpetua Std"/>
      <w:color w:val="000000"/>
      <w:sz w:val="24"/>
    </w:rPr>
  </w:style>
  <w:style w:type="paragraph" w:customStyle="1" w:styleId="PI">
    <w:name w:val="PI"/>
    <w:rsid w:val="00FA1799"/>
    <w:pPr>
      <w:spacing w:after="240"/>
      <w:ind w:left="360" w:hanging="360"/>
      <w:jc w:val="both"/>
    </w:pPr>
    <w:rPr>
      <w:rFonts w:ascii="Perpetua Std" w:hAnsi="Perpetua Std"/>
      <w:color w:val="000000"/>
      <w:sz w:val="24"/>
    </w:rPr>
  </w:style>
  <w:style w:type="paragraph" w:customStyle="1" w:styleId="PK">
    <w:name w:val="PK"/>
    <w:rsid w:val="00FA1799"/>
    <w:pPr>
      <w:spacing w:after="240"/>
      <w:ind w:left="360" w:firstLine="288"/>
      <w:jc w:val="both"/>
    </w:pPr>
    <w:rPr>
      <w:rFonts w:ascii="Perpetua Std" w:hAnsi="Perpetua Std"/>
      <w:color w:val="000000"/>
      <w:sz w:val="24"/>
    </w:rPr>
  </w:style>
  <w:style w:type="paragraph" w:customStyle="1" w:styleId="PL">
    <w:name w:val="PL"/>
    <w:rsid w:val="00FA1799"/>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FA1799"/>
    <w:pPr>
      <w:spacing w:after="240"/>
      <w:ind w:left="432" w:right="432" w:firstLine="432"/>
      <w:jc w:val="both"/>
    </w:pPr>
    <w:rPr>
      <w:rFonts w:ascii="Minion Pro" w:hAnsi="Minion Pro"/>
    </w:rPr>
  </w:style>
  <w:style w:type="paragraph" w:customStyle="1" w:styleId="TOC">
    <w:name w:val="TOC"/>
    <w:autoRedefine/>
    <w:rsid w:val="00FA1799"/>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FA1799"/>
    <w:pPr>
      <w:tabs>
        <w:tab w:val="clear" w:pos="1440"/>
        <w:tab w:val="clear" w:pos="8640"/>
        <w:tab w:val="left" w:pos="240"/>
        <w:tab w:val="left" w:pos="480"/>
        <w:tab w:val="right" w:leader="dot" w:pos="4680"/>
      </w:tabs>
      <w:ind w:left="0" w:firstLine="0"/>
    </w:pPr>
    <w:rPr>
      <w:sz w:val="22"/>
    </w:rPr>
  </w:style>
  <w:style w:type="paragraph" w:customStyle="1" w:styleId="PP">
    <w:name w:val="PP"/>
    <w:rsid w:val="00FA1799"/>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FA1799"/>
    <w:pPr>
      <w:spacing w:after="240"/>
      <w:jc w:val="center"/>
    </w:pPr>
    <w:rPr>
      <w:rFonts w:ascii="Helvetica LT Std" w:hAnsi="Helvetica LT Std"/>
      <w:b/>
      <w:caps/>
      <w:color w:val="000000"/>
      <w:sz w:val="36"/>
      <w:szCs w:val="32"/>
    </w:rPr>
  </w:style>
  <w:style w:type="paragraph" w:customStyle="1" w:styleId="HB">
    <w:name w:val="HB"/>
    <w:rsid w:val="00FA1799"/>
    <w:pPr>
      <w:spacing w:before="120" w:after="240"/>
      <w:jc w:val="center"/>
    </w:pPr>
    <w:rPr>
      <w:rFonts w:ascii="Helvetica LT Std" w:hAnsi="Helvetica LT Std"/>
      <w:b/>
      <w:color w:val="5F5F5F"/>
      <w:w w:val="105"/>
      <w:sz w:val="32"/>
    </w:rPr>
  </w:style>
  <w:style w:type="paragraph" w:customStyle="1" w:styleId="HC">
    <w:name w:val="HC"/>
    <w:autoRedefine/>
    <w:rsid w:val="00FA1799"/>
    <w:pPr>
      <w:tabs>
        <w:tab w:val="left" w:pos="284"/>
      </w:tabs>
      <w:spacing w:before="120" w:after="120"/>
      <w:jc w:val="center"/>
    </w:pPr>
    <w:rPr>
      <w:rFonts w:ascii="Helvetica LT Std" w:hAnsi="Helvetica LT Std"/>
      <w:b/>
      <w:color w:val="000000"/>
      <w:w w:val="110"/>
      <w:sz w:val="26"/>
    </w:rPr>
  </w:style>
  <w:style w:type="paragraph" w:customStyle="1" w:styleId="PR">
    <w:name w:val="PR"/>
    <w:rsid w:val="00FA1799"/>
    <w:pPr>
      <w:spacing w:after="240"/>
      <w:ind w:left="360" w:firstLine="288"/>
      <w:jc w:val="both"/>
    </w:pPr>
    <w:rPr>
      <w:rFonts w:ascii="Adobe Caslon Pro" w:hAnsi="Adobe Caslon Pro"/>
      <w:color w:val="000000"/>
      <w:sz w:val="14"/>
    </w:rPr>
  </w:style>
  <w:style w:type="paragraph" w:customStyle="1" w:styleId="PO">
    <w:name w:val="PO"/>
    <w:rsid w:val="00FA1799"/>
    <w:pPr>
      <w:spacing w:after="240"/>
      <w:jc w:val="both"/>
    </w:pPr>
    <w:rPr>
      <w:rFonts w:ascii="Perpetua Std" w:hAnsi="Perpetua Std"/>
      <w:color w:val="000000"/>
      <w:w w:val="95"/>
      <w:szCs w:val="16"/>
    </w:rPr>
  </w:style>
  <w:style w:type="paragraph" w:customStyle="1" w:styleId="GUIDEX">
    <w:name w:val="GUIDEX"/>
    <w:rsid w:val="00FA1799"/>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FA1799"/>
    <w:pPr>
      <w:tabs>
        <w:tab w:val="clear" w:pos="240"/>
        <w:tab w:val="clear" w:pos="480"/>
        <w:tab w:val="clear" w:pos="720"/>
        <w:tab w:val="right" w:pos="4680"/>
      </w:tabs>
    </w:pPr>
  </w:style>
  <w:style w:type="paragraph" w:customStyle="1" w:styleId="PCB">
    <w:name w:val="PCB"/>
    <w:autoRedefine/>
    <w:rsid w:val="00FA1799"/>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FA1799"/>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FA1799"/>
    <w:rPr>
      <w:rFonts w:ascii="Perpetua Std" w:hAnsi="Perpetua Std"/>
    </w:rPr>
  </w:style>
  <w:style w:type="paragraph" w:styleId="NoSpacing">
    <w:name w:val="No Spacing"/>
    <w:qFormat/>
    <w:rsid w:val="00FA1799"/>
    <w:rPr>
      <w:rFonts w:ascii="Perpetua" w:hAnsi="Perpetua"/>
    </w:rPr>
  </w:style>
  <w:style w:type="paragraph" w:customStyle="1" w:styleId="PCA">
    <w:name w:val="PCA"/>
    <w:rsid w:val="00FA1799"/>
    <w:pPr>
      <w:numPr>
        <w:numId w:val="29"/>
      </w:numPr>
      <w:tabs>
        <w:tab w:val="left" w:pos="720"/>
      </w:tabs>
      <w:spacing w:after="240"/>
      <w:jc w:val="both"/>
    </w:pPr>
    <w:rPr>
      <w:rFonts w:ascii="Perpetua Std" w:hAnsi="Perpetua Std"/>
      <w:sz w:val="24"/>
    </w:rPr>
  </w:style>
  <w:style w:type="paragraph" w:customStyle="1" w:styleId="PHB">
    <w:name w:val="PHB"/>
    <w:rsid w:val="00FA1799"/>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FA1799"/>
    <w:rPr>
      <w:rFonts w:ascii="Perpetua Std" w:eastAsia="MS Mincho" w:hAnsi="Perpetua Std"/>
      <w:color w:val="000000"/>
      <w:sz w:val="22"/>
    </w:rPr>
  </w:style>
  <w:style w:type="paragraph" w:styleId="EndnoteText">
    <w:name w:val="endnote text"/>
    <w:basedOn w:val="Normal"/>
    <w:link w:val="EndnoteTextChar"/>
    <w:semiHidden/>
    <w:unhideWhenUsed/>
    <w:rsid w:val="008C1CF2"/>
  </w:style>
  <w:style w:type="character" w:customStyle="1" w:styleId="EndnoteTextChar">
    <w:name w:val="Endnote Text Char"/>
    <w:basedOn w:val="DefaultParagraphFont"/>
    <w:link w:val="EndnoteText"/>
    <w:semiHidden/>
    <w:rsid w:val="008C1CF2"/>
    <w:rPr>
      <w:rFonts w:ascii="Perpetua Std" w:hAnsi="Perpetua Std"/>
    </w:rPr>
  </w:style>
  <w:style w:type="character" w:styleId="EndnoteReference">
    <w:name w:val="endnote reference"/>
    <w:basedOn w:val="DefaultParagraphFont"/>
    <w:semiHidden/>
    <w:unhideWhenUsed/>
    <w:rsid w:val="008C1C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FA1799"/>
    <w:rPr>
      <w:rFonts w:ascii="Perpetua Std" w:hAnsi="Perpetua Std"/>
    </w:rPr>
  </w:style>
  <w:style w:type="paragraph" w:styleId="Heading1">
    <w:name w:val="heading 1"/>
    <w:basedOn w:val="Normal"/>
    <w:next w:val="Normal"/>
    <w:link w:val="Heading1Char"/>
    <w:qFormat/>
    <w:rsid w:val="00FA1799"/>
    <w:pPr>
      <w:keepNext/>
      <w:outlineLvl w:val="0"/>
    </w:pPr>
    <w:rPr>
      <w:b/>
    </w:rPr>
  </w:style>
  <w:style w:type="paragraph" w:styleId="Heading2">
    <w:name w:val="heading 2"/>
    <w:basedOn w:val="Normal"/>
    <w:next w:val="Normal"/>
    <w:link w:val="Heading2Char"/>
    <w:qFormat/>
    <w:rsid w:val="00FA1799"/>
    <w:pPr>
      <w:keepNext/>
      <w:spacing w:before="240" w:after="60"/>
      <w:outlineLvl w:val="1"/>
    </w:pPr>
    <w:rPr>
      <w:rFonts w:ascii="Arial" w:hAnsi="Arial"/>
      <w:b/>
      <w:i/>
      <w:sz w:val="24"/>
    </w:rPr>
  </w:style>
  <w:style w:type="paragraph" w:styleId="Heading3">
    <w:name w:val="heading 3"/>
    <w:basedOn w:val="Normal"/>
    <w:next w:val="Normal"/>
    <w:link w:val="Heading3Char"/>
    <w:qFormat/>
    <w:rsid w:val="00FA1799"/>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FA1799"/>
    <w:pPr>
      <w:spacing w:after="240"/>
      <w:jc w:val="both"/>
    </w:pPr>
    <w:rPr>
      <w:rFonts w:ascii="Helvetica LT Std" w:hAnsi="Helvetica LT Std"/>
      <w:b/>
      <w:color w:val="000000"/>
      <w:sz w:val="26"/>
    </w:rPr>
  </w:style>
  <w:style w:type="paragraph" w:customStyle="1" w:styleId="PA">
    <w:name w:val="PA"/>
    <w:next w:val="Normal"/>
    <w:link w:val="PAChar"/>
    <w:rsid w:val="00FA1799"/>
    <w:pPr>
      <w:spacing w:after="240"/>
      <w:ind w:firstLine="288"/>
      <w:jc w:val="both"/>
    </w:pPr>
    <w:rPr>
      <w:rFonts w:ascii="Perpetua Std" w:hAnsi="Perpetua Std"/>
      <w:color w:val="000000"/>
      <w:sz w:val="24"/>
    </w:rPr>
  </w:style>
  <w:style w:type="character" w:customStyle="1" w:styleId="PAChar">
    <w:name w:val="PA Char"/>
    <w:link w:val="PA"/>
    <w:rsid w:val="00FA1799"/>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FA1799"/>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FA1799"/>
    <w:pPr>
      <w:tabs>
        <w:tab w:val="left" w:pos="720"/>
      </w:tabs>
      <w:spacing w:after="240"/>
      <w:ind w:left="720" w:hanging="360"/>
      <w:jc w:val="both"/>
    </w:pPr>
    <w:rPr>
      <w:rFonts w:ascii="Perpetua Std" w:hAnsi="Perpetua Std"/>
      <w:color w:val="000000"/>
      <w:sz w:val="24"/>
    </w:rPr>
  </w:style>
  <w:style w:type="paragraph" w:customStyle="1" w:styleId="HD">
    <w:name w:val="HD"/>
    <w:rsid w:val="00FA1799"/>
    <w:pPr>
      <w:suppressAutoHyphens/>
      <w:spacing w:before="120"/>
      <w:jc w:val="center"/>
    </w:pPr>
    <w:rPr>
      <w:rFonts w:ascii="Helvetica LT Std" w:hAnsi="Helvetica LT Std"/>
      <w:sz w:val="26"/>
      <w:szCs w:val="18"/>
    </w:rPr>
  </w:style>
  <w:style w:type="paragraph" w:customStyle="1" w:styleId="PN">
    <w:name w:val="PN"/>
    <w:rsid w:val="00FA1799"/>
    <w:pPr>
      <w:spacing w:after="240"/>
      <w:ind w:left="720" w:firstLine="288"/>
      <w:jc w:val="both"/>
    </w:pPr>
    <w:rPr>
      <w:rFonts w:ascii="Perpetua Std" w:eastAsia="MS Mincho" w:hAnsi="Perpetua Std"/>
      <w:color w:val="000000"/>
    </w:rPr>
  </w:style>
  <w:style w:type="paragraph" w:customStyle="1" w:styleId="PB">
    <w:name w:val="PB"/>
    <w:rsid w:val="00FA1799"/>
    <w:pPr>
      <w:spacing w:after="240"/>
      <w:jc w:val="both"/>
    </w:pPr>
    <w:rPr>
      <w:rFonts w:ascii="Perpetua Std" w:hAnsi="Perpetua Std"/>
      <w:color w:val="000000"/>
      <w:sz w:val="24"/>
    </w:rPr>
  </w:style>
  <w:style w:type="paragraph" w:customStyle="1" w:styleId="PQ">
    <w:name w:val="PQ"/>
    <w:link w:val="PQChar"/>
    <w:rsid w:val="00FA1799"/>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FA1799"/>
    <w:rPr>
      <w:rFonts w:ascii="Adobe Caslon Pro" w:hAnsi="Adobe Caslon Pro"/>
      <w:color w:val="000000"/>
      <w:sz w:val="14"/>
    </w:rPr>
  </w:style>
  <w:style w:type="paragraph" w:customStyle="1" w:styleId="PF">
    <w:name w:val="PF"/>
    <w:rsid w:val="00FA1799"/>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FA1799"/>
    <w:pPr>
      <w:spacing w:before="120" w:after="120"/>
      <w:jc w:val="center"/>
    </w:pPr>
    <w:rPr>
      <w:rFonts w:ascii="Helvetica LT Std" w:hAnsi="Helvetica LT Std"/>
      <w:sz w:val="24"/>
    </w:rPr>
  </w:style>
  <w:style w:type="table" w:styleId="TableGrid">
    <w:name w:val="Table Grid"/>
    <w:basedOn w:val="TableNormal"/>
    <w:rsid w:val="00FA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FA1799"/>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FA1799"/>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FA1799"/>
    <w:pPr>
      <w:spacing w:before="144"/>
      <w:jc w:val="both"/>
    </w:pPr>
    <w:rPr>
      <w:noProof/>
    </w:rPr>
  </w:style>
  <w:style w:type="paragraph" w:customStyle="1" w:styleId="PD">
    <w:name w:val="PD"/>
    <w:rsid w:val="00FA1799"/>
    <w:pPr>
      <w:spacing w:after="240"/>
      <w:ind w:left="720" w:firstLine="288"/>
      <w:jc w:val="both"/>
    </w:pPr>
    <w:rPr>
      <w:rFonts w:ascii="Perpetua Std" w:hAnsi="Perpetua Std"/>
      <w:color w:val="000000"/>
      <w:sz w:val="24"/>
    </w:rPr>
  </w:style>
  <w:style w:type="paragraph" w:customStyle="1" w:styleId="PE">
    <w:name w:val="PE"/>
    <w:rsid w:val="00FA1799"/>
    <w:pPr>
      <w:spacing w:after="240"/>
      <w:ind w:left="720"/>
      <w:jc w:val="both"/>
    </w:pPr>
    <w:rPr>
      <w:rFonts w:ascii="Perpetua Std" w:hAnsi="Perpetua Std"/>
      <w:color w:val="000000"/>
      <w:sz w:val="24"/>
    </w:rPr>
  </w:style>
  <w:style w:type="paragraph" w:customStyle="1" w:styleId="PG">
    <w:name w:val="PG"/>
    <w:rsid w:val="00FA1799"/>
    <w:pPr>
      <w:spacing w:after="240"/>
      <w:ind w:left="360"/>
      <w:jc w:val="both"/>
    </w:pPr>
    <w:rPr>
      <w:rFonts w:ascii="Perpetua Std" w:hAnsi="Perpetua Std"/>
      <w:color w:val="000000"/>
      <w:sz w:val="24"/>
    </w:rPr>
  </w:style>
  <w:style w:type="paragraph" w:customStyle="1" w:styleId="PH">
    <w:name w:val="PH"/>
    <w:rsid w:val="00FA1799"/>
    <w:pPr>
      <w:tabs>
        <w:tab w:val="left" w:pos="360"/>
      </w:tabs>
      <w:spacing w:after="240"/>
      <w:ind w:left="360" w:hanging="360"/>
      <w:jc w:val="both"/>
    </w:pPr>
    <w:rPr>
      <w:rFonts w:ascii="Perpetua Std" w:hAnsi="Perpetua Std"/>
      <w:color w:val="000000"/>
      <w:sz w:val="24"/>
    </w:rPr>
  </w:style>
  <w:style w:type="paragraph" w:customStyle="1" w:styleId="PI">
    <w:name w:val="PI"/>
    <w:rsid w:val="00FA1799"/>
    <w:pPr>
      <w:spacing w:after="240"/>
      <w:ind w:left="360" w:hanging="360"/>
      <w:jc w:val="both"/>
    </w:pPr>
    <w:rPr>
      <w:rFonts w:ascii="Perpetua Std" w:hAnsi="Perpetua Std"/>
      <w:color w:val="000000"/>
      <w:sz w:val="24"/>
    </w:rPr>
  </w:style>
  <w:style w:type="paragraph" w:customStyle="1" w:styleId="PK">
    <w:name w:val="PK"/>
    <w:rsid w:val="00FA1799"/>
    <w:pPr>
      <w:spacing w:after="240"/>
      <w:ind w:left="360" w:firstLine="288"/>
      <w:jc w:val="both"/>
    </w:pPr>
    <w:rPr>
      <w:rFonts w:ascii="Perpetua Std" w:hAnsi="Perpetua Std"/>
      <w:color w:val="000000"/>
      <w:sz w:val="24"/>
    </w:rPr>
  </w:style>
  <w:style w:type="paragraph" w:customStyle="1" w:styleId="PL">
    <w:name w:val="PL"/>
    <w:rsid w:val="00FA1799"/>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FA1799"/>
    <w:pPr>
      <w:spacing w:after="240"/>
      <w:ind w:left="432" w:right="432" w:firstLine="432"/>
      <w:jc w:val="both"/>
    </w:pPr>
    <w:rPr>
      <w:rFonts w:ascii="Minion Pro" w:hAnsi="Minion Pro"/>
    </w:rPr>
  </w:style>
  <w:style w:type="paragraph" w:customStyle="1" w:styleId="TOC">
    <w:name w:val="TOC"/>
    <w:autoRedefine/>
    <w:rsid w:val="00FA1799"/>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FA1799"/>
    <w:pPr>
      <w:tabs>
        <w:tab w:val="clear" w:pos="1440"/>
        <w:tab w:val="clear" w:pos="8640"/>
        <w:tab w:val="left" w:pos="240"/>
        <w:tab w:val="left" w:pos="480"/>
        <w:tab w:val="right" w:leader="dot" w:pos="4680"/>
      </w:tabs>
      <w:ind w:left="0" w:firstLine="0"/>
    </w:pPr>
    <w:rPr>
      <w:sz w:val="22"/>
    </w:rPr>
  </w:style>
  <w:style w:type="paragraph" w:customStyle="1" w:styleId="PP">
    <w:name w:val="PP"/>
    <w:rsid w:val="00FA1799"/>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FA1799"/>
    <w:pPr>
      <w:spacing w:after="240"/>
      <w:jc w:val="center"/>
    </w:pPr>
    <w:rPr>
      <w:rFonts w:ascii="Helvetica LT Std" w:hAnsi="Helvetica LT Std"/>
      <w:b/>
      <w:caps/>
      <w:color w:val="000000"/>
      <w:sz w:val="36"/>
      <w:szCs w:val="32"/>
    </w:rPr>
  </w:style>
  <w:style w:type="paragraph" w:customStyle="1" w:styleId="HB">
    <w:name w:val="HB"/>
    <w:rsid w:val="00FA1799"/>
    <w:pPr>
      <w:spacing w:before="120" w:after="240"/>
      <w:jc w:val="center"/>
    </w:pPr>
    <w:rPr>
      <w:rFonts w:ascii="Helvetica LT Std" w:hAnsi="Helvetica LT Std"/>
      <w:b/>
      <w:color w:val="5F5F5F"/>
      <w:w w:val="105"/>
      <w:sz w:val="32"/>
    </w:rPr>
  </w:style>
  <w:style w:type="paragraph" w:customStyle="1" w:styleId="HC">
    <w:name w:val="HC"/>
    <w:autoRedefine/>
    <w:rsid w:val="00FA1799"/>
    <w:pPr>
      <w:tabs>
        <w:tab w:val="left" w:pos="284"/>
      </w:tabs>
      <w:spacing w:before="120" w:after="120"/>
      <w:jc w:val="center"/>
    </w:pPr>
    <w:rPr>
      <w:rFonts w:ascii="Helvetica LT Std" w:hAnsi="Helvetica LT Std"/>
      <w:b/>
      <w:color w:val="000000"/>
      <w:w w:val="110"/>
      <w:sz w:val="26"/>
    </w:rPr>
  </w:style>
  <w:style w:type="paragraph" w:customStyle="1" w:styleId="PR">
    <w:name w:val="PR"/>
    <w:rsid w:val="00FA1799"/>
    <w:pPr>
      <w:spacing w:after="240"/>
      <w:ind w:left="360" w:firstLine="288"/>
      <w:jc w:val="both"/>
    </w:pPr>
    <w:rPr>
      <w:rFonts w:ascii="Adobe Caslon Pro" w:hAnsi="Adobe Caslon Pro"/>
      <w:color w:val="000000"/>
      <w:sz w:val="14"/>
    </w:rPr>
  </w:style>
  <w:style w:type="paragraph" w:customStyle="1" w:styleId="PO">
    <w:name w:val="PO"/>
    <w:rsid w:val="00FA1799"/>
    <w:pPr>
      <w:spacing w:after="240"/>
      <w:jc w:val="both"/>
    </w:pPr>
    <w:rPr>
      <w:rFonts w:ascii="Perpetua Std" w:hAnsi="Perpetua Std"/>
      <w:color w:val="000000"/>
      <w:w w:val="95"/>
      <w:szCs w:val="16"/>
    </w:rPr>
  </w:style>
  <w:style w:type="paragraph" w:customStyle="1" w:styleId="GUIDEX">
    <w:name w:val="GUIDEX"/>
    <w:rsid w:val="00FA1799"/>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FA1799"/>
    <w:pPr>
      <w:tabs>
        <w:tab w:val="clear" w:pos="240"/>
        <w:tab w:val="clear" w:pos="480"/>
        <w:tab w:val="clear" w:pos="720"/>
        <w:tab w:val="right" w:pos="4680"/>
      </w:tabs>
    </w:pPr>
  </w:style>
  <w:style w:type="paragraph" w:customStyle="1" w:styleId="PCB">
    <w:name w:val="PCB"/>
    <w:autoRedefine/>
    <w:rsid w:val="00FA1799"/>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FA1799"/>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FA1799"/>
    <w:rPr>
      <w:rFonts w:ascii="Perpetua Std" w:hAnsi="Perpetua Std"/>
    </w:rPr>
  </w:style>
  <w:style w:type="paragraph" w:styleId="NoSpacing">
    <w:name w:val="No Spacing"/>
    <w:qFormat/>
    <w:rsid w:val="00FA1799"/>
    <w:rPr>
      <w:rFonts w:ascii="Perpetua" w:hAnsi="Perpetua"/>
    </w:rPr>
  </w:style>
  <w:style w:type="paragraph" w:customStyle="1" w:styleId="PCA">
    <w:name w:val="PCA"/>
    <w:rsid w:val="00FA1799"/>
    <w:pPr>
      <w:numPr>
        <w:numId w:val="29"/>
      </w:numPr>
      <w:tabs>
        <w:tab w:val="left" w:pos="720"/>
      </w:tabs>
      <w:spacing w:after="240"/>
      <w:jc w:val="both"/>
    </w:pPr>
    <w:rPr>
      <w:rFonts w:ascii="Perpetua Std" w:hAnsi="Perpetua Std"/>
      <w:sz w:val="24"/>
    </w:rPr>
  </w:style>
  <w:style w:type="paragraph" w:customStyle="1" w:styleId="PHB">
    <w:name w:val="PHB"/>
    <w:rsid w:val="00FA1799"/>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FA1799"/>
    <w:rPr>
      <w:rFonts w:ascii="Perpetua Std" w:eastAsia="MS Mincho" w:hAnsi="Perpetua Std"/>
      <w:color w:val="000000"/>
      <w:sz w:val="22"/>
    </w:rPr>
  </w:style>
  <w:style w:type="paragraph" w:styleId="EndnoteText">
    <w:name w:val="endnote text"/>
    <w:basedOn w:val="Normal"/>
    <w:link w:val="EndnoteTextChar"/>
    <w:semiHidden/>
    <w:unhideWhenUsed/>
    <w:rsid w:val="008C1CF2"/>
  </w:style>
  <w:style w:type="character" w:customStyle="1" w:styleId="EndnoteTextChar">
    <w:name w:val="Endnote Text Char"/>
    <w:basedOn w:val="DefaultParagraphFont"/>
    <w:link w:val="EndnoteText"/>
    <w:semiHidden/>
    <w:rsid w:val="008C1CF2"/>
    <w:rPr>
      <w:rFonts w:ascii="Perpetua Std" w:hAnsi="Perpetua Std"/>
    </w:rPr>
  </w:style>
  <w:style w:type="character" w:styleId="EndnoteReference">
    <w:name w:val="endnote reference"/>
    <w:basedOn w:val="DefaultParagraphFont"/>
    <w:semiHidden/>
    <w:unhideWhenUsed/>
    <w:rsid w:val="008C1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927DC-E140-45D7-AFA5-65C2016F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8531. Who qualifies for the child tax credit?</vt:lpstr>
    </vt:vector>
  </TitlesOfParts>
  <Company>Summit Business Media</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8531. Who qualifies for the child tax credit?</dc:title>
  <dc:creator>Alexis Long</dc:creator>
  <cp:lastModifiedBy>rcline</cp:lastModifiedBy>
  <cp:revision>2</cp:revision>
  <dcterms:created xsi:type="dcterms:W3CDTF">2014-08-20T17:34:00Z</dcterms:created>
  <dcterms:modified xsi:type="dcterms:W3CDTF">2014-08-20T17:34:00Z</dcterms:modified>
</cp:coreProperties>
</file>