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F9" w:rsidRPr="003731F9" w:rsidRDefault="003731F9" w:rsidP="00097038">
      <w:pPr>
        <w:pStyle w:val="PA"/>
        <w:rPr>
          <w:b/>
        </w:rPr>
      </w:pPr>
      <w:bookmarkStart w:id="0" w:name="_GoBack"/>
      <w:bookmarkEnd w:id="0"/>
    </w:p>
    <w:p w:rsidR="003731F9" w:rsidRPr="003731F9" w:rsidRDefault="003731F9" w:rsidP="00097038">
      <w:pPr>
        <w:pStyle w:val="PA"/>
        <w:rPr>
          <w:b/>
        </w:rPr>
      </w:pPr>
      <w:r w:rsidRPr="003731F9">
        <w:rPr>
          <w:b/>
        </w:rPr>
        <w:t>8530.  Who qualifies for the tax credit for the elderly and the permanently and totally disabled and how is the credit computed?</w:t>
      </w:r>
    </w:p>
    <w:p w:rsidR="00427B74" w:rsidRPr="00532B64" w:rsidRDefault="00695FA3" w:rsidP="00097038">
      <w:pPr>
        <w:pStyle w:val="PA"/>
      </w:pPr>
      <w:r w:rsidRPr="00532B64">
        <w:t xml:space="preserve">The tax credit for the elderly and the permanently and totally disabled is a nonrefundable credit, meaning that it is available only to the extent that it does not exceed the taxpayer’s tax liability (see </w:t>
      </w:r>
      <w:r w:rsidR="000465CA" w:rsidRPr="00532B64">
        <w:t>Q 85</w:t>
      </w:r>
      <w:r w:rsidRPr="00532B64">
        <w:t xml:space="preserve">29). </w:t>
      </w:r>
      <w:r w:rsidR="00377919" w:rsidRPr="00532B64">
        <w:t xml:space="preserve">The credit is available to taxpayers age 65 or older, </w:t>
      </w:r>
      <w:r w:rsidR="00377919" w:rsidRPr="00532B64">
        <w:rPr>
          <w:i/>
          <w:iCs/>
        </w:rPr>
        <w:t>or</w:t>
      </w:r>
      <w:r w:rsidR="00377919" w:rsidRPr="00532B64">
        <w:t xml:space="preserve"> those who are under age 65, retired on disability, and were considered permanently and totally disabled when they retired.</w:t>
      </w:r>
      <w:r w:rsidR="00377919" w:rsidRPr="00532B64">
        <w:rPr>
          <w:vertAlign w:val="superscript"/>
        </w:rPr>
        <w:footnoteReference w:id="1"/>
      </w:r>
    </w:p>
    <w:p w:rsidR="00427B74" w:rsidRPr="00112097" w:rsidRDefault="00377919" w:rsidP="00097038">
      <w:pPr>
        <w:pStyle w:val="PN"/>
        <w:rPr>
          <w:sz w:val="24"/>
          <w:szCs w:val="24"/>
        </w:rPr>
      </w:pPr>
      <w:r w:rsidRPr="00112097">
        <w:rPr>
          <w:sz w:val="24"/>
          <w:szCs w:val="24"/>
        </w:rPr>
        <w:t>“An individual is permanently and totally disabled if he is unable to engage in any substantial gainful activity by reason of any medically determinable physical or mental impairment which can be expected to result in death or which has lasted or can be expected to last for a continuous period of not less than 12 months. An individual shall not be considered to be permanently and totally disabled unless he furnishes proof of the existence thereof in such form and manner, and at such times, as the Secretary may require.”</w:t>
      </w:r>
      <w:r w:rsidRPr="00112097">
        <w:rPr>
          <w:sz w:val="24"/>
          <w:szCs w:val="24"/>
          <w:vertAlign w:val="superscript"/>
        </w:rPr>
        <w:footnoteReference w:id="2"/>
      </w:r>
    </w:p>
    <w:p w:rsidR="00427B74" w:rsidRPr="00532B64" w:rsidRDefault="00377919" w:rsidP="00097038">
      <w:pPr>
        <w:pStyle w:val="PA"/>
      </w:pPr>
      <w:r w:rsidRPr="00532B64">
        <w:t>The credit equals 15</w:t>
      </w:r>
      <w:r w:rsidR="00695FA3" w:rsidRPr="00532B64">
        <w:t xml:space="preserve"> percent</w:t>
      </w:r>
      <w:r w:rsidRPr="00532B64">
        <w:t xml:space="preserve"> of an individual’s IRC Section 22 amount for the taxable year, but may not exceed the amount of tax. This IRC Section 22 base amount is $5,000 for a single taxpayer or married taxpayers filing jointly if only one spouse qualifies for the credit; $7,500 for married taxpayers filing jointly if both qualify; and $3,750 for a married taxpayer filing separately.</w:t>
      </w:r>
      <w:r w:rsidRPr="00532B64">
        <w:rPr>
          <w:vertAlign w:val="superscript"/>
        </w:rPr>
        <w:footnoteReference w:id="3"/>
      </w:r>
      <w:r w:rsidRPr="00532B64">
        <w:t xml:space="preserve"> Married taxpayers must file a joint return to claim the credit, unless they lived apart for the entire taxable year.</w:t>
      </w:r>
      <w:r w:rsidRPr="00532B64">
        <w:rPr>
          <w:vertAlign w:val="superscript"/>
        </w:rPr>
        <w:footnoteReference w:id="4"/>
      </w:r>
    </w:p>
    <w:p w:rsidR="00427B74" w:rsidRPr="00532B64" w:rsidRDefault="00695FA3" w:rsidP="00097038">
      <w:pPr>
        <w:pStyle w:val="PA"/>
      </w:pPr>
      <w:r w:rsidRPr="00532B64">
        <w:t>For individuals under age 65, this base figure is limited</w:t>
      </w:r>
      <w:r w:rsidR="00377919" w:rsidRPr="00532B64">
        <w:t xml:space="preserve"> to the amount of the disability income (taxable amount an individual receives under an employer plan as wages or payments in lieu of wages for the period </w:t>
      </w:r>
      <w:r w:rsidR="001A2727" w:rsidRPr="00532B64">
        <w:t>the individual</w:t>
      </w:r>
      <w:r w:rsidR="00427B74" w:rsidRPr="00532B64">
        <w:t xml:space="preserve"> </w:t>
      </w:r>
      <w:r w:rsidR="00377919" w:rsidRPr="00532B64">
        <w:t>is absent from work on account of permanent and total disability) received during the taxable year.</w:t>
      </w:r>
      <w:r w:rsidR="00377919" w:rsidRPr="00532B64">
        <w:rPr>
          <w:vertAlign w:val="superscript"/>
        </w:rPr>
        <w:footnoteReference w:id="5"/>
      </w:r>
      <w:r w:rsidR="00377919" w:rsidRPr="00532B64">
        <w:t xml:space="preserve"> (</w:t>
      </w:r>
      <w:r w:rsidRPr="00532B64">
        <w:t>The taxpayer may be required to provide p</w:t>
      </w:r>
      <w:r w:rsidR="00377919" w:rsidRPr="00532B64">
        <w:t>roof of continuing permanent and total disability</w:t>
      </w:r>
      <w:r w:rsidR="00C00762">
        <w:t>.</w:t>
      </w:r>
      <w:r w:rsidRPr="00532B64">
        <w:t>)</w:t>
      </w:r>
      <w:r w:rsidR="00377919" w:rsidRPr="00532B64">
        <w:rPr>
          <w:vertAlign w:val="superscript"/>
        </w:rPr>
        <w:footnoteReference w:id="6"/>
      </w:r>
      <w:r w:rsidR="00377919" w:rsidRPr="00532B64">
        <w:t xml:space="preserve"> For married taxpayers who are both qualified and who file jointly, the base figure cannot exceed the total of both spouses’ disability income if both are under age 65</w:t>
      </w:r>
      <w:r w:rsidRPr="00532B64">
        <w:t>.</w:t>
      </w:r>
      <w:r w:rsidR="00427B74" w:rsidRPr="00532B64">
        <w:t xml:space="preserve"> </w:t>
      </w:r>
      <w:r w:rsidRPr="00532B64">
        <w:t>I</w:t>
      </w:r>
      <w:r w:rsidR="00377919" w:rsidRPr="00532B64">
        <w:t>f only one</w:t>
      </w:r>
      <w:r w:rsidRPr="00532B64">
        <w:t xml:space="preserve"> spouse</w:t>
      </w:r>
      <w:r w:rsidR="00377919" w:rsidRPr="00532B64">
        <w:t xml:space="preserve"> is under age 65, </w:t>
      </w:r>
      <w:r w:rsidRPr="00532B64">
        <w:t xml:space="preserve">the base figure cannot exceed </w:t>
      </w:r>
      <w:r w:rsidR="00377919" w:rsidRPr="00532B64">
        <w:t>the sum of $5,000 plus the disability income of the spouse who is under 65.</w:t>
      </w:r>
      <w:r w:rsidR="00377919" w:rsidRPr="00532B64">
        <w:rPr>
          <w:vertAlign w:val="superscript"/>
        </w:rPr>
        <w:footnoteReference w:id="7"/>
      </w:r>
    </w:p>
    <w:p w:rsidR="00427B74" w:rsidRPr="00532B64" w:rsidRDefault="00377919" w:rsidP="00097038">
      <w:pPr>
        <w:pStyle w:val="PA"/>
      </w:pPr>
      <w:r w:rsidRPr="00532B64">
        <w:t xml:space="preserve">The base figure (or the amount of disability income in the case of individuals under age 65, if lower) is reduced dollar-for-dollar by one-half of adjusted gross income in excess of </w:t>
      </w:r>
      <w:r w:rsidRPr="00532B64">
        <w:lastRenderedPageBreak/>
        <w:t>$7,500 (single taxpayers), $10,000 (joint return), or $5,000 (married filing separately).</w:t>
      </w:r>
      <w:r w:rsidRPr="00532B64">
        <w:rPr>
          <w:vertAlign w:val="superscript"/>
        </w:rPr>
        <w:footnoteReference w:id="8"/>
      </w:r>
      <w:r w:rsidRPr="00532B64">
        <w:t xml:space="preserve"> A reduction is also made for Social Security and railroad retirement benefits that are excluded from gross income, and certain other tax-exempt income.</w:t>
      </w:r>
      <w:r w:rsidRPr="00532B64">
        <w:rPr>
          <w:vertAlign w:val="superscript"/>
        </w:rPr>
        <w:footnoteReference w:id="9"/>
      </w:r>
    </w:p>
    <w:p w:rsidR="004E7836" w:rsidRPr="004E7836" w:rsidRDefault="004E7836" w:rsidP="004E7836"/>
    <w:sectPr w:rsidR="004E7836" w:rsidRPr="004E7836"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6A" w:rsidRDefault="0087386A" w:rsidP="006F074C">
      <w:r>
        <w:separator/>
      </w:r>
    </w:p>
  </w:endnote>
  <w:endnote w:type="continuationSeparator" w:id="0">
    <w:p w:rsidR="0087386A" w:rsidRDefault="0087386A" w:rsidP="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6A" w:rsidRDefault="0087386A" w:rsidP="006F074C">
      <w:r>
        <w:separator/>
      </w:r>
    </w:p>
  </w:footnote>
  <w:footnote w:type="continuationSeparator" w:id="0">
    <w:p w:rsidR="0087386A" w:rsidRDefault="0087386A" w:rsidP="006F074C">
      <w:r>
        <w:continuationSeparator/>
      </w:r>
    </w:p>
  </w:footnote>
  <w:footnote w:id="1">
    <w:p w:rsidR="00D73FC0" w:rsidRPr="00982F97" w:rsidRDefault="00D73FC0" w:rsidP="00FE5D9D">
      <w:pPr>
        <w:pStyle w:val="PQ"/>
      </w:pPr>
      <w:r w:rsidRPr="00982F97">
        <w:footnoteRef/>
      </w:r>
      <w:r w:rsidR="00F16B3F">
        <w:t>.</w:t>
      </w:r>
      <w:r w:rsidR="00F16B3F">
        <w:tab/>
      </w:r>
      <w:r w:rsidR="00FE5D9D" w:rsidRPr="00982F97">
        <w:t>IRC Sec. 22(b).</w:t>
      </w:r>
    </w:p>
  </w:footnote>
  <w:footnote w:id="2">
    <w:p w:rsidR="00D73FC0" w:rsidRPr="00982F97" w:rsidRDefault="00D73FC0" w:rsidP="00FE5D9D">
      <w:pPr>
        <w:pStyle w:val="PQ"/>
      </w:pPr>
      <w:r w:rsidRPr="00982F97">
        <w:footnoteRef/>
      </w:r>
      <w:r w:rsidR="00F16B3F">
        <w:t>.</w:t>
      </w:r>
      <w:r w:rsidR="00F16B3F">
        <w:tab/>
      </w:r>
      <w:r w:rsidR="00FE5D9D" w:rsidRPr="00982F97">
        <w:t>IRC Sec. 22(e)(3).</w:t>
      </w:r>
    </w:p>
  </w:footnote>
  <w:footnote w:id="3">
    <w:p w:rsidR="00D73FC0" w:rsidRPr="00982F97" w:rsidRDefault="00D73FC0" w:rsidP="00FE5D9D">
      <w:pPr>
        <w:pStyle w:val="PQ"/>
      </w:pPr>
      <w:r w:rsidRPr="00982F97">
        <w:footnoteRef/>
      </w:r>
      <w:r w:rsidR="00F16B3F">
        <w:t>.</w:t>
      </w:r>
      <w:r w:rsidR="00F16B3F">
        <w:tab/>
      </w:r>
      <w:r w:rsidR="00FE5D9D" w:rsidRPr="00982F97">
        <w:t>IRC Sec. 22(c).</w:t>
      </w:r>
    </w:p>
  </w:footnote>
  <w:footnote w:id="4">
    <w:p w:rsidR="00D73FC0" w:rsidRPr="00982F97" w:rsidRDefault="00D73FC0" w:rsidP="00FE5D9D">
      <w:pPr>
        <w:pStyle w:val="PQ"/>
      </w:pPr>
      <w:r w:rsidRPr="00982F97">
        <w:footnoteRef/>
      </w:r>
      <w:r w:rsidR="00F16B3F">
        <w:t>.</w:t>
      </w:r>
      <w:r w:rsidR="00F16B3F">
        <w:tab/>
      </w:r>
      <w:r w:rsidR="00FE5D9D" w:rsidRPr="00982F97">
        <w:t>IRC Sec. 22(e)(1).</w:t>
      </w:r>
    </w:p>
  </w:footnote>
  <w:footnote w:id="5">
    <w:p w:rsidR="00D73FC0" w:rsidRPr="00982F97" w:rsidRDefault="00D73FC0" w:rsidP="00FE5D9D">
      <w:pPr>
        <w:pStyle w:val="PQ"/>
      </w:pPr>
      <w:r w:rsidRPr="00982F97">
        <w:footnoteRef/>
      </w:r>
      <w:r w:rsidR="00F16B3F">
        <w:t>.</w:t>
      </w:r>
      <w:r w:rsidR="00F16B3F">
        <w:tab/>
      </w:r>
      <w:r w:rsidR="00FE5D9D" w:rsidRPr="00982F97">
        <w:t>IRC Sec. 22(c</w:t>
      </w:r>
      <w:proofErr w:type="gramStart"/>
      <w:r w:rsidR="00FE5D9D" w:rsidRPr="00982F97">
        <w:t>)(</w:t>
      </w:r>
      <w:proofErr w:type="gramEnd"/>
      <w:r w:rsidR="00FE5D9D" w:rsidRPr="00982F97">
        <w:t>2)(B)(i).</w:t>
      </w:r>
    </w:p>
  </w:footnote>
  <w:footnote w:id="6">
    <w:p w:rsidR="00D73FC0" w:rsidRPr="00982F97" w:rsidRDefault="00D73FC0" w:rsidP="00FE5D9D">
      <w:pPr>
        <w:pStyle w:val="PQ"/>
      </w:pPr>
      <w:r w:rsidRPr="00982F97">
        <w:footnoteRef/>
      </w:r>
      <w:r w:rsidR="00F16B3F">
        <w:t>.</w:t>
      </w:r>
      <w:r w:rsidR="00F16B3F">
        <w:tab/>
      </w:r>
      <w:r w:rsidR="00FE5D9D" w:rsidRPr="00982F97">
        <w:t>GCM 39269 (8-2-84).</w:t>
      </w:r>
    </w:p>
  </w:footnote>
  <w:footnote w:id="7">
    <w:p w:rsidR="00D73FC0" w:rsidRPr="00982F97" w:rsidRDefault="00D73FC0" w:rsidP="00FE5D9D">
      <w:pPr>
        <w:pStyle w:val="PQ"/>
      </w:pPr>
      <w:r w:rsidRPr="00982F97">
        <w:footnoteRef/>
      </w:r>
      <w:r w:rsidR="00F16B3F">
        <w:t>.</w:t>
      </w:r>
      <w:r w:rsidR="00F16B3F">
        <w:tab/>
      </w:r>
      <w:r w:rsidR="00FE5D9D" w:rsidRPr="00982F97">
        <w:t>IRC Sec. 22(c</w:t>
      </w:r>
      <w:proofErr w:type="gramStart"/>
      <w:r w:rsidR="00FE5D9D" w:rsidRPr="00982F97">
        <w:t>)(</w:t>
      </w:r>
      <w:proofErr w:type="gramEnd"/>
      <w:r w:rsidR="00FE5D9D" w:rsidRPr="00982F97">
        <w:t>2)(B)(ii).</w:t>
      </w:r>
    </w:p>
  </w:footnote>
  <w:footnote w:id="8">
    <w:p w:rsidR="00D73FC0" w:rsidRPr="00982F97" w:rsidRDefault="00D73FC0" w:rsidP="00FE5D9D">
      <w:pPr>
        <w:pStyle w:val="PQ"/>
      </w:pPr>
      <w:r w:rsidRPr="00982F97">
        <w:footnoteRef/>
      </w:r>
      <w:r w:rsidR="00F16B3F">
        <w:t>.</w:t>
      </w:r>
      <w:r w:rsidR="00F16B3F">
        <w:tab/>
      </w:r>
      <w:r w:rsidR="00FE5D9D" w:rsidRPr="00982F97">
        <w:t>IRC Sec. 22(d).</w:t>
      </w:r>
    </w:p>
  </w:footnote>
  <w:footnote w:id="9">
    <w:p w:rsidR="00D73FC0" w:rsidRDefault="00D73FC0" w:rsidP="00FE5D9D">
      <w:pPr>
        <w:pStyle w:val="PQ"/>
      </w:pPr>
      <w:r w:rsidRPr="00982F97">
        <w:footnoteRef/>
      </w:r>
      <w:r w:rsidR="00F16B3F">
        <w:t>.</w:t>
      </w:r>
      <w:r w:rsidR="00F16B3F">
        <w:tab/>
      </w:r>
      <w:r w:rsidR="00FE5D9D" w:rsidRPr="00982F97">
        <w:t>IRC Sec. 22(c)(3).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3C27"/>
    <w:rsid w:val="000465CA"/>
    <w:rsid w:val="0008018A"/>
    <w:rsid w:val="00081BC3"/>
    <w:rsid w:val="00083567"/>
    <w:rsid w:val="000925AB"/>
    <w:rsid w:val="000956FC"/>
    <w:rsid w:val="00097038"/>
    <w:rsid w:val="000A2B66"/>
    <w:rsid w:val="000A6CAB"/>
    <w:rsid w:val="000B6372"/>
    <w:rsid w:val="000D258D"/>
    <w:rsid w:val="000D6146"/>
    <w:rsid w:val="000E6BBB"/>
    <w:rsid w:val="00112097"/>
    <w:rsid w:val="00114F5B"/>
    <w:rsid w:val="00116205"/>
    <w:rsid w:val="001244E9"/>
    <w:rsid w:val="00141FAB"/>
    <w:rsid w:val="0017741C"/>
    <w:rsid w:val="00197132"/>
    <w:rsid w:val="0019748C"/>
    <w:rsid w:val="001A05A6"/>
    <w:rsid w:val="001A2727"/>
    <w:rsid w:val="001D0595"/>
    <w:rsid w:val="001E1AC3"/>
    <w:rsid w:val="001F52F4"/>
    <w:rsid w:val="002000C6"/>
    <w:rsid w:val="00202A9B"/>
    <w:rsid w:val="00202F50"/>
    <w:rsid w:val="002040BD"/>
    <w:rsid w:val="00212ED8"/>
    <w:rsid w:val="00215283"/>
    <w:rsid w:val="00231C02"/>
    <w:rsid w:val="00242C92"/>
    <w:rsid w:val="00243A4C"/>
    <w:rsid w:val="00264FD9"/>
    <w:rsid w:val="00271A21"/>
    <w:rsid w:val="00287277"/>
    <w:rsid w:val="002B58F5"/>
    <w:rsid w:val="002E46AF"/>
    <w:rsid w:val="002E4BFB"/>
    <w:rsid w:val="002F6745"/>
    <w:rsid w:val="00310C38"/>
    <w:rsid w:val="0032167A"/>
    <w:rsid w:val="00323E1D"/>
    <w:rsid w:val="00327BDB"/>
    <w:rsid w:val="00340AD4"/>
    <w:rsid w:val="00355BC4"/>
    <w:rsid w:val="00360557"/>
    <w:rsid w:val="003731F9"/>
    <w:rsid w:val="00377919"/>
    <w:rsid w:val="003B1DF7"/>
    <w:rsid w:val="003B450F"/>
    <w:rsid w:val="003B65D8"/>
    <w:rsid w:val="003C1548"/>
    <w:rsid w:val="003F00D7"/>
    <w:rsid w:val="003F05E5"/>
    <w:rsid w:val="00407D8B"/>
    <w:rsid w:val="004167F4"/>
    <w:rsid w:val="00427B74"/>
    <w:rsid w:val="00435B94"/>
    <w:rsid w:val="00456493"/>
    <w:rsid w:val="004629F4"/>
    <w:rsid w:val="00474C65"/>
    <w:rsid w:val="00484642"/>
    <w:rsid w:val="00487A39"/>
    <w:rsid w:val="004C5F26"/>
    <w:rsid w:val="004E7836"/>
    <w:rsid w:val="00501B90"/>
    <w:rsid w:val="00511E10"/>
    <w:rsid w:val="00521FCB"/>
    <w:rsid w:val="005223B9"/>
    <w:rsid w:val="00532B64"/>
    <w:rsid w:val="0055659B"/>
    <w:rsid w:val="005611F2"/>
    <w:rsid w:val="00565698"/>
    <w:rsid w:val="0056737A"/>
    <w:rsid w:val="00570216"/>
    <w:rsid w:val="00573817"/>
    <w:rsid w:val="00590D68"/>
    <w:rsid w:val="005A7B2C"/>
    <w:rsid w:val="005B0930"/>
    <w:rsid w:val="005B53F2"/>
    <w:rsid w:val="005C64AC"/>
    <w:rsid w:val="005E18C8"/>
    <w:rsid w:val="005E1E5E"/>
    <w:rsid w:val="005E1F03"/>
    <w:rsid w:val="005E3CAD"/>
    <w:rsid w:val="006070A8"/>
    <w:rsid w:val="006152E6"/>
    <w:rsid w:val="0061599B"/>
    <w:rsid w:val="00660C3B"/>
    <w:rsid w:val="00664BF0"/>
    <w:rsid w:val="00667AE6"/>
    <w:rsid w:val="0068069B"/>
    <w:rsid w:val="00695FA3"/>
    <w:rsid w:val="006B1DE0"/>
    <w:rsid w:val="006C1680"/>
    <w:rsid w:val="006C18B6"/>
    <w:rsid w:val="006C6B16"/>
    <w:rsid w:val="006D650C"/>
    <w:rsid w:val="006E0E1D"/>
    <w:rsid w:val="006E34CD"/>
    <w:rsid w:val="006F074C"/>
    <w:rsid w:val="00704D91"/>
    <w:rsid w:val="00723223"/>
    <w:rsid w:val="00725A6D"/>
    <w:rsid w:val="007343A3"/>
    <w:rsid w:val="007865B2"/>
    <w:rsid w:val="00786F5E"/>
    <w:rsid w:val="00794370"/>
    <w:rsid w:val="007B5A4F"/>
    <w:rsid w:val="007D06DB"/>
    <w:rsid w:val="007D39E8"/>
    <w:rsid w:val="007D6D13"/>
    <w:rsid w:val="007D7748"/>
    <w:rsid w:val="0080472F"/>
    <w:rsid w:val="00804FC2"/>
    <w:rsid w:val="008316E9"/>
    <w:rsid w:val="00835C56"/>
    <w:rsid w:val="00844B76"/>
    <w:rsid w:val="0087386A"/>
    <w:rsid w:val="008864E6"/>
    <w:rsid w:val="008A42E4"/>
    <w:rsid w:val="008B16D5"/>
    <w:rsid w:val="008C2D90"/>
    <w:rsid w:val="008D4B69"/>
    <w:rsid w:val="008E11EC"/>
    <w:rsid w:val="008E4CF6"/>
    <w:rsid w:val="008F7667"/>
    <w:rsid w:val="009003A2"/>
    <w:rsid w:val="00920178"/>
    <w:rsid w:val="00944E4E"/>
    <w:rsid w:val="0095488D"/>
    <w:rsid w:val="00957231"/>
    <w:rsid w:val="009626DD"/>
    <w:rsid w:val="0097483E"/>
    <w:rsid w:val="00976253"/>
    <w:rsid w:val="009938E4"/>
    <w:rsid w:val="009C0B32"/>
    <w:rsid w:val="009C73DD"/>
    <w:rsid w:val="009D0EAE"/>
    <w:rsid w:val="009F75A1"/>
    <w:rsid w:val="00A02AF1"/>
    <w:rsid w:val="00A03817"/>
    <w:rsid w:val="00A05FEA"/>
    <w:rsid w:val="00A2685C"/>
    <w:rsid w:val="00A268AC"/>
    <w:rsid w:val="00A44BAD"/>
    <w:rsid w:val="00A46971"/>
    <w:rsid w:val="00A82E6D"/>
    <w:rsid w:val="00B15D08"/>
    <w:rsid w:val="00B20CBB"/>
    <w:rsid w:val="00B47F6C"/>
    <w:rsid w:val="00B5537D"/>
    <w:rsid w:val="00B8207E"/>
    <w:rsid w:val="00B97105"/>
    <w:rsid w:val="00BA22F5"/>
    <w:rsid w:val="00BC19F7"/>
    <w:rsid w:val="00BC5792"/>
    <w:rsid w:val="00BC6F51"/>
    <w:rsid w:val="00BD2BCC"/>
    <w:rsid w:val="00BE317F"/>
    <w:rsid w:val="00BF4BC0"/>
    <w:rsid w:val="00C00762"/>
    <w:rsid w:val="00C01372"/>
    <w:rsid w:val="00C15AF0"/>
    <w:rsid w:val="00C1615A"/>
    <w:rsid w:val="00C3032D"/>
    <w:rsid w:val="00C360BE"/>
    <w:rsid w:val="00C5496F"/>
    <w:rsid w:val="00C64FEC"/>
    <w:rsid w:val="00C7768E"/>
    <w:rsid w:val="00C92346"/>
    <w:rsid w:val="00CB0AF1"/>
    <w:rsid w:val="00CD22F0"/>
    <w:rsid w:val="00CF5092"/>
    <w:rsid w:val="00D0195D"/>
    <w:rsid w:val="00D418E3"/>
    <w:rsid w:val="00D51611"/>
    <w:rsid w:val="00D541F3"/>
    <w:rsid w:val="00D72E05"/>
    <w:rsid w:val="00D73FC0"/>
    <w:rsid w:val="00D81626"/>
    <w:rsid w:val="00DA410D"/>
    <w:rsid w:val="00DB3BF0"/>
    <w:rsid w:val="00DC02E2"/>
    <w:rsid w:val="00DC0B50"/>
    <w:rsid w:val="00DD22D9"/>
    <w:rsid w:val="00DD68C3"/>
    <w:rsid w:val="00DE67F6"/>
    <w:rsid w:val="00DF4691"/>
    <w:rsid w:val="00DF78BD"/>
    <w:rsid w:val="00E20C72"/>
    <w:rsid w:val="00E23001"/>
    <w:rsid w:val="00E260EE"/>
    <w:rsid w:val="00E34083"/>
    <w:rsid w:val="00E345E3"/>
    <w:rsid w:val="00E57EB0"/>
    <w:rsid w:val="00E672ED"/>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03C24"/>
    <w:rsid w:val="00F118CC"/>
    <w:rsid w:val="00F16B3F"/>
    <w:rsid w:val="00F21AEE"/>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B5537D"/>
    <w:rPr>
      <w:rFonts w:ascii="Perpetua Std" w:hAnsi="Perpetua Std"/>
    </w:rPr>
  </w:style>
  <w:style w:type="paragraph" w:styleId="Heading1">
    <w:name w:val="heading 1"/>
    <w:basedOn w:val="Normal"/>
    <w:next w:val="Normal"/>
    <w:link w:val="Heading1Char"/>
    <w:qFormat/>
    <w:rsid w:val="00B5537D"/>
    <w:pPr>
      <w:keepNext/>
      <w:outlineLvl w:val="0"/>
    </w:pPr>
    <w:rPr>
      <w:b/>
    </w:rPr>
  </w:style>
  <w:style w:type="paragraph" w:styleId="Heading2">
    <w:name w:val="heading 2"/>
    <w:basedOn w:val="Normal"/>
    <w:next w:val="Normal"/>
    <w:link w:val="Heading2Char"/>
    <w:qFormat/>
    <w:rsid w:val="00B5537D"/>
    <w:pPr>
      <w:keepNext/>
      <w:spacing w:before="240" w:after="60"/>
      <w:outlineLvl w:val="1"/>
    </w:pPr>
    <w:rPr>
      <w:rFonts w:ascii="Arial" w:hAnsi="Arial"/>
      <w:b/>
      <w:i/>
      <w:sz w:val="24"/>
    </w:rPr>
  </w:style>
  <w:style w:type="paragraph" w:styleId="Heading3">
    <w:name w:val="heading 3"/>
    <w:basedOn w:val="Normal"/>
    <w:next w:val="Normal"/>
    <w:link w:val="Heading3Char"/>
    <w:qFormat/>
    <w:rsid w:val="00B5537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5537D"/>
    <w:pPr>
      <w:spacing w:after="240"/>
      <w:jc w:val="both"/>
    </w:pPr>
    <w:rPr>
      <w:rFonts w:ascii="Helvetica LT Std" w:hAnsi="Helvetica LT Std"/>
      <w:b/>
      <w:color w:val="000000"/>
      <w:sz w:val="26"/>
    </w:rPr>
  </w:style>
  <w:style w:type="paragraph" w:customStyle="1" w:styleId="PA">
    <w:name w:val="PA"/>
    <w:next w:val="Normal"/>
    <w:link w:val="PAChar"/>
    <w:rsid w:val="00B5537D"/>
    <w:pPr>
      <w:spacing w:after="240"/>
      <w:ind w:firstLine="288"/>
      <w:jc w:val="both"/>
    </w:pPr>
    <w:rPr>
      <w:rFonts w:ascii="Perpetua Std" w:hAnsi="Perpetua Std"/>
      <w:color w:val="000000"/>
      <w:sz w:val="24"/>
    </w:rPr>
  </w:style>
  <w:style w:type="character" w:customStyle="1" w:styleId="PAChar">
    <w:name w:val="PA Char"/>
    <w:link w:val="PA"/>
    <w:rsid w:val="00B5537D"/>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B5537D"/>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B5537D"/>
    <w:pPr>
      <w:tabs>
        <w:tab w:val="left" w:pos="720"/>
      </w:tabs>
      <w:spacing w:after="240"/>
      <w:ind w:left="720" w:hanging="360"/>
      <w:jc w:val="both"/>
    </w:pPr>
    <w:rPr>
      <w:rFonts w:ascii="Perpetua Std" w:hAnsi="Perpetua Std"/>
      <w:color w:val="000000"/>
      <w:sz w:val="24"/>
    </w:rPr>
  </w:style>
  <w:style w:type="paragraph" w:customStyle="1" w:styleId="HD">
    <w:name w:val="HD"/>
    <w:rsid w:val="00B5537D"/>
    <w:pPr>
      <w:suppressAutoHyphens/>
      <w:spacing w:before="120"/>
      <w:jc w:val="center"/>
    </w:pPr>
    <w:rPr>
      <w:rFonts w:ascii="Helvetica LT Std" w:hAnsi="Helvetica LT Std"/>
      <w:sz w:val="26"/>
      <w:szCs w:val="18"/>
    </w:rPr>
  </w:style>
  <w:style w:type="paragraph" w:customStyle="1" w:styleId="PN">
    <w:name w:val="PN"/>
    <w:rsid w:val="00B5537D"/>
    <w:pPr>
      <w:spacing w:after="240"/>
      <w:ind w:left="720" w:firstLine="288"/>
      <w:jc w:val="both"/>
    </w:pPr>
    <w:rPr>
      <w:rFonts w:ascii="Perpetua Std" w:eastAsia="MS Mincho" w:hAnsi="Perpetua Std"/>
      <w:color w:val="000000"/>
    </w:rPr>
  </w:style>
  <w:style w:type="paragraph" w:customStyle="1" w:styleId="PB">
    <w:name w:val="PB"/>
    <w:rsid w:val="00B5537D"/>
    <w:pPr>
      <w:spacing w:after="240"/>
      <w:jc w:val="both"/>
    </w:pPr>
    <w:rPr>
      <w:rFonts w:ascii="Perpetua Std" w:hAnsi="Perpetua Std"/>
      <w:color w:val="000000"/>
      <w:sz w:val="24"/>
    </w:rPr>
  </w:style>
  <w:style w:type="paragraph" w:customStyle="1" w:styleId="PQ">
    <w:name w:val="PQ"/>
    <w:link w:val="PQChar"/>
    <w:rsid w:val="00B5537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5537D"/>
    <w:rPr>
      <w:rFonts w:ascii="Adobe Caslon Pro" w:hAnsi="Adobe Caslon Pro"/>
      <w:color w:val="000000"/>
      <w:sz w:val="14"/>
    </w:rPr>
  </w:style>
  <w:style w:type="paragraph" w:customStyle="1" w:styleId="PF">
    <w:name w:val="PF"/>
    <w:rsid w:val="00B5537D"/>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B5537D"/>
    <w:pPr>
      <w:spacing w:before="120" w:after="120"/>
      <w:jc w:val="center"/>
    </w:pPr>
    <w:rPr>
      <w:rFonts w:ascii="Helvetica LT Std" w:hAnsi="Helvetica LT Std"/>
      <w:sz w:val="24"/>
    </w:rPr>
  </w:style>
  <w:style w:type="table" w:styleId="TableGrid">
    <w:name w:val="Table Grid"/>
    <w:basedOn w:val="TableNormal"/>
    <w:rsid w:val="00B5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B5537D"/>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B5537D"/>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B5537D"/>
    <w:pPr>
      <w:spacing w:before="144"/>
      <w:jc w:val="both"/>
    </w:pPr>
    <w:rPr>
      <w:noProof/>
    </w:rPr>
  </w:style>
  <w:style w:type="paragraph" w:customStyle="1" w:styleId="PD">
    <w:name w:val="PD"/>
    <w:rsid w:val="00B5537D"/>
    <w:pPr>
      <w:spacing w:after="240"/>
      <w:ind w:left="720" w:firstLine="288"/>
      <w:jc w:val="both"/>
    </w:pPr>
    <w:rPr>
      <w:rFonts w:ascii="Perpetua Std" w:hAnsi="Perpetua Std"/>
      <w:color w:val="000000"/>
      <w:sz w:val="24"/>
    </w:rPr>
  </w:style>
  <w:style w:type="paragraph" w:customStyle="1" w:styleId="PE">
    <w:name w:val="PE"/>
    <w:rsid w:val="00B5537D"/>
    <w:pPr>
      <w:spacing w:after="240"/>
      <w:ind w:left="720"/>
      <w:jc w:val="both"/>
    </w:pPr>
    <w:rPr>
      <w:rFonts w:ascii="Perpetua Std" w:hAnsi="Perpetua Std"/>
      <w:color w:val="000000"/>
      <w:sz w:val="24"/>
    </w:rPr>
  </w:style>
  <w:style w:type="paragraph" w:customStyle="1" w:styleId="PG">
    <w:name w:val="PG"/>
    <w:rsid w:val="00B5537D"/>
    <w:pPr>
      <w:spacing w:after="240"/>
      <w:ind w:left="360"/>
      <w:jc w:val="both"/>
    </w:pPr>
    <w:rPr>
      <w:rFonts w:ascii="Perpetua Std" w:hAnsi="Perpetua Std"/>
      <w:color w:val="000000"/>
      <w:sz w:val="24"/>
    </w:rPr>
  </w:style>
  <w:style w:type="paragraph" w:customStyle="1" w:styleId="PH">
    <w:name w:val="PH"/>
    <w:rsid w:val="00B5537D"/>
    <w:pPr>
      <w:tabs>
        <w:tab w:val="left" w:pos="360"/>
      </w:tabs>
      <w:spacing w:after="240"/>
      <w:ind w:left="360" w:hanging="360"/>
      <w:jc w:val="both"/>
    </w:pPr>
    <w:rPr>
      <w:rFonts w:ascii="Perpetua Std" w:hAnsi="Perpetua Std"/>
      <w:color w:val="000000"/>
      <w:sz w:val="24"/>
    </w:rPr>
  </w:style>
  <w:style w:type="paragraph" w:customStyle="1" w:styleId="PI">
    <w:name w:val="PI"/>
    <w:rsid w:val="00B5537D"/>
    <w:pPr>
      <w:spacing w:after="240"/>
      <w:ind w:left="360" w:hanging="360"/>
      <w:jc w:val="both"/>
    </w:pPr>
    <w:rPr>
      <w:rFonts w:ascii="Perpetua Std" w:hAnsi="Perpetua Std"/>
      <w:color w:val="000000"/>
      <w:sz w:val="24"/>
    </w:rPr>
  </w:style>
  <w:style w:type="paragraph" w:customStyle="1" w:styleId="PK">
    <w:name w:val="PK"/>
    <w:rsid w:val="00B5537D"/>
    <w:pPr>
      <w:spacing w:after="240"/>
      <w:ind w:left="360" w:firstLine="288"/>
      <w:jc w:val="both"/>
    </w:pPr>
    <w:rPr>
      <w:rFonts w:ascii="Perpetua Std" w:hAnsi="Perpetua Std"/>
      <w:color w:val="000000"/>
      <w:sz w:val="24"/>
    </w:rPr>
  </w:style>
  <w:style w:type="paragraph" w:customStyle="1" w:styleId="PL">
    <w:name w:val="PL"/>
    <w:rsid w:val="00B5537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5537D"/>
    <w:pPr>
      <w:spacing w:after="240"/>
      <w:ind w:left="432" w:right="432" w:firstLine="432"/>
      <w:jc w:val="both"/>
    </w:pPr>
    <w:rPr>
      <w:rFonts w:ascii="Minion Pro" w:hAnsi="Minion Pro"/>
    </w:rPr>
  </w:style>
  <w:style w:type="paragraph" w:customStyle="1" w:styleId="TOC">
    <w:name w:val="TOC"/>
    <w:autoRedefine/>
    <w:rsid w:val="00B5537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5537D"/>
    <w:pPr>
      <w:tabs>
        <w:tab w:val="clear" w:pos="1440"/>
        <w:tab w:val="clear" w:pos="8640"/>
        <w:tab w:val="left" w:pos="240"/>
        <w:tab w:val="left" w:pos="480"/>
        <w:tab w:val="right" w:leader="dot" w:pos="4680"/>
      </w:tabs>
      <w:ind w:left="0" w:firstLine="0"/>
    </w:pPr>
    <w:rPr>
      <w:sz w:val="22"/>
    </w:rPr>
  </w:style>
  <w:style w:type="paragraph" w:customStyle="1" w:styleId="PP">
    <w:name w:val="PP"/>
    <w:rsid w:val="00B5537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B5537D"/>
    <w:pPr>
      <w:spacing w:after="240"/>
      <w:jc w:val="center"/>
    </w:pPr>
    <w:rPr>
      <w:rFonts w:ascii="Helvetica LT Std" w:hAnsi="Helvetica LT Std"/>
      <w:b/>
      <w:caps/>
      <w:color w:val="000000"/>
      <w:sz w:val="36"/>
      <w:szCs w:val="32"/>
    </w:rPr>
  </w:style>
  <w:style w:type="paragraph" w:customStyle="1" w:styleId="HB">
    <w:name w:val="HB"/>
    <w:rsid w:val="00B5537D"/>
    <w:pPr>
      <w:spacing w:before="120" w:after="240"/>
      <w:jc w:val="center"/>
    </w:pPr>
    <w:rPr>
      <w:rFonts w:ascii="Helvetica LT Std" w:hAnsi="Helvetica LT Std"/>
      <w:b/>
      <w:color w:val="5F5F5F"/>
      <w:w w:val="105"/>
      <w:sz w:val="32"/>
    </w:rPr>
  </w:style>
  <w:style w:type="paragraph" w:customStyle="1" w:styleId="HC">
    <w:name w:val="HC"/>
    <w:autoRedefine/>
    <w:rsid w:val="00B5537D"/>
    <w:pPr>
      <w:tabs>
        <w:tab w:val="left" w:pos="284"/>
      </w:tabs>
      <w:spacing w:before="120" w:after="120"/>
      <w:jc w:val="center"/>
    </w:pPr>
    <w:rPr>
      <w:rFonts w:ascii="Helvetica LT Std" w:hAnsi="Helvetica LT Std"/>
      <w:b/>
      <w:color w:val="000000"/>
      <w:w w:val="110"/>
      <w:sz w:val="26"/>
    </w:rPr>
  </w:style>
  <w:style w:type="paragraph" w:customStyle="1" w:styleId="PR">
    <w:name w:val="PR"/>
    <w:rsid w:val="00B5537D"/>
    <w:pPr>
      <w:spacing w:after="240"/>
      <w:ind w:left="360" w:firstLine="288"/>
      <w:jc w:val="both"/>
    </w:pPr>
    <w:rPr>
      <w:rFonts w:ascii="Adobe Caslon Pro" w:hAnsi="Adobe Caslon Pro"/>
      <w:color w:val="000000"/>
      <w:sz w:val="14"/>
    </w:rPr>
  </w:style>
  <w:style w:type="paragraph" w:customStyle="1" w:styleId="PO">
    <w:name w:val="PO"/>
    <w:rsid w:val="00B5537D"/>
    <w:pPr>
      <w:spacing w:after="240"/>
      <w:jc w:val="both"/>
    </w:pPr>
    <w:rPr>
      <w:rFonts w:ascii="Perpetua Std" w:hAnsi="Perpetua Std"/>
      <w:color w:val="000000"/>
      <w:w w:val="95"/>
      <w:szCs w:val="16"/>
    </w:rPr>
  </w:style>
  <w:style w:type="paragraph" w:customStyle="1" w:styleId="GUIDEX">
    <w:name w:val="GUIDEX"/>
    <w:rsid w:val="00B5537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5537D"/>
    <w:pPr>
      <w:tabs>
        <w:tab w:val="clear" w:pos="240"/>
        <w:tab w:val="clear" w:pos="480"/>
        <w:tab w:val="clear" w:pos="720"/>
        <w:tab w:val="right" w:pos="4680"/>
      </w:tabs>
    </w:pPr>
  </w:style>
  <w:style w:type="paragraph" w:customStyle="1" w:styleId="PCB">
    <w:name w:val="PCB"/>
    <w:autoRedefine/>
    <w:rsid w:val="00B5537D"/>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B5537D"/>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5537D"/>
    <w:rPr>
      <w:rFonts w:ascii="Perpetua Std" w:hAnsi="Perpetua Std"/>
    </w:rPr>
  </w:style>
  <w:style w:type="paragraph" w:styleId="NoSpacing">
    <w:name w:val="No Spacing"/>
    <w:qFormat/>
    <w:rsid w:val="00B5537D"/>
    <w:rPr>
      <w:rFonts w:ascii="Perpetua" w:hAnsi="Perpetua"/>
    </w:rPr>
  </w:style>
  <w:style w:type="paragraph" w:customStyle="1" w:styleId="PCA">
    <w:name w:val="PCA"/>
    <w:rsid w:val="00B5537D"/>
    <w:pPr>
      <w:numPr>
        <w:numId w:val="29"/>
      </w:numPr>
      <w:tabs>
        <w:tab w:val="left" w:pos="720"/>
      </w:tabs>
      <w:spacing w:after="240"/>
      <w:jc w:val="both"/>
    </w:pPr>
    <w:rPr>
      <w:rFonts w:ascii="Perpetua Std" w:hAnsi="Perpetua Std"/>
      <w:sz w:val="24"/>
    </w:rPr>
  </w:style>
  <w:style w:type="paragraph" w:customStyle="1" w:styleId="PHB">
    <w:name w:val="PHB"/>
    <w:rsid w:val="00B5537D"/>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B5537D"/>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B5537D"/>
    <w:rPr>
      <w:rFonts w:ascii="Perpetua Std" w:hAnsi="Perpetua Std"/>
    </w:rPr>
  </w:style>
  <w:style w:type="paragraph" w:styleId="Heading1">
    <w:name w:val="heading 1"/>
    <w:basedOn w:val="Normal"/>
    <w:next w:val="Normal"/>
    <w:link w:val="Heading1Char"/>
    <w:qFormat/>
    <w:rsid w:val="00B5537D"/>
    <w:pPr>
      <w:keepNext/>
      <w:outlineLvl w:val="0"/>
    </w:pPr>
    <w:rPr>
      <w:b/>
    </w:rPr>
  </w:style>
  <w:style w:type="paragraph" w:styleId="Heading2">
    <w:name w:val="heading 2"/>
    <w:basedOn w:val="Normal"/>
    <w:next w:val="Normal"/>
    <w:link w:val="Heading2Char"/>
    <w:qFormat/>
    <w:rsid w:val="00B5537D"/>
    <w:pPr>
      <w:keepNext/>
      <w:spacing w:before="240" w:after="60"/>
      <w:outlineLvl w:val="1"/>
    </w:pPr>
    <w:rPr>
      <w:rFonts w:ascii="Arial" w:hAnsi="Arial"/>
      <w:b/>
      <w:i/>
      <w:sz w:val="24"/>
    </w:rPr>
  </w:style>
  <w:style w:type="paragraph" w:styleId="Heading3">
    <w:name w:val="heading 3"/>
    <w:basedOn w:val="Normal"/>
    <w:next w:val="Normal"/>
    <w:link w:val="Heading3Char"/>
    <w:qFormat/>
    <w:rsid w:val="00B5537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5537D"/>
    <w:pPr>
      <w:spacing w:after="240"/>
      <w:jc w:val="both"/>
    </w:pPr>
    <w:rPr>
      <w:rFonts w:ascii="Helvetica LT Std" w:hAnsi="Helvetica LT Std"/>
      <w:b/>
      <w:color w:val="000000"/>
      <w:sz w:val="26"/>
    </w:rPr>
  </w:style>
  <w:style w:type="paragraph" w:customStyle="1" w:styleId="PA">
    <w:name w:val="PA"/>
    <w:next w:val="Normal"/>
    <w:link w:val="PAChar"/>
    <w:rsid w:val="00B5537D"/>
    <w:pPr>
      <w:spacing w:after="240"/>
      <w:ind w:firstLine="288"/>
      <w:jc w:val="both"/>
    </w:pPr>
    <w:rPr>
      <w:rFonts w:ascii="Perpetua Std" w:hAnsi="Perpetua Std"/>
      <w:color w:val="000000"/>
      <w:sz w:val="24"/>
    </w:rPr>
  </w:style>
  <w:style w:type="character" w:customStyle="1" w:styleId="PAChar">
    <w:name w:val="PA Char"/>
    <w:link w:val="PA"/>
    <w:rsid w:val="00B5537D"/>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B5537D"/>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B5537D"/>
    <w:pPr>
      <w:tabs>
        <w:tab w:val="left" w:pos="720"/>
      </w:tabs>
      <w:spacing w:after="240"/>
      <w:ind w:left="720" w:hanging="360"/>
      <w:jc w:val="both"/>
    </w:pPr>
    <w:rPr>
      <w:rFonts w:ascii="Perpetua Std" w:hAnsi="Perpetua Std"/>
      <w:color w:val="000000"/>
      <w:sz w:val="24"/>
    </w:rPr>
  </w:style>
  <w:style w:type="paragraph" w:customStyle="1" w:styleId="HD">
    <w:name w:val="HD"/>
    <w:rsid w:val="00B5537D"/>
    <w:pPr>
      <w:suppressAutoHyphens/>
      <w:spacing w:before="120"/>
      <w:jc w:val="center"/>
    </w:pPr>
    <w:rPr>
      <w:rFonts w:ascii="Helvetica LT Std" w:hAnsi="Helvetica LT Std"/>
      <w:sz w:val="26"/>
      <w:szCs w:val="18"/>
    </w:rPr>
  </w:style>
  <w:style w:type="paragraph" w:customStyle="1" w:styleId="PN">
    <w:name w:val="PN"/>
    <w:rsid w:val="00B5537D"/>
    <w:pPr>
      <w:spacing w:after="240"/>
      <w:ind w:left="720" w:firstLine="288"/>
      <w:jc w:val="both"/>
    </w:pPr>
    <w:rPr>
      <w:rFonts w:ascii="Perpetua Std" w:eastAsia="MS Mincho" w:hAnsi="Perpetua Std"/>
      <w:color w:val="000000"/>
    </w:rPr>
  </w:style>
  <w:style w:type="paragraph" w:customStyle="1" w:styleId="PB">
    <w:name w:val="PB"/>
    <w:rsid w:val="00B5537D"/>
    <w:pPr>
      <w:spacing w:after="240"/>
      <w:jc w:val="both"/>
    </w:pPr>
    <w:rPr>
      <w:rFonts w:ascii="Perpetua Std" w:hAnsi="Perpetua Std"/>
      <w:color w:val="000000"/>
      <w:sz w:val="24"/>
    </w:rPr>
  </w:style>
  <w:style w:type="paragraph" w:customStyle="1" w:styleId="PQ">
    <w:name w:val="PQ"/>
    <w:link w:val="PQChar"/>
    <w:rsid w:val="00B5537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5537D"/>
    <w:rPr>
      <w:rFonts w:ascii="Adobe Caslon Pro" w:hAnsi="Adobe Caslon Pro"/>
      <w:color w:val="000000"/>
      <w:sz w:val="14"/>
    </w:rPr>
  </w:style>
  <w:style w:type="paragraph" w:customStyle="1" w:styleId="PF">
    <w:name w:val="PF"/>
    <w:rsid w:val="00B5537D"/>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B5537D"/>
    <w:pPr>
      <w:spacing w:before="120" w:after="120"/>
      <w:jc w:val="center"/>
    </w:pPr>
    <w:rPr>
      <w:rFonts w:ascii="Helvetica LT Std" w:hAnsi="Helvetica LT Std"/>
      <w:sz w:val="24"/>
    </w:rPr>
  </w:style>
  <w:style w:type="table" w:styleId="TableGrid">
    <w:name w:val="Table Grid"/>
    <w:basedOn w:val="TableNormal"/>
    <w:rsid w:val="00B5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B5537D"/>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B5537D"/>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B5537D"/>
    <w:pPr>
      <w:spacing w:before="144"/>
      <w:jc w:val="both"/>
    </w:pPr>
    <w:rPr>
      <w:noProof/>
    </w:rPr>
  </w:style>
  <w:style w:type="paragraph" w:customStyle="1" w:styleId="PD">
    <w:name w:val="PD"/>
    <w:rsid w:val="00B5537D"/>
    <w:pPr>
      <w:spacing w:after="240"/>
      <w:ind w:left="720" w:firstLine="288"/>
      <w:jc w:val="both"/>
    </w:pPr>
    <w:rPr>
      <w:rFonts w:ascii="Perpetua Std" w:hAnsi="Perpetua Std"/>
      <w:color w:val="000000"/>
      <w:sz w:val="24"/>
    </w:rPr>
  </w:style>
  <w:style w:type="paragraph" w:customStyle="1" w:styleId="PE">
    <w:name w:val="PE"/>
    <w:rsid w:val="00B5537D"/>
    <w:pPr>
      <w:spacing w:after="240"/>
      <w:ind w:left="720"/>
      <w:jc w:val="both"/>
    </w:pPr>
    <w:rPr>
      <w:rFonts w:ascii="Perpetua Std" w:hAnsi="Perpetua Std"/>
      <w:color w:val="000000"/>
      <w:sz w:val="24"/>
    </w:rPr>
  </w:style>
  <w:style w:type="paragraph" w:customStyle="1" w:styleId="PG">
    <w:name w:val="PG"/>
    <w:rsid w:val="00B5537D"/>
    <w:pPr>
      <w:spacing w:after="240"/>
      <w:ind w:left="360"/>
      <w:jc w:val="both"/>
    </w:pPr>
    <w:rPr>
      <w:rFonts w:ascii="Perpetua Std" w:hAnsi="Perpetua Std"/>
      <w:color w:val="000000"/>
      <w:sz w:val="24"/>
    </w:rPr>
  </w:style>
  <w:style w:type="paragraph" w:customStyle="1" w:styleId="PH">
    <w:name w:val="PH"/>
    <w:rsid w:val="00B5537D"/>
    <w:pPr>
      <w:tabs>
        <w:tab w:val="left" w:pos="360"/>
      </w:tabs>
      <w:spacing w:after="240"/>
      <w:ind w:left="360" w:hanging="360"/>
      <w:jc w:val="both"/>
    </w:pPr>
    <w:rPr>
      <w:rFonts w:ascii="Perpetua Std" w:hAnsi="Perpetua Std"/>
      <w:color w:val="000000"/>
      <w:sz w:val="24"/>
    </w:rPr>
  </w:style>
  <w:style w:type="paragraph" w:customStyle="1" w:styleId="PI">
    <w:name w:val="PI"/>
    <w:rsid w:val="00B5537D"/>
    <w:pPr>
      <w:spacing w:after="240"/>
      <w:ind w:left="360" w:hanging="360"/>
      <w:jc w:val="both"/>
    </w:pPr>
    <w:rPr>
      <w:rFonts w:ascii="Perpetua Std" w:hAnsi="Perpetua Std"/>
      <w:color w:val="000000"/>
      <w:sz w:val="24"/>
    </w:rPr>
  </w:style>
  <w:style w:type="paragraph" w:customStyle="1" w:styleId="PK">
    <w:name w:val="PK"/>
    <w:rsid w:val="00B5537D"/>
    <w:pPr>
      <w:spacing w:after="240"/>
      <w:ind w:left="360" w:firstLine="288"/>
      <w:jc w:val="both"/>
    </w:pPr>
    <w:rPr>
      <w:rFonts w:ascii="Perpetua Std" w:hAnsi="Perpetua Std"/>
      <w:color w:val="000000"/>
      <w:sz w:val="24"/>
    </w:rPr>
  </w:style>
  <w:style w:type="paragraph" w:customStyle="1" w:styleId="PL">
    <w:name w:val="PL"/>
    <w:rsid w:val="00B5537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5537D"/>
    <w:pPr>
      <w:spacing w:after="240"/>
      <w:ind w:left="432" w:right="432" w:firstLine="432"/>
      <w:jc w:val="both"/>
    </w:pPr>
    <w:rPr>
      <w:rFonts w:ascii="Minion Pro" w:hAnsi="Minion Pro"/>
    </w:rPr>
  </w:style>
  <w:style w:type="paragraph" w:customStyle="1" w:styleId="TOC">
    <w:name w:val="TOC"/>
    <w:autoRedefine/>
    <w:rsid w:val="00B5537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5537D"/>
    <w:pPr>
      <w:tabs>
        <w:tab w:val="clear" w:pos="1440"/>
        <w:tab w:val="clear" w:pos="8640"/>
        <w:tab w:val="left" w:pos="240"/>
        <w:tab w:val="left" w:pos="480"/>
        <w:tab w:val="right" w:leader="dot" w:pos="4680"/>
      </w:tabs>
      <w:ind w:left="0" w:firstLine="0"/>
    </w:pPr>
    <w:rPr>
      <w:sz w:val="22"/>
    </w:rPr>
  </w:style>
  <w:style w:type="paragraph" w:customStyle="1" w:styleId="PP">
    <w:name w:val="PP"/>
    <w:rsid w:val="00B5537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B5537D"/>
    <w:pPr>
      <w:spacing w:after="240"/>
      <w:jc w:val="center"/>
    </w:pPr>
    <w:rPr>
      <w:rFonts w:ascii="Helvetica LT Std" w:hAnsi="Helvetica LT Std"/>
      <w:b/>
      <w:caps/>
      <w:color w:val="000000"/>
      <w:sz w:val="36"/>
      <w:szCs w:val="32"/>
    </w:rPr>
  </w:style>
  <w:style w:type="paragraph" w:customStyle="1" w:styleId="HB">
    <w:name w:val="HB"/>
    <w:rsid w:val="00B5537D"/>
    <w:pPr>
      <w:spacing w:before="120" w:after="240"/>
      <w:jc w:val="center"/>
    </w:pPr>
    <w:rPr>
      <w:rFonts w:ascii="Helvetica LT Std" w:hAnsi="Helvetica LT Std"/>
      <w:b/>
      <w:color w:val="5F5F5F"/>
      <w:w w:val="105"/>
      <w:sz w:val="32"/>
    </w:rPr>
  </w:style>
  <w:style w:type="paragraph" w:customStyle="1" w:styleId="HC">
    <w:name w:val="HC"/>
    <w:autoRedefine/>
    <w:rsid w:val="00B5537D"/>
    <w:pPr>
      <w:tabs>
        <w:tab w:val="left" w:pos="284"/>
      </w:tabs>
      <w:spacing w:before="120" w:after="120"/>
      <w:jc w:val="center"/>
    </w:pPr>
    <w:rPr>
      <w:rFonts w:ascii="Helvetica LT Std" w:hAnsi="Helvetica LT Std"/>
      <w:b/>
      <w:color w:val="000000"/>
      <w:w w:val="110"/>
      <w:sz w:val="26"/>
    </w:rPr>
  </w:style>
  <w:style w:type="paragraph" w:customStyle="1" w:styleId="PR">
    <w:name w:val="PR"/>
    <w:rsid w:val="00B5537D"/>
    <w:pPr>
      <w:spacing w:after="240"/>
      <w:ind w:left="360" w:firstLine="288"/>
      <w:jc w:val="both"/>
    </w:pPr>
    <w:rPr>
      <w:rFonts w:ascii="Adobe Caslon Pro" w:hAnsi="Adobe Caslon Pro"/>
      <w:color w:val="000000"/>
      <w:sz w:val="14"/>
    </w:rPr>
  </w:style>
  <w:style w:type="paragraph" w:customStyle="1" w:styleId="PO">
    <w:name w:val="PO"/>
    <w:rsid w:val="00B5537D"/>
    <w:pPr>
      <w:spacing w:after="240"/>
      <w:jc w:val="both"/>
    </w:pPr>
    <w:rPr>
      <w:rFonts w:ascii="Perpetua Std" w:hAnsi="Perpetua Std"/>
      <w:color w:val="000000"/>
      <w:w w:val="95"/>
      <w:szCs w:val="16"/>
    </w:rPr>
  </w:style>
  <w:style w:type="paragraph" w:customStyle="1" w:styleId="GUIDEX">
    <w:name w:val="GUIDEX"/>
    <w:rsid w:val="00B5537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5537D"/>
    <w:pPr>
      <w:tabs>
        <w:tab w:val="clear" w:pos="240"/>
        <w:tab w:val="clear" w:pos="480"/>
        <w:tab w:val="clear" w:pos="720"/>
        <w:tab w:val="right" w:pos="4680"/>
      </w:tabs>
    </w:pPr>
  </w:style>
  <w:style w:type="paragraph" w:customStyle="1" w:styleId="PCB">
    <w:name w:val="PCB"/>
    <w:autoRedefine/>
    <w:rsid w:val="00B5537D"/>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B5537D"/>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5537D"/>
    <w:rPr>
      <w:rFonts w:ascii="Perpetua Std" w:hAnsi="Perpetua Std"/>
    </w:rPr>
  </w:style>
  <w:style w:type="paragraph" w:styleId="NoSpacing">
    <w:name w:val="No Spacing"/>
    <w:qFormat/>
    <w:rsid w:val="00B5537D"/>
    <w:rPr>
      <w:rFonts w:ascii="Perpetua" w:hAnsi="Perpetua"/>
    </w:rPr>
  </w:style>
  <w:style w:type="paragraph" w:customStyle="1" w:styleId="PCA">
    <w:name w:val="PCA"/>
    <w:rsid w:val="00B5537D"/>
    <w:pPr>
      <w:numPr>
        <w:numId w:val="29"/>
      </w:numPr>
      <w:tabs>
        <w:tab w:val="left" w:pos="720"/>
      </w:tabs>
      <w:spacing w:after="240"/>
      <w:jc w:val="both"/>
    </w:pPr>
    <w:rPr>
      <w:rFonts w:ascii="Perpetua Std" w:hAnsi="Perpetua Std"/>
      <w:sz w:val="24"/>
    </w:rPr>
  </w:style>
  <w:style w:type="paragraph" w:customStyle="1" w:styleId="PHB">
    <w:name w:val="PHB"/>
    <w:rsid w:val="00B5537D"/>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B5537D"/>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8530. Who qualifies for the tax credit for the elderly and the permanently and totally disabled and how is the credit computed?</vt:lpstr>
    </vt:vector>
  </TitlesOfParts>
  <Company>Summit Business Media</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8530. Who qualifies for the tax credit for the elderly and the permanently and totally disabled and how is the credit computed?</dc:title>
  <dc:creator>Alexis Long</dc:creator>
  <cp:lastModifiedBy>rcline</cp:lastModifiedBy>
  <cp:revision>2</cp:revision>
  <dcterms:created xsi:type="dcterms:W3CDTF">2014-08-20T17:31:00Z</dcterms:created>
  <dcterms:modified xsi:type="dcterms:W3CDTF">2014-08-20T17:31:00Z</dcterms:modified>
</cp:coreProperties>
</file>