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8C" w:rsidRPr="0062328C" w:rsidRDefault="0062328C" w:rsidP="00097038">
      <w:pPr>
        <w:pStyle w:val="PA"/>
        <w:rPr>
          <w:b/>
        </w:rPr>
      </w:pPr>
      <w:bookmarkStart w:id="0" w:name="_GoBack"/>
      <w:bookmarkEnd w:id="0"/>
      <w:r w:rsidRPr="0062328C">
        <w:rPr>
          <w:b/>
        </w:rPr>
        <w:t>8526.  What substantiation requirements must a taxpayer satisfy in order to claim an income tax deduction for a charitable donation?</w:t>
      </w:r>
    </w:p>
    <w:p w:rsidR="00427B74" w:rsidRPr="00532B64" w:rsidRDefault="002E46AF" w:rsidP="00097038">
      <w:pPr>
        <w:pStyle w:val="PA"/>
      </w:pPr>
      <w:r w:rsidRPr="00532B64">
        <w:t xml:space="preserve">A taxpayer-donor is not entitled to a </w:t>
      </w:r>
      <w:r w:rsidR="007D6D13" w:rsidRPr="00532B64">
        <w:t>charitable deduction for a contribution of cash, check, or other monetary gift unless the donor maintains either a bank record or a written communication from the donee showing the name of the organization and the date and the amount of the contribution.</w:t>
      </w:r>
      <w:r w:rsidR="007D6D13" w:rsidRPr="00532B64">
        <w:rPr>
          <w:vertAlign w:val="superscript"/>
        </w:rPr>
        <w:footnoteReference w:id="1"/>
      </w:r>
    </w:p>
    <w:p w:rsidR="00427B74" w:rsidRPr="00532B64" w:rsidRDefault="002E46AF" w:rsidP="00097038">
      <w:pPr>
        <w:pStyle w:val="PA"/>
      </w:pPr>
      <w:r w:rsidRPr="00532B64">
        <w:t>A taxpayer must substantiate a c</w:t>
      </w:r>
      <w:r w:rsidR="007D6D13" w:rsidRPr="00532B64">
        <w:t xml:space="preserve">haritable contribution of $250 or more (whether in cash or property) by a contemporaneous written acknowledgment of the contribution supplied by the charitable organization. </w:t>
      </w:r>
      <w:r w:rsidR="00704D91" w:rsidRPr="00532B64">
        <w:t>The taxpayer is not</w:t>
      </w:r>
      <w:r w:rsidR="007D6D13" w:rsidRPr="00532B64">
        <w:t xml:space="preserve"> required </w:t>
      </w:r>
      <w:r w:rsidR="00704D91" w:rsidRPr="00532B64">
        <w:t xml:space="preserve">to provide substantiation </w:t>
      </w:r>
      <w:r w:rsidR="007D6D13" w:rsidRPr="00532B64">
        <w:t>if certain information is reported on a return filed by the charitable organization.</w:t>
      </w:r>
      <w:r w:rsidR="007D6D13" w:rsidRPr="00532B64">
        <w:rPr>
          <w:vertAlign w:val="superscript"/>
        </w:rPr>
        <w:footnoteReference w:id="2"/>
      </w:r>
      <w:r w:rsidR="007D6D13" w:rsidRPr="00532B64">
        <w:t xml:space="preserve"> (An organization can provide the acknowledgement electronically, such as</w:t>
      </w:r>
      <w:r w:rsidR="00427B74" w:rsidRPr="00532B64">
        <w:t xml:space="preserve"> </w:t>
      </w:r>
      <w:r w:rsidR="00A742F9">
        <w:t xml:space="preserve">in </w:t>
      </w:r>
      <w:r w:rsidR="007D6D13" w:rsidRPr="00532B64">
        <w:t>an e-mail addressed to the donor).</w:t>
      </w:r>
      <w:r w:rsidR="007D6D13" w:rsidRPr="00532B64">
        <w:rPr>
          <w:vertAlign w:val="superscript"/>
        </w:rPr>
        <w:footnoteReference w:id="3"/>
      </w:r>
      <w:r w:rsidR="007D6D13" w:rsidRPr="00532B64">
        <w:t xml:space="preserve"> Special rules apply to the substantiation and disclosure of quid pro quo contributions and contributions made by payroll deduction.</w:t>
      </w:r>
      <w:r w:rsidR="007D6D13" w:rsidRPr="00532B64">
        <w:rPr>
          <w:vertAlign w:val="superscript"/>
        </w:rPr>
        <w:footnoteReference w:id="4"/>
      </w:r>
      <w:r w:rsidR="007D6D13" w:rsidRPr="00532B64">
        <w:t xml:space="preserve"> </w:t>
      </w:r>
      <w:r w:rsidRPr="00532B64">
        <w:t xml:space="preserve">A taxpayer must generally obtain a </w:t>
      </w:r>
      <w:r w:rsidR="007D6D13" w:rsidRPr="00532B64">
        <w:t xml:space="preserve">qualified appraisal for contributions of property </w:t>
      </w:r>
      <w:r w:rsidR="00704D91" w:rsidRPr="00532B64">
        <w:t xml:space="preserve">that is difficult to value if </w:t>
      </w:r>
      <w:r w:rsidR="000B6372" w:rsidRPr="00532B64">
        <w:t>the taxpayer</w:t>
      </w:r>
      <w:r w:rsidR="00427B74" w:rsidRPr="00532B64">
        <w:t xml:space="preserve"> </w:t>
      </w:r>
      <w:r w:rsidR="00704D91" w:rsidRPr="00532B64">
        <w:t>claims a</w:t>
      </w:r>
      <w:r w:rsidR="007D6D13" w:rsidRPr="00532B64">
        <w:t xml:space="preserve"> </w:t>
      </w:r>
      <w:r w:rsidR="00704D91" w:rsidRPr="00532B64">
        <w:t>deduction of more than $5,000 for the donation</w:t>
      </w:r>
      <w:r w:rsidR="007D6D13" w:rsidRPr="00532B64">
        <w:t>.</w:t>
      </w:r>
      <w:r w:rsidR="007D6D13" w:rsidRPr="00532B64">
        <w:rPr>
          <w:vertAlign w:val="superscript"/>
        </w:rPr>
        <w:footnoteReference w:id="5"/>
      </w:r>
    </w:p>
    <w:p w:rsidR="007D6D13" w:rsidRPr="00532B64" w:rsidRDefault="002E46AF" w:rsidP="00097038">
      <w:pPr>
        <w:pStyle w:val="PA"/>
      </w:pPr>
      <w:r w:rsidRPr="00532B64">
        <w:t>A taxpayer is not entitled to a deduction</w:t>
      </w:r>
      <w:r w:rsidR="007D6D13" w:rsidRPr="00532B64">
        <w:t xml:space="preserve"> for a contribution of clothing or household item</w:t>
      </w:r>
      <w:r w:rsidR="00A742F9">
        <w:t>s</w:t>
      </w:r>
      <w:r w:rsidR="007D6D13" w:rsidRPr="00532B64">
        <w:t xml:space="preserve"> unless the property is in </w:t>
      </w:r>
      <w:r w:rsidR="00704D91" w:rsidRPr="00532B64">
        <w:t xml:space="preserve">new or </w:t>
      </w:r>
      <w:r w:rsidR="007D6D13" w:rsidRPr="00532B64">
        <w:t xml:space="preserve">good used condition. </w:t>
      </w:r>
      <w:r w:rsidR="000925AB" w:rsidRPr="00532B64">
        <w:t>A</w:t>
      </w:r>
      <w:r w:rsidR="007D6D13" w:rsidRPr="00532B64">
        <w:t xml:space="preserve"> deduction for a contribution of clothing or household item</w:t>
      </w:r>
      <w:r w:rsidR="00A742F9">
        <w:t>s</w:t>
      </w:r>
      <w:r w:rsidR="007D6D13" w:rsidRPr="00532B64">
        <w:t xml:space="preserve"> </w:t>
      </w:r>
      <w:r w:rsidR="000925AB" w:rsidRPr="00532B64">
        <w:t xml:space="preserve">may be denied if the property </w:t>
      </w:r>
      <w:r w:rsidR="007D6D13" w:rsidRPr="00532B64">
        <w:t xml:space="preserve">has minimal monetary value. These rules do not apply to a contribution of a single item if </w:t>
      </w:r>
      <w:r w:rsidR="000925AB" w:rsidRPr="00532B64">
        <w:t xml:space="preserve">the taxpayer claims </w:t>
      </w:r>
      <w:r w:rsidR="007D6D13" w:rsidRPr="00532B64">
        <w:t xml:space="preserve">a deduction of more than $500 </w:t>
      </w:r>
      <w:r w:rsidR="000925AB" w:rsidRPr="00532B64">
        <w:t>and includes</w:t>
      </w:r>
      <w:r w:rsidR="007D6D13" w:rsidRPr="00532B64">
        <w:t xml:space="preserve"> a qualified appraisal with the return. Household items include furniture, furnishings, electronics, linens, appliances, and similar items; but not food, art, jewelry, and collections.</w:t>
      </w:r>
      <w:r w:rsidR="007D6D13" w:rsidRPr="00532B64">
        <w:rPr>
          <w:vertAlign w:val="superscript"/>
        </w:rPr>
        <w:footnoteReference w:id="6"/>
      </w:r>
    </w:p>
    <w:p w:rsidR="00427B74" w:rsidRPr="00532B64" w:rsidRDefault="007D6D13" w:rsidP="00097038">
      <w:pPr>
        <w:pStyle w:val="PA"/>
      </w:pPr>
      <w:r w:rsidRPr="00532B64">
        <w:t>Special rules apply to certain types of gifts, including charitable donations of patents and intellectual property, and for donations of used motor vehicles, boats, and airplanes.</w:t>
      </w:r>
      <w:r w:rsidRPr="00532B64">
        <w:rPr>
          <w:vertAlign w:val="superscript"/>
        </w:rPr>
        <w:footnoteReference w:id="7"/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17" w:rsidRDefault="001F3F17" w:rsidP="006F074C">
      <w:r>
        <w:separator/>
      </w:r>
    </w:p>
  </w:endnote>
  <w:endnote w:type="continuationSeparator" w:id="0">
    <w:p w:rsidR="001F3F17" w:rsidRDefault="001F3F17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17" w:rsidRDefault="001F3F17" w:rsidP="006F074C">
      <w:r>
        <w:separator/>
      </w:r>
    </w:p>
  </w:footnote>
  <w:footnote w:type="continuationSeparator" w:id="0">
    <w:p w:rsidR="001F3F17" w:rsidRDefault="001F3F17" w:rsidP="006F074C">
      <w:r>
        <w:continuationSeparator/>
      </w:r>
    </w:p>
  </w:footnote>
  <w:footnote w:id="1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IRC Sec. 170(f)(17).</w:t>
      </w:r>
    </w:p>
  </w:footnote>
  <w:footnote w:id="2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IRC Sec. 170(f)(8).</w:t>
      </w:r>
    </w:p>
  </w:footnote>
  <w:footnote w:id="3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IRS Pub. 1771 (March 2008), p. 6.</w:t>
      </w:r>
    </w:p>
  </w:footnote>
  <w:footnote w:id="4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Treas. Regs. §§1.170A-13(f), 1.6115-1.</w:t>
      </w:r>
    </w:p>
  </w:footnote>
  <w:footnote w:id="5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IRC Sec. 170(f)(11).</w:t>
      </w:r>
    </w:p>
  </w:footnote>
  <w:footnote w:id="6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IRC Sec. 170(f)(16).</w:t>
      </w:r>
    </w:p>
  </w:footnote>
  <w:footnote w:id="7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See IRC Secs. 170(e)(1)(B), 170(f)(11), 170(f)(12), 170(m); Notice 2005-44, 2005-25 IRB 1287.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64C56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26AF7"/>
    <w:rsid w:val="00141FAB"/>
    <w:rsid w:val="00142949"/>
    <w:rsid w:val="0017741C"/>
    <w:rsid w:val="00197132"/>
    <w:rsid w:val="0019748C"/>
    <w:rsid w:val="001A2727"/>
    <w:rsid w:val="001D0595"/>
    <w:rsid w:val="001E1AC3"/>
    <w:rsid w:val="001F3F17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57234"/>
    <w:rsid w:val="00360557"/>
    <w:rsid w:val="00377919"/>
    <w:rsid w:val="00383953"/>
    <w:rsid w:val="003B1DF7"/>
    <w:rsid w:val="003B450F"/>
    <w:rsid w:val="003B65D8"/>
    <w:rsid w:val="003C1548"/>
    <w:rsid w:val="003F00D7"/>
    <w:rsid w:val="003F05E5"/>
    <w:rsid w:val="00407D8B"/>
    <w:rsid w:val="004167F4"/>
    <w:rsid w:val="00427B74"/>
    <w:rsid w:val="00435B94"/>
    <w:rsid w:val="00456493"/>
    <w:rsid w:val="00474C65"/>
    <w:rsid w:val="00484642"/>
    <w:rsid w:val="004875B7"/>
    <w:rsid w:val="00487A39"/>
    <w:rsid w:val="004C5F26"/>
    <w:rsid w:val="004E7836"/>
    <w:rsid w:val="00501B90"/>
    <w:rsid w:val="00511E10"/>
    <w:rsid w:val="00521FCB"/>
    <w:rsid w:val="005223B9"/>
    <w:rsid w:val="00532B64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070A8"/>
    <w:rsid w:val="006152E6"/>
    <w:rsid w:val="0061599B"/>
    <w:rsid w:val="0062328C"/>
    <w:rsid w:val="006376F3"/>
    <w:rsid w:val="00644A44"/>
    <w:rsid w:val="00660C3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12551"/>
    <w:rsid w:val="00723223"/>
    <w:rsid w:val="00725619"/>
    <w:rsid w:val="00725A6D"/>
    <w:rsid w:val="007343A3"/>
    <w:rsid w:val="007865B2"/>
    <w:rsid w:val="00786F5E"/>
    <w:rsid w:val="00794370"/>
    <w:rsid w:val="007A070C"/>
    <w:rsid w:val="007B5A4F"/>
    <w:rsid w:val="007D39E8"/>
    <w:rsid w:val="007D6D13"/>
    <w:rsid w:val="007D7748"/>
    <w:rsid w:val="0080472F"/>
    <w:rsid w:val="00804FC2"/>
    <w:rsid w:val="0082358C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5488D"/>
    <w:rsid w:val="00956423"/>
    <w:rsid w:val="00957231"/>
    <w:rsid w:val="009626DD"/>
    <w:rsid w:val="0097483E"/>
    <w:rsid w:val="009938E4"/>
    <w:rsid w:val="009C0B32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742F9"/>
    <w:rsid w:val="00A82E6D"/>
    <w:rsid w:val="00B15D08"/>
    <w:rsid w:val="00B20CBB"/>
    <w:rsid w:val="00B47F6C"/>
    <w:rsid w:val="00B97105"/>
    <w:rsid w:val="00BA22F5"/>
    <w:rsid w:val="00BC19F7"/>
    <w:rsid w:val="00BC5792"/>
    <w:rsid w:val="00BC6F51"/>
    <w:rsid w:val="00BE317F"/>
    <w:rsid w:val="00BF4BC0"/>
    <w:rsid w:val="00C14984"/>
    <w:rsid w:val="00C15AF0"/>
    <w:rsid w:val="00C1615A"/>
    <w:rsid w:val="00C3032D"/>
    <w:rsid w:val="00C360BE"/>
    <w:rsid w:val="00C427E1"/>
    <w:rsid w:val="00C5496F"/>
    <w:rsid w:val="00C64FEC"/>
    <w:rsid w:val="00C7768E"/>
    <w:rsid w:val="00C92346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B3BF0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965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03C24"/>
    <w:rsid w:val="00F118CC"/>
    <w:rsid w:val="00F16B3F"/>
    <w:rsid w:val="00F66D50"/>
    <w:rsid w:val="00F96BEC"/>
    <w:rsid w:val="00F9714F"/>
    <w:rsid w:val="00FB7360"/>
    <w:rsid w:val="00FC74E6"/>
    <w:rsid w:val="00FD0C71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26AF7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26AF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6AF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26AF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126AF7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126AF7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126AF7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126AF7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126AF7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126AF7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126AF7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126AF7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126AF7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26AF7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126AF7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126AF7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12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A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126A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126AF7"/>
    <w:pPr>
      <w:spacing w:before="144"/>
      <w:jc w:val="both"/>
    </w:pPr>
    <w:rPr>
      <w:noProof/>
    </w:rPr>
  </w:style>
  <w:style w:type="paragraph" w:customStyle="1" w:styleId="PD">
    <w:name w:val="PD"/>
    <w:rsid w:val="00126AF7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26AF7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26AF7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26AF7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26AF7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26AF7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26AF7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26AF7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26AF7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26AF7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126AF7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126AF7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26AF7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126AF7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26AF7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26AF7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26AF7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26AF7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26AF7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26AF7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26AF7"/>
    <w:rPr>
      <w:rFonts w:ascii="Perpetua Std" w:hAnsi="Perpetua Std"/>
    </w:rPr>
  </w:style>
  <w:style w:type="paragraph" w:styleId="NoSpacing">
    <w:name w:val="No Spacing"/>
    <w:qFormat/>
    <w:rsid w:val="00126AF7"/>
    <w:rPr>
      <w:rFonts w:ascii="Perpetua" w:hAnsi="Perpetua"/>
    </w:rPr>
  </w:style>
  <w:style w:type="paragraph" w:customStyle="1" w:styleId="PCA">
    <w:name w:val="PCA"/>
    <w:rsid w:val="00126AF7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26AF7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26AF7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26AF7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26AF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6AF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26AF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126AF7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126AF7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126AF7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126AF7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126AF7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126AF7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126AF7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126AF7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126AF7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26AF7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126AF7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126AF7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12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A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126A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126AF7"/>
    <w:pPr>
      <w:spacing w:before="144"/>
      <w:jc w:val="both"/>
    </w:pPr>
    <w:rPr>
      <w:noProof/>
    </w:rPr>
  </w:style>
  <w:style w:type="paragraph" w:customStyle="1" w:styleId="PD">
    <w:name w:val="PD"/>
    <w:rsid w:val="00126AF7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26AF7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26AF7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26AF7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26AF7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26AF7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26AF7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26AF7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26AF7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26AF7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126AF7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126AF7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26AF7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126AF7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26AF7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26AF7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26AF7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26AF7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26AF7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26AF7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26AF7"/>
    <w:rPr>
      <w:rFonts w:ascii="Perpetua Std" w:hAnsi="Perpetua Std"/>
    </w:rPr>
  </w:style>
  <w:style w:type="paragraph" w:styleId="NoSpacing">
    <w:name w:val="No Spacing"/>
    <w:qFormat/>
    <w:rsid w:val="00126AF7"/>
    <w:rPr>
      <w:rFonts w:ascii="Perpetua" w:hAnsi="Perpetua"/>
    </w:rPr>
  </w:style>
  <w:style w:type="paragraph" w:customStyle="1" w:styleId="PCA">
    <w:name w:val="PCA"/>
    <w:rsid w:val="00126AF7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26AF7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26AF7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8526. What substantiation requirements must a taxpayer satisfy in order to claim an income tax deduction for a charitable donation?</vt:lpstr>
    </vt:vector>
  </TitlesOfParts>
  <Company>Summit Business Media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8526. What substantiation requirements must a taxpayer satisfy in order to claim an income tax deduction for a charitable donation?</dc:title>
  <dc:creator>Alexis Long</dc:creator>
  <cp:lastModifiedBy>rcline</cp:lastModifiedBy>
  <cp:revision>2</cp:revision>
  <dcterms:created xsi:type="dcterms:W3CDTF">2014-08-20T16:57:00Z</dcterms:created>
  <dcterms:modified xsi:type="dcterms:W3CDTF">2014-08-20T16:57:00Z</dcterms:modified>
</cp:coreProperties>
</file>