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1B" w:rsidRPr="009A781B" w:rsidRDefault="009A781B" w:rsidP="00D73FC0">
      <w:pPr>
        <w:pStyle w:val="PA"/>
        <w:rPr>
          <w:b/>
        </w:rPr>
      </w:pPr>
      <w:r w:rsidRPr="009A781B">
        <w:rPr>
          <w:b/>
        </w:rPr>
        <w:t xml:space="preserve">8520.  </w:t>
      </w:r>
      <w:r w:rsidR="008D6262">
        <w:rPr>
          <w:b/>
        </w:rPr>
        <w:t xml:space="preserve">What are </w:t>
      </w:r>
      <w:r w:rsidRPr="009A781B">
        <w:rPr>
          <w:b/>
        </w:rPr>
        <w:t>miscellaneous itemized deduction</w:t>
      </w:r>
      <w:r>
        <w:rPr>
          <w:b/>
        </w:rPr>
        <w:t>s</w:t>
      </w:r>
      <w:r w:rsidRPr="009A781B">
        <w:rPr>
          <w:b/>
        </w:rPr>
        <w:t xml:space="preserve">?  </w:t>
      </w:r>
      <w:r w:rsidR="008D6262">
        <w:rPr>
          <w:b/>
        </w:rPr>
        <w:t>To what extent are they deductible</w:t>
      </w:r>
      <w:r w:rsidRPr="009A781B">
        <w:rPr>
          <w:b/>
        </w:rPr>
        <w:t>?</w:t>
      </w:r>
    </w:p>
    <w:p w:rsidR="009A781B" w:rsidRDefault="009A781B" w:rsidP="00D73FC0">
      <w:pPr>
        <w:pStyle w:val="PA"/>
      </w:pPr>
    </w:p>
    <w:p w:rsidR="00427B74" w:rsidRDefault="00811F78" w:rsidP="00D73FC0">
      <w:pPr>
        <w:pStyle w:val="PA"/>
      </w:pPr>
      <w:r w:rsidRPr="00532B64">
        <w:t xml:space="preserve"> </w:t>
      </w:r>
      <w:r w:rsidR="0017741C" w:rsidRPr="00532B64">
        <w:t xml:space="preserve">“Miscellaneous itemized deductions” are </w:t>
      </w:r>
      <w:r w:rsidR="008D6262">
        <w:t>a subset of itemized deductions</w:t>
      </w:r>
      <w:r w:rsidR="0017741C" w:rsidRPr="00532B64">
        <w:t xml:space="preserve"> </w:t>
      </w:r>
      <w:r w:rsidR="0017741C" w:rsidRPr="00532B64">
        <w:rPr>
          <w:i/>
          <w:iCs/>
        </w:rPr>
        <w:t>other than</w:t>
      </w:r>
      <w:r w:rsidR="0017741C" w:rsidRPr="00532B64">
        <w:t xml:space="preserve"> the </w:t>
      </w:r>
      <w:r w:rsidR="00D2117E">
        <w:t xml:space="preserve">regular </w:t>
      </w:r>
      <w:r w:rsidR="008D6262">
        <w:t xml:space="preserve">itemized </w:t>
      </w:r>
      <w:r w:rsidR="0017741C" w:rsidRPr="00532B64">
        <w:t>deductions for (1) interest, (2) taxes, (3) non-business casualty losses and gambling losses, (4) charitable contributions, (5) medical and dental expenses, (6) impairment-related work expenses for handicapped employees, (7) estate taxes on income in respect of a decedent, (8) certain short sale expenses, (9) certain adjustments under the IRC claim of right provisions, (10) unrecovered investment in an annuity contract, (11) amortizable bond premium, and (12) certain expenses of cooperative housing corporations.</w:t>
      </w:r>
      <w:r w:rsidR="0017741C" w:rsidRPr="00532B64">
        <w:rPr>
          <w:vertAlign w:val="superscript"/>
        </w:rPr>
        <w:footnoteReference w:id="1"/>
      </w:r>
    </w:p>
    <w:p w:rsidR="008D6262" w:rsidRDefault="008D6262" w:rsidP="00D2117E">
      <w:pPr>
        <w:jc w:val="both"/>
        <w:rPr>
          <w:szCs w:val="24"/>
        </w:rPr>
      </w:pPr>
      <w:r>
        <w:t xml:space="preserve">     </w:t>
      </w:r>
      <w:r w:rsidR="00D2117E">
        <w:rPr>
          <w:sz w:val="24"/>
          <w:szCs w:val="24"/>
        </w:rPr>
        <w:t xml:space="preserve">Examples of </w:t>
      </w:r>
      <w:r w:rsidRPr="00D2117E">
        <w:rPr>
          <w:sz w:val="24"/>
          <w:szCs w:val="24"/>
        </w:rPr>
        <w:t xml:space="preserve">miscellaneous itemized deductions </w:t>
      </w:r>
      <w:r w:rsidR="00D2117E">
        <w:rPr>
          <w:sz w:val="24"/>
          <w:szCs w:val="24"/>
        </w:rPr>
        <w:t xml:space="preserve">include </w:t>
      </w:r>
      <w:r w:rsidRPr="00D2117E">
        <w:rPr>
          <w:sz w:val="24"/>
          <w:szCs w:val="24"/>
        </w:rPr>
        <w:t>unreimbursed employee business expenses, such as professional society dues or job hunting expenses, and expenses for the production of income, such as investment advisory fees or the cost for storage of taxable securities in a safe deposit box.</w:t>
      </w:r>
      <w:r w:rsidRPr="00D2117E">
        <w:rPr>
          <w:sz w:val="24"/>
          <w:szCs w:val="24"/>
          <w:vertAlign w:val="superscript"/>
        </w:rPr>
        <w:footnoteReference w:id="2"/>
      </w:r>
    </w:p>
    <w:p w:rsidR="008D6262" w:rsidRPr="00D2117E" w:rsidRDefault="008D6262" w:rsidP="00D2117E">
      <w:pPr>
        <w:rPr>
          <w:szCs w:val="24"/>
        </w:rPr>
      </w:pPr>
    </w:p>
    <w:p w:rsidR="008F414A" w:rsidRPr="00532B64" w:rsidRDefault="0017741C" w:rsidP="008F414A">
      <w:pPr>
        <w:pStyle w:val="PA"/>
      </w:pPr>
      <w:r w:rsidRPr="00532B64">
        <w:t xml:space="preserve">“Miscellaneous itemized deductions” are </w:t>
      </w:r>
      <w:r w:rsidR="008D6262">
        <w:t xml:space="preserve">included in the itemized deduction pool </w:t>
      </w:r>
      <w:r w:rsidRPr="00532B64">
        <w:t xml:space="preserve">only to the extent that the aggregate of all </w:t>
      </w:r>
      <w:r w:rsidR="00D2117E">
        <w:t xml:space="preserve">miscellaneous itemized </w:t>
      </w:r>
      <w:r w:rsidRPr="00532B64">
        <w:t>deductions for the tax year exceeds 2 percent</w:t>
      </w:r>
      <w:r w:rsidR="00D73FC0" w:rsidRPr="00532B64">
        <w:t xml:space="preserve"> </w:t>
      </w:r>
      <w:r w:rsidRPr="00532B64">
        <w:t>of adjusted gross income.</w:t>
      </w:r>
      <w:r w:rsidRPr="00532B64">
        <w:rPr>
          <w:vertAlign w:val="superscript"/>
        </w:rPr>
        <w:footnoteReference w:id="3"/>
      </w:r>
      <w:r w:rsidRPr="00532B64">
        <w:t xml:space="preserve"> </w:t>
      </w:r>
      <w:r w:rsidR="008F414A">
        <w:t xml:space="preserve">  </w:t>
      </w:r>
      <w:r w:rsidR="008F414A" w:rsidRPr="00532B64">
        <w:t xml:space="preserve">Expenses that relate to both a trade or business activity </w:t>
      </w:r>
      <w:r w:rsidR="008F414A">
        <w:t xml:space="preserve">(an above-the-line deduction) </w:t>
      </w:r>
      <w:r w:rsidR="008F414A" w:rsidRPr="00532B64">
        <w:t>and a production of income or tax preparation activity must be allocated between the activities on a reasonable basis.</w:t>
      </w:r>
      <w:r w:rsidR="008F414A" w:rsidRPr="00532B64">
        <w:rPr>
          <w:vertAlign w:val="superscript"/>
        </w:rPr>
        <w:footnoteReference w:id="4"/>
      </w:r>
    </w:p>
    <w:p w:rsidR="00427B74" w:rsidRPr="00532B64" w:rsidRDefault="00E337B0" w:rsidP="00097038">
      <w:pPr>
        <w:pStyle w:val="PA"/>
      </w:pPr>
      <w:r>
        <w:rPr>
          <w:i/>
        </w:rPr>
        <w:t>Example:</w:t>
      </w:r>
      <w:r>
        <w:t xml:space="preserve">  In 2014, Asher a single taxpayer has adjusted gross income of $100,000.  His deductible mortgage interest and property taxes (regular itemized deductions) total $4,000.  In addition, Asher has unreimbursed em</w:t>
      </w:r>
      <w:r w:rsidR="008F414A">
        <w:t>ployee business expenses of $2,5</w:t>
      </w:r>
      <w:r>
        <w:t xml:space="preserve">00.  Because unreimbursed employee business expenses are miscellaneous itemized deductions, they are deductible and added to the total of Asher’s other regular itemized deductions only to extent they exceed 2% of his adjusted gross income.  </w:t>
      </w:r>
      <w:r w:rsidR="008F414A">
        <w:t xml:space="preserve"> In this case, Asher’s miscellaneous itemized deductions of $2,500 exceed $2,000 (2% of adjusted gross income) by $500.  As a result, Asher’s total itemized deductions</w:t>
      </w:r>
      <w:r w:rsidR="00D2117E">
        <w:t xml:space="preserve"> would be $4,500 ($4,000 plus $5</w:t>
      </w:r>
      <w:r w:rsidR="008F414A">
        <w:t xml:space="preserve">00).  However, because the standard deduction for a single filer is $6,200, Asher </w:t>
      </w:r>
      <w:r w:rsidR="00D2117E">
        <w:t xml:space="preserve">would deduct </w:t>
      </w:r>
      <w:r w:rsidR="008F414A">
        <w:t>the higher standard deduction amount.</w:t>
      </w:r>
    </w:p>
    <w:p w:rsidR="006E52B0" w:rsidRDefault="0017741C" w:rsidP="00097038">
      <w:pPr>
        <w:pStyle w:val="PA"/>
      </w:pPr>
      <w:r w:rsidRPr="00532B64">
        <w:t xml:space="preserve">A taxpayer </w:t>
      </w:r>
      <w:r w:rsidR="0014785B">
        <w:t xml:space="preserve">may not avoid the </w:t>
      </w:r>
      <w:r w:rsidR="006E52B0">
        <w:t>treatment of an item that would be a miscellaneous itemized deduction by virtue of it passing through to him or her through an entity such as a partnership or S corporation.</w:t>
      </w:r>
      <w:r w:rsidR="006E52B0">
        <w:rPr>
          <w:rStyle w:val="EndnoteReference"/>
        </w:rPr>
        <w:endnoteReference w:id="1"/>
      </w:r>
    </w:p>
    <w:p w:rsidR="00427B74" w:rsidRPr="00532B64" w:rsidRDefault="006E52B0" w:rsidP="00097038">
      <w:pPr>
        <w:pStyle w:val="PA"/>
      </w:pPr>
      <w:r>
        <w:rPr>
          <w:i/>
        </w:rPr>
        <w:t xml:space="preserve">Example:  </w:t>
      </w:r>
      <w:r>
        <w:t>Ashley is a 50%</w:t>
      </w:r>
      <w:r w:rsidR="00AA4F0F">
        <w:t xml:space="preserve"> partner in a partnership engaging</w:t>
      </w:r>
      <w:r>
        <w:t xml:space="preserve"> in an activity for the production of income.  In 2014, Ashley</w:t>
      </w:r>
      <w:r w:rsidR="00AA4F0F">
        <w:t>’s</w:t>
      </w:r>
      <w:bookmarkStart w:id="0" w:name="_GoBack"/>
      <w:bookmarkEnd w:id="0"/>
      <w:r>
        <w:t xml:space="preserve"> allocable share of section 212 production of </w:t>
      </w:r>
      <w:r>
        <w:lastRenderedPageBreak/>
        <w:t>income deductible expenses is $200.  Even though Ashley did not directly incur that expense, she must treat the $200 deductible items as a miscellaneous itemized deduction.  Thus, she must add the $200 to all her other miscellaneous deductions</w:t>
      </w:r>
      <w:r w:rsidR="009550E2">
        <w:t xml:space="preserve"> to determine whether the aggregate amount of those items exceed 2% of her adjusted gross income.</w:t>
      </w:r>
      <w:r w:rsidR="009550E2">
        <w:rPr>
          <w:rStyle w:val="EndnoteReference"/>
        </w:rPr>
        <w:endnoteReference w:id="2"/>
      </w:r>
      <w:r w:rsidR="009550E2">
        <w:t xml:space="preserve"> </w:t>
      </w:r>
    </w:p>
    <w:p w:rsidR="004E7836" w:rsidRPr="004E7836" w:rsidRDefault="004E7836" w:rsidP="004E7836"/>
    <w:sectPr w:rsidR="004E7836" w:rsidRPr="004E7836" w:rsidSect="00271A21">
      <w:footnotePr>
        <w:numRestart w:val="eachPage"/>
      </w:footnotePr>
      <w:endnotePr>
        <w:numFmt w:val="decimal"/>
        <w:numStart w:val="5"/>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5E6" w:rsidRDefault="008215E6" w:rsidP="006F074C">
      <w:r>
        <w:separator/>
      </w:r>
    </w:p>
  </w:endnote>
  <w:endnote w:type="continuationSeparator" w:id="0">
    <w:p w:rsidR="008215E6" w:rsidRDefault="008215E6" w:rsidP="006F074C">
      <w:r>
        <w:continuationSeparator/>
      </w:r>
    </w:p>
  </w:endnote>
  <w:endnote w:id="1">
    <w:p w:rsidR="006E52B0" w:rsidRDefault="006E52B0">
      <w:pPr>
        <w:pStyle w:val="EndnoteText"/>
      </w:pPr>
      <w:r>
        <w:rPr>
          <w:rStyle w:val="EndnoteReference"/>
        </w:rPr>
        <w:endnoteRef/>
      </w:r>
      <w:r w:rsidRPr="00D2117E">
        <w:rPr>
          <w:sz w:val="16"/>
          <w:szCs w:val="16"/>
        </w:rPr>
        <w:t>IRC Sec. 67(c</w:t>
      </w:r>
      <w:proofErr w:type="gramStart"/>
      <w:r w:rsidRPr="00D2117E">
        <w:rPr>
          <w:sz w:val="16"/>
          <w:szCs w:val="16"/>
        </w:rPr>
        <w:t>)(</w:t>
      </w:r>
      <w:proofErr w:type="gramEnd"/>
      <w:r w:rsidRPr="00D2117E">
        <w:rPr>
          <w:sz w:val="16"/>
          <w:szCs w:val="16"/>
        </w:rPr>
        <w:t>1); Temp. Treas. Reg. §1.67-2T.</w:t>
      </w:r>
    </w:p>
  </w:endnote>
  <w:endnote w:id="2">
    <w:p w:rsidR="009550E2" w:rsidRDefault="009550E2">
      <w:pPr>
        <w:pStyle w:val="EndnoteText"/>
      </w:pPr>
      <w:r>
        <w:rPr>
          <w:rStyle w:val="EndnoteReference"/>
        </w:rPr>
        <w:endnoteRef/>
      </w:r>
      <w:r>
        <w:t xml:space="preserve"> </w:t>
      </w:r>
      <w:r w:rsidRPr="007330BC">
        <w:rPr>
          <w:sz w:val="16"/>
          <w:szCs w:val="16"/>
        </w:rPr>
        <w:t>Temp. Treas. Reg. §1.67-2T</w:t>
      </w:r>
      <w:r>
        <w:rPr>
          <w:sz w:val="16"/>
          <w:szCs w:val="16"/>
        </w:rPr>
        <w:t>(b)(2) Example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5E6" w:rsidRDefault="008215E6" w:rsidP="006F074C">
      <w:r>
        <w:separator/>
      </w:r>
    </w:p>
  </w:footnote>
  <w:footnote w:type="continuationSeparator" w:id="0">
    <w:p w:rsidR="008215E6" w:rsidRDefault="008215E6" w:rsidP="006F074C">
      <w:r>
        <w:continuationSeparator/>
      </w:r>
    </w:p>
  </w:footnote>
  <w:footnote w:id="1">
    <w:p w:rsidR="008D6262" w:rsidRPr="00656CEC" w:rsidRDefault="008D6262" w:rsidP="00FE5D9D">
      <w:pPr>
        <w:pStyle w:val="PQ"/>
      </w:pPr>
      <w:r w:rsidRPr="00656CEC">
        <w:footnoteRef/>
      </w:r>
      <w:r>
        <w:t>.</w:t>
      </w:r>
      <w:r>
        <w:tab/>
      </w:r>
      <w:r w:rsidRPr="00656CEC">
        <w:t>IRC Sec. 67(b).</w:t>
      </w:r>
    </w:p>
  </w:footnote>
  <w:footnote w:id="2">
    <w:p w:rsidR="008D6262" w:rsidRPr="00656CEC" w:rsidRDefault="008D6262" w:rsidP="008D6262">
      <w:pPr>
        <w:pStyle w:val="PQ"/>
      </w:pPr>
      <w:r w:rsidRPr="00656CEC">
        <w:footnoteRef/>
      </w:r>
      <w:r>
        <w:t>.</w:t>
      </w:r>
      <w:r>
        <w:tab/>
      </w:r>
      <w:r w:rsidRPr="00656CEC">
        <w:t>Temp. Treas. Reg. §1.67-</w:t>
      </w:r>
      <w:proofErr w:type="gramStart"/>
      <w:r w:rsidRPr="00656CEC">
        <w:t>1T(</w:t>
      </w:r>
      <w:proofErr w:type="gramEnd"/>
      <w:r w:rsidRPr="00656CEC">
        <w:t>a)(1).</w:t>
      </w:r>
    </w:p>
  </w:footnote>
  <w:footnote w:id="3">
    <w:p w:rsidR="008D6262" w:rsidRPr="00656CEC" w:rsidRDefault="008D6262" w:rsidP="00FE5D9D">
      <w:pPr>
        <w:pStyle w:val="PQ"/>
      </w:pPr>
      <w:r w:rsidRPr="00656CEC">
        <w:footnoteRef/>
      </w:r>
      <w:r>
        <w:t>.</w:t>
      </w:r>
      <w:r>
        <w:tab/>
      </w:r>
      <w:r w:rsidRPr="00656CEC">
        <w:t xml:space="preserve">IRC Sec. </w:t>
      </w:r>
      <w:proofErr w:type="gramStart"/>
      <w:r w:rsidRPr="00656CEC">
        <w:t>67(a</w:t>
      </w:r>
      <w:proofErr w:type="gramEnd"/>
      <w:r w:rsidRPr="00656CEC">
        <w:t>).</w:t>
      </w:r>
    </w:p>
  </w:footnote>
  <w:footnote w:id="4">
    <w:p w:rsidR="008F414A" w:rsidRPr="00656CEC" w:rsidRDefault="008F414A" w:rsidP="008F414A">
      <w:pPr>
        <w:pStyle w:val="PQ"/>
      </w:pPr>
      <w:r w:rsidRPr="00656CEC">
        <w:footnoteRef/>
      </w:r>
      <w:r>
        <w:t>.</w:t>
      </w:r>
      <w:r>
        <w:tab/>
      </w:r>
      <w:r w:rsidRPr="00656CEC">
        <w:t>Temp. Treas. Reg. §1.67-1T(c).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7"/>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720"/>
      </w:pPr>
      <w:rPr>
        <w:rFonts w:hint="default"/>
        <w:position w:val="0"/>
      </w:rPr>
    </w:lvl>
    <w:lvl w:ilvl="2">
      <w:start w:val="1"/>
      <w:numFmt w:val="decimal"/>
      <w:isLgl/>
      <w:lvlText w:val="(%3)"/>
      <w:lvlJc w:val="left"/>
      <w:pPr>
        <w:tabs>
          <w:tab w:val="num" w:pos="360"/>
        </w:tabs>
        <w:ind w:left="360" w:firstLine="1440"/>
      </w:pPr>
      <w:rPr>
        <w:rFonts w:hint="default"/>
        <w:position w:val="0"/>
      </w:rPr>
    </w:lvl>
    <w:lvl w:ilvl="3">
      <w:start w:val="1"/>
      <w:numFmt w:val="decimal"/>
      <w:isLgl/>
      <w:lvlText w:val="(%4)"/>
      <w:lvlJc w:val="left"/>
      <w:pPr>
        <w:tabs>
          <w:tab w:val="num" w:pos="360"/>
        </w:tabs>
        <w:ind w:left="360" w:firstLine="2160"/>
      </w:pPr>
      <w:rPr>
        <w:rFonts w:hint="default"/>
        <w:position w:val="0"/>
      </w:rPr>
    </w:lvl>
    <w:lvl w:ilvl="4">
      <w:start w:val="1"/>
      <w:numFmt w:val="decimal"/>
      <w:isLgl/>
      <w:lvlText w:val="(%5)"/>
      <w:lvlJc w:val="left"/>
      <w:pPr>
        <w:tabs>
          <w:tab w:val="num" w:pos="360"/>
        </w:tabs>
        <w:ind w:left="360" w:firstLine="2880"/>
      </w:pPr>
      <w:rPr>
        <w:rFonts w:hint="default"/>
        <w:position w:val="0"/>
      </w:rPr>
    </w:lvl>
    <w:lvl w:ilvl="5">
      <w:start w:val="1"/>
      <w:numFmt w:val="decimal"/>
      <w:isLgl/>
      <w:lvlText w:val="(%6)"/>
      <w:lvlJc w:val="left"/>
      <w:pPr>
        <w:tabs>
          <w:tab w:val="num" w:pos="360"/>
        </w:tabs>
        <w:ind w:left="360" w:firstLine="3600"/>
      </w:pPr>
      <w:rPr>
        <w:rFonts w:hint="default"/>
        <w:position w:val="0"/>
      </w:rPr>
    </w:lvl>
    <w:lvl w:ilvl="6">
      <w:start w:val="1"/>
      <w:numFmt w:val="decimal"/>
      <w:isLgl/>
      <w:lvlText w:val="(%7)"/>
      <w:lvlJc w:val="left"/>
      <w:pPr>
        <w:tabs>
          <w:tab w:val="num" w:pos="360"/>
        </w:tabs>
        <w:ind w:left="360" w:firstLine="4320"/>
      </w:pPr>
      <w:rPr>
        <w:rFonts w:hint="default"/>
        <w:position w:val="0"/>
      </w:rPr>
    </w:lvl>
    <w:lvl w:ilvl="7">
      <w:start w:val="1"/>
      <w:numFmt w:val="decimal"/>
      <w:isLgl/>
      <w:lvlText w:val="(%8)"/>
      <w:lvlJc w:val="left"/>
      <w:pPr>
        <w:tabs>
          <w:tab w:val="num" w:pos="360"/>
        </w:tabs>
        <w:ind w:left="360" w:firstLine="5040"/>
      </w:pPr>
      <w:rPr>
        <w:rFonts w:hint="default"/>
        <w:position w:val="0"/>
      </w:rPr>
    </w:lvl>
    <w:lvl w:ilvl="8">
      <w:start w:val="1"/>
      <w:numFmt w:val="decimal"/>
      <w:isLgl/>
      <w:lvlText w:val="(%9)"/>
      <w:lvlJc w:val="left"/>
      <w:pPr>
        <w:tabs>
          <w:tab w:val="num" w:pos="360"/>
        </w:tabs>
        <w:ind w:left="360" w:firstLine="5760"/>
      </w:pPr>
      <w:rPr>
        <w:rFonts w:hint="default"/>
        <w:position w:val="0"/>
      </w:rPr>
    </w:lvl>
  </w:abstractNum>
  <w:abstractNum w:abstractNumId="1">
    <w:nsid w:val="01B65D04"/>
    <w:multiLevelType w:val="hybridMultilevel"/>
    <w:tmpl w:val="5EC0565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152CDE"/>
    <w:multiLevelType w:val="hybridMultilevel"/>
    <w:tmpl w:val="16CE55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072E76"/>
    <w:multiLevelType w:val="hybridMultilevel"/>
    <w:tmpl w:val="BFF46874"/>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32237DC"/>
    <w:multiLevelType w:val="hybridMultilevel"/>
    <w:tmpl w:val="ED42B8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4763935"/>
    <w:multiLevelType w:val="hybridMultilevel"/>
    <w:tmpl w:val="AD063F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6311D34"/>
    <w:multiLevelType w:val="hybridMultilevel"/>
    <w:tmpl w:val="3A4015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75B1591"/>
    <w:multiLevelType w:val="hybridMultilevel"/>
    <w:tmpl w:val="87483FBA"/>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ABB0CF0"/>
    <w:multiLevelType w:val="hybridMultilevel"/>
    <w:tmpl w:val="88D830E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38893208"/>
    <w:multiLevelType w:val="hybridMultilevel"/>
    <w:tmpl w:val="914C9F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AB6625A"/>
    <w:multiLevelType w:val="hybridMultilevel"/>
    <w:tmpl w:val="CEB2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BE334A"/>
    <w:multiLevelType w:val="hybridMultilevel"/>
    <w:tmpl w:val="D98E95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2084466"/>
    <w:multiLevelType w:val="hybridMultilevel"/>
    <w:tmpl w:val="5C18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B2CBE"/>
    <w:multiLevelType w:val="singleLevel"/>
    <w:tmpl w:val="0409000F"/>
    <w:lvl w:ilvl="0">
      <w:start w:val="1"/>
      <w:numFmt w:val="decimal"/>
      <w:lvlText w:val="%1."/>
      <w:lvlJc w:val="left"/>
      <w:pPr>
        <w:tabs>
          <w:tab w:val="num" w:pos="360"/>
        </w:tabs>
        <w:ind w:left="360" w:hanging="360"/>
      </w:pPr>
    </w:lvl>
  </w:abstractNum>
  <w:abstractNum w:abstractNumId="20">
    <w:nsid w:val="54DC48F3"/>
    <w:multiLevelType w:val="hybridMultilevel"/>
    <w:tmpl w:val="20CEF1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DCD4640"/>
    <w:multiLevelType w:val="hybridMultilevel"/>
    <w:tmpl w:val="D84A26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63E765D5"/>
    <w:multiLevelType w:val="hybridMultilevel"/>
    <w:tmpl w:val="E3A6E1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nsid w:val="6A546E28"/>
    <w:multiLevelType w:val="hybridMultilevel"/>
    <w:tmpl w:val="8814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686C85"/>
    <w:multiLevelType w:val="hybridMultilevel"/>
    <w:tmpl w:val="B7E8C7F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nsid w:val="7F257861"/>
    <w:multiLevelType w:val="hybridMultilevel"/>
    <w:tmpl w:val="1AA0EC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9"/>
  </w:num>
  <w:num w:numId="3">
    <w:abstractNumId w:val="24"/>
  </w:num>
  <w:num w:numId="4">
    <w:abstractNumId w:val="15"/>
  </w:num>
  <w:num w:numId="5">
    <w:abstractNumId w:val="9"/>
  </w:num>
  <w:num w:numId="6">
    <w:abstractNumId w:val="18"/>
  </w:num>
  <w:num w:numId="7">
    <w:abstractNumId w:val="21"/>
  </w:num>
  <w:num w:numId="8">
    <w:abstractNumId w:val="6"/>
  </w:num>
  <w:num w:numId="9">
    <w:abstractNumId w:val="1"/>
  </w:num>
  <w:num w:numId="10">
    <w:abstractNumId w:val="14"/>
  </w:num>
  <w:num w:numId="11">
    <w:abstractNumId w:val="20"/>
  </w:num>
  <w:num w:numId="12">
    <w:abstractNumId w:val="26"/>
  </w:num>
  <w:num w:numId="13">
    <w:abstractNumId w:val="5"/>
  </w:num>
  <w:num w:numId="14">
    <w:abstractNumId w:val="22"/>
  </w:num>
  <w:num w:numId="15">
    <w:abstractNumId w:val="8"/>
  </w:num>
  <w:num w:numId="16">
    <w:abstractNumId w:val="7"/>
  </w:num>
  <w:num w:numId="17">
    <w:abstractNumId w:val="11"/>
  </w:num>
  <w:num w:numId="18">
    <w:abstractNumId w:val="17"/>
  </w:num>
  <w:num w:numId="19">
    <w:abstractNumId w:val="10"/>
  </w:num>
  <w:num w:numId="20">
    <w:abstractNumId w:val="23"/>
  </w:num>
  <w:num w:numId="21">
    <w:abstractNumId w:val="2"/>
  </w:num>
  <w:num w:numId="22">
    <w:abstractNumId w:val="13"/>
  </w:num>
  <w:num w:numId="23">
    <w:abstractNumId w:val="28"/>
  </w:num>
  <w:num w:numId="24">
    <w:abstractNumId w:val="12"/>
  </w:num>
  <w:num w:numId="25">
    <w:abstractNumId w:val="19"/>
  </w:num>
  <w:num w:numId="26">
    <w:abstractNumId w:val="3"/>
  </w:num>
  <w:num w:numId="27">
    <w:abstractNumId w:val="4"/>
  </w:num>
  <w:num w:numId="28">
    <w:abstractNumId w:val="25"/>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numFmt w:val="decimal"/>
    <w:numStart w:val="5"/>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FB"/>
    <w:rsid w:val="00007B43"/>
    <w:rsid w:val="0001174C"/>
    <w:rsid w:val="000201D4"/>
    <w:rsid w:val="00037960"/>
    <w:rsid w:val="00043906"/>
    <w:rsid w:val="000465CA"/>
    <w:rsid w:val="0008018A"/>
    <w:rsid w:val="00083567"/>
    <w:rsid w:val="000925AB"/>
    <w:rsid w:val="00097038"/>
    <w:rsid w:val="000A2B66"/>
    <w:rsid w:val="000A6CAB"/>
    <w:rsid w:val="000B1FF1"/>
    <w:rsid w:val="000B6372"/>
    <w:rsid w:val="000D258D"/>
    <w:rsid w:val="000D6146"/>
    <w:rsid w:val="000E6BBB"/>
    <w:rsid w:val="00114F5B"/>
    <w:rsid w:val="00116205"/>
    <w:rsid w:val="001244E9"/>
    <w:rsid w:val="00141FAB"/>
    <w:rsid w:val="0014785B"/>
    <w:rsid w:val="0017741C"/>
    <w:rsid w:val="00197132"/>
    <w:rsid w:val="0019748C"/>
    <w:rsid w:val="001A2727"/>
    <w:rsid w:val="001D0595"/>
    <w:rsid w:val="001E1AC3"/>
    <w:rsid w:val="001F52F4"/>
    <w:rsid w:val="002000C6"/>
    <w:rsid w:val="00202A9B"/>
    <w:rsid w:val="00202F50"/>
    <w:rsid w:val="002040BD"/>
    <w:rsid w:val="00211F73"/>
    <w:rsid w:val="00212ED8"/>
    <w:rsid w:val="00242C92"/>
    <w:rsid w:val="00243A4C"/>
    <w:rsid w:val="00264FD9"/>
    <w:rsid w:val="00271A21"/>
    <w:rsid w:val="00285CD5"/>
    <w:rsid w:val="00287277"/>
    <w:rsid w:val="002B58F5"/>
    <w:rsid w:val="002E46AF"/>
    <w:rsid w:val="002E4BFB"/>
    <w:rsid w:val="002F6745"/>
    <w:rsid w:val="00310C38"/>
    <w:rsid w:val="0032167A"/>
    <w:rsid w:val="00323E1D"/>
    <w:rsid w:val="00327BDB"/>
    <w:rsid w:val="00355BC4"/>
    <w:rsid w:val="00360557"/>
    <w:rsid w:val="0036248E"/>
    <w:rsid w:val="00377919"/>
    <w:rsid w:val="003B1DF7"/>
    <w:rsid w:val="003B450F"/>
    <w:rsid w:val="003B65D8"/>
    <w:rsid w:val="003C1548"/>
    <w:rsid w:val="003F00D7"/>
    <w:rsid w:val="003F05E5"/>
    <w:rsid w:val="004167F4"/>
    <w:rsid w:val="00427B74"/>
    <w:rsid w:val="00435B94"/>
    <w:rsid w:val="00456493"/>
    <w:rsid w:val="00474C65"/>
    <w:rsid w:val="00484642"/>
    <w:rsid w:val="00487A39"/>
    <w:rsid w:val="004C5F26"/>
    <w:rsid w:val="004C6305"/>
    <w:rsid w:val="004E7836"/>
    <w:rsid w:val="00501B90"/>
    <w:rsid w:val="00511E10"/>
    <w:rsid w:val="00521FCB"/>
    <w:rsid w:val="005223B9"/>
    <w:rsid w:val="00532B64"/>
    <w:rsid w:val="005611F2"/>
    <w:rsid w:val="00565698"/>
    <w:rsid w:val="0056737A"/>
    <w:rsid w:val="00573817"/>
    <w:rsid w:val="00590D68"/>
    <w:rsid w:val="005A7B2C"/>
    <w:rsid w:val="005B0930"/>
    <w:rsid w:val="005B53F2"/>
    <w:rsid w:val="005C64AC"/>
    <w:rsid w:val="005E18C8"/>
    <w:rsid w:val="005E1E5E"/>
    <w:rsid w:val="005E1F03"/>
    <w:rsid w:val="005E3CAD"/>
    <w:rsid w:val="00605139"/>
    <w:rsid w:val="006152E6"/>
    <w:rsid w:val="0061599B"/>
    <w:rsid w:val="00664BF0"/>
    <w:rsid w:val="00667AE6"/>
    <w:rsid w:val="0068069B"/>
    <w:rsid w:val="00695FA3"/>
    <w:rsid w:val="006B1DE0"/>
    <w:rsid w:val="006C1680"/>
    <w:rsid w:val="006C6B16"/>
    <w:rsid w:val="006D650C"/>
    <w:rsid w:val="006E0E1D"/>
    <w:rsid w:val="006E34CD"/>
    <w:rsid w:val="006E52B0"/>
    <w:rsid w:val="006F074C"/>
    <w:rsid w:val="006F4F81"/>
    <w:rsid w:val="00704D91"/>
    <w:rsid w:val="00723223"/>
    <w:rsid w:val="00725A6D"/>
    <w:rsid w:val="007343A3"/>
    <w:rsid w:val="007865B2"/>
    <w:rsid w:val="00786F5E"/>
    <w:rsid w:val="00794370"/>
    <w:rsid w:val="007B5A4F"/>
    <w:rsid w:val="007D39E8"/>
    <w:rsid w:val="007D6D13"/>
    <w:rsid w:val="007D7748"/>
    <w:rsid w:val="0080472F"/>
    <w:rsid w:val="00804FC2"/>
    <w:rsid w:val="00811F78"/>
    <w:rsid w:val="008215E6"/>
    <w:rsid w:val="008316E9"/>
    <w:rsid w:val="00833EC1"/>
    <w:rsid w:val="00835C56"/>
    <w:rsid w:val="00844B76"/>
    <w:rsid w:val="008864E6"/>
    <w:rsid w:val="008A42E4"/>
    <w:rsid w:val="008B16D5"/>
    <w:rsid w:val="008C2D90"/>
    <w:rsid w:val="008D4B69"/>
    <w:rsid w:val="008D6262"/>
    <w:rsid w:val="008E11EC"/>
    <w:rsid w:val="008E4CF6"/>
    <w:rsid w:val="008F414A"/>
    <w:rsid w:val="008F7667"/>
    <w:rsid w:val="009003A2"/>
    <w:rsid w:val="00920178"/>
    <w:rsid w:val="00944E4E"/>
    <w:rsid w:val="009454FC"/>
    <w:rsid w:val="00947FF6"/>
    <w:rsid w:val="0095488D"/>
    <w:rsid w:val="009550E2"/>
    <w:rsid w:val="00957231"/>
    <w:rsid w:val="009626DD"/>
    <w:rsid w:val="00971A7C"/>
    <w:rsid w:val="0097483E"/>
    <w:rsid w:val="009938E4"/>
    <w:rsid w:val="009A781B"/>
    <w:rsid w:val="009C73DD"/>
    <w:rsid w:val="009E0ED1"/>
    <w:rsid w:val="009F75A1"/>
    <w:rsid w:val="00A02AF1"/>
    <w:rsid w:val="00A03817"/>
    <w:rsid w:val="00A05FEA"/>
    <w:rsid w:val="00A25E35"/>
    <w:rsid w:val="00A2685C"/>
    <w:rsid w:val="00A268AC"/>
    <w:rsid w:val="00A44BAD"/>
    <w:rsid w:val="00A46971"/>
    <w:rsid w:val="00A82E6D"/>
    <w:rsid w:val="00AA4F0F"/>
    <w:rsid w:val="00B15D08"/>
    <w:rsid w:val="00B47F6C"/>
    <w:rsid w:val="00B770A8"/>
    <w:rsid w:val="00B97105"/>
    <w:rsid w:val="00BA22F5"/>
    <w:rsid w:val="00BC19F7"/>
    <w:rsid w:val="00BC5792"/>
    <w:rsid w:val="00BC6F51"/>
    <w:rsid w:val="00BE317F"/>
    <w:rsid w:val="00BF09CD"/>
    <w:rsid w:val="00BF4BC0"/>
    <w:rsid w:val="00C15AF0"/>
    <w:rsid w:val="00C1615A"/>
    <w:rsid w:val="00C3032D"/>
    <w:rsid w:val="00C360BE"/>
    <w:rsid w:val="00C5496F"/>
    <w:rsid w:val="00C64FEC"/>
    <w:rsid w:val="00C7768E"/>
    <w:rsid w:val="00C92346"/>
    <w:rsid w:val="00CB0AF1"/>
    <w:rsid w:val="00CD22F0"/>
    <w:rsid w:val="00CF5092"/>
    <w:rsid w:val="00D0195D"/>
    <w:rsid w:val="00D2117E"/>
    <w:rsid w:val="00D418E3"/>
    <w:rsid w:val="00D51611"/>
    <w:rsid w:val="00D72E05"/>
    <w:rsid w:val="00D73FC0"/>
    <w:rsid w:val="00D81626"/>
    <w:rsid w:val="00DA189F"/>
    <w:rsid w:val="00DC02E2"/>
    <w:rsid w:val="00DC074C"/>
    <w:rsid w:val="00DC0B50"/>
    <w:rsid w:val="00DD22D9"/>
    <w:rsid w:val="00DD68C3"/>
    <w:rsid w:val="00DE67F6"/>
    <w:rsid w:val="00DF4691"/>
    <w:rsid w:val="00DF78BD"/>
    <w:rsid w:val="00E06A93"/>
    <w:rsid w:val="00E20C72"/>
    <w:rsid w:val="00E23001"/>
    <w:rsid w:val="00E260EE"/>
    <w:rsid w:val="00E337B0"/>
    <w:rsid w:val="00E34083"/>
    <w:rsid w:val="00E345E3"/>
    <w:rsid w:val="00E57EB0"/>
    <w:rsid w:val="00E67D60"/>
    <w:rsid w:val="00E70D9A"/>
    <w:rsid w:val="00E76573"/>
    <w:rsid w:val="00E8579E"/>
    <w:rsid w:val="00E9415A"/>
    <w:rsid w:val="00EA0B82"/>
    <w:rsid w:val="00EA727D"/>
    <w:rsid w:val="00EB0911"/>
    <w:rsid w:val="00EB2D4F"/>
    <w:rsid w:val="00EB47DD"/>
    <w:rsid w:val="00EC085E"/>
    <w:rsid w:val="00EC6008"/>
    <w:rsid w:val="00ED2B32"/>
    <w:rsid w:val="00EE366E"/>
    <w:rsid w:val="00EE4324"/>
    <w:rsid w:val="00F16B3F"/>
    <w:rsid w:val="00F66D50"/>
    <w:rsid w:val="00F96BEC"/>
    <w:rsid w:val="00F9714F"/>
    <w:rsid w:val="00FB7360"/>
    <w:rsid w:val="00FC74E6"/>
    <w:rsid w:val="00FD7753"/>
    <w:rsid w:val="00FE5D9D"/>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36248E"/>
    <w:rPr>
      <w:rFonts w:ascii="Perpetua Std" w:hAnsi="Perpetua Std"/>
    </w:rPr>
  </w:style>
  <w:style w:type="paragraph" w:styleId="Heading1">
    <w:name w:val="heading 1"/>
    <w:basedOn w:val="Normal"/>
    <w:next w:val="Normal"/>
    <w:link w:val="Heading1Char"/>
    <w:qFormat/>
    <w:rsid w:val="0036248E"/>
    <w:pPr>
      <w:keepNext/>
      <w:outlineLvl w:val="0"/>
    </w:pPr>
    <w:rPr>
      <w:b/>
    </w:rPr>
  </w:style>
  <w:style w:type="paragraph" w:styleId="Heading2">
    <w:name w:val="heading 2"/>
    <w:basedOn w:val="Normal"/>
    <w:next w:val="Normal"/>
    <w:link w:val="Heading2Char"/>
    <w:qFormat/>
    <w:rsid w:val="0036248E"/>
    <w:pPr>
      <w:keepNext/>
      <w:spacing w:before="240" w:after="60"/>
      <w:outlineLvl w:val="1"/>
    </w:pPr>
    <w:rPr>
      <w:rFonts w:ascii="Arial" w:hAnsi="Arial"/>
      <w:b/>
      <w:i/>
      <w:sz w:val="24"/>
    </w:rPr>
  </w:style>
  <w:style w:type="paragraph" w:styleId="Heading3">
    <w:name w:val="heading 3"/>
    <w:basedOn w:val="Normal"/>
    <w:next w:val="Normal"/>
    <w:link w:val="Heading3Char"/>
    <w:qFormat/>
    <w:rsid w:val="0036248E"/>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36248E"/>
    <w:pPr>
      <w:spacing w:after="240"/>
      <w:jc w:val="both"/>
    </w:pPr>
    <w:rPr>
      <w:rFonts w:ascii="Helvetica LT Std" w:hAnsi="Helvetica LT Std"/>
      <w:b/>
      <w:color w:val="000000"/>
      <w:sz w:val="26"/>
    </w:rPr>
  </w:style>
  <w:style w:type="paragraph" w:customStyle="1" w:styleId="PA">
    <w:name w:val="PA"/>
    <w:next w:val="Normal"/>
    <w:link w:val="PAChar"/>
    <w:rsid w:val="0036248E"/>
    <w:pPr>
      <w:spacing w:after="240"/>
      <w:ind w:firstLine="288"/>
      <w:jc w:val="both"/>
    </w:pPr>
    <w:rPr>
      <w:rFonts w:ascii="Perpetua Std" w:hAnsi="Perpetua Std"/>
      <w:color w:val="000000"/>
      <w:sz w:val="24"/>
    </w:rPr>
  </w:style>
  <w:style w:type="character" w:customStyle="1" w:styleId="PAChar">
    <w:name w:val="PA Char"/>
    <w:link w:val="PA"/>
    <w:rsid w:val="0036248E"/>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36248E"/>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36248E"/>
    <w:pPr>
      <w:tabs>
        <w:tab w:val="left" w:pos="720"/>
      </w:tabs>
      <w:spacing w:after="240"/>
      <w:ind w:left="720" w:hanging="360"/>
      <w:jc w:val="both"/>
    </w:pPr>
    <w:rPr>
      <w:rFonts w:ascii="Perpetua Std" w:hAnsi="Perpetua Std"/>
      <w:color w:val="000000"/>
      <w:sz w:val="24"/>
    </w:rPr>
  </w:style>
  <w:style w:type="paragraph" w:customStyle="1" w:styleId="HD">
    <w:name w:val="HD"/>
    <w:rsid w:val="0036248E"/>
    <w:pPr>
      <w:suppressAutoHyphens/>
      <w:spacing w:before="120"/>
      <w:jc w:val="center"/>
    </w:pPr>
    <w:rPr>
      <w:rFonts w:ascii="Helvetica LT Std" w:hAnsi="Helvetica LT Std"/>
      <w:sz w:val="26"/>
      <w:szCs w:val="18"/>
    </w:rPr>
  </w:style>
  <w:style w:type="paragraph" w:customStyle="1" w:styleId="PN">
    <w:name w:val="PN"/>
    <w:rsid w:val="0036248E"/>
    <w:pPr>
      <w:spacing w:after="240"/>
      <w:ind w:left="720" w:firstLine="288"/>
      <w:jc w:val="both"/>
    </w:pPr>
    <w:rPr>
      <w:rFonts w:ascii="Perpetua Std" w:eastAsia="MS Mincho" w:hAnsi="Perpetua Std"/>
      <w:color w:val="000000"/>
    </w:rPr>
  </w:style>
  <w:style w:type="paragraph" w:customStyle="1" w:styleId="PB">
    <w:name w:val="PB"/>
    <w:rsid w:val="0036248E"/>
    <w:pPr>
      <w:spacing w:after="240"/>
      <w:jc w:val="both"/>
    </w:pPr>
    <w:rPr>
      <w:rFonts w:ascii="Perpetua Std" w:hAnsi="Perpetua Std"/>
      <w:color w:val="000000"/>
      <w:sz w:val="24"/>
    </w:rPr>
  </w:style>
  <w:style w:type="paragraph" w:customStyle="1" w:styleId="PQ">
    <w:name w:val="PQ"/>
    <w:link w:val="PQChar"/>
    <w:rsid w:val="0036248E"/>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36248E"/>
    <w:rPr>
      <w:rFonts w:ascii="Adobe Caslon Pro" w:hAnsi="Adobe Caslon Pro"/>
      <w:color w:val="000000"/>
      <w:sz w:val="14"/>
    </w:rPr>
  </w:style>
  <w:style w:type="paragraph" w:customStyle="1" w:styleId="PF">
    <w:name w:val="PF"/>
    <w:rsid w:val="0036248E"/>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36248E"/>
    <w:pPr>
      <w:spacing w:before="120" w:after="120"/>
      <w:jc w:val="center"/>
    </w:pPr>
    <w:rPr>
      <w:rFonts w:ascii="Helvetica LT Std" w:hAnsi="Helvetica LT Std"/>
      <w:sz w:val="24"/>
    </w:rPr>
  </w:style>
  <w:style w:type="table" w:styleId="TableGrid">
    <w:name w:val="Table Grid"/>
    <w:basedOn w:val="TableNormal"/>
    <w:rsid w:val="00362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36248E"/>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36248E"/>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36248E"/>
    <w:pPr>
      <w:spacing w:before="144"/>
      <w:jc w:val="both"/>
    </w:pPr>
    <w:rPr>
      <w:noProof/>
    </w:rPr>
  </w:style>
  <w:style w:type="paragraph" w:customStyle="1" w:styleId="PD">
    <w:name w:val="PD"/>
    <w:rsid w:val="0036248E"/>
    <w:pPr>
      <w:spacing w:after="240"/>
      <w:ind w:left="720" w:firstLine="288"/>
      <w:jc w:val="both"/>
    </w:pPr>
    <w:rPr>
      <w:rFonts w:ascii="Perpetua Std" w:hAnsi="Perpetua Std"/>
      <w:color w:val="000000"/>
      <w:sz w:val="24"/>
    </w:rPr>
  </w:style>
  <w:style w:type="paragraph" w:customStyle="1" w:styleId="PE">
    <w:name w:val="PE"/>
    <w:rsid w:val="0036248E"/>
    <w:pPr>
      <w:spacing w:after="240"/>
      <w:ind w:left="720"/>
      <w:jc w:val="both"/>
    </w:pPr>
    <w:rPr>
      <w:rFonts w:ascii="Perpetua Std" w:hAnsi="Perpetua Std"/>
      <w:color w:val="000000"/>
      <w:sz w:val="24"/>
    </w:rPr>
  </w:style>
  <w:style w:type="paragraph" w:customStyle="1" w:styleId="PG">
    <w:name w:val="PG"/>
    <w:rsid w:val="0036248E"/>
    <w:pPr>
      <w:spacing w:after="240"/>
      <w:ind w:left="360"/>
      <w:jc w:val="both"/>
    </w:pPr>
    <w:rPr>
      <w:rFonts w:ascii="Perpetua Std" w:hAnsi="Perpetua Std"/>
      <w:color w:val="000000"/>
      <w:sz w:val="24"/>
    </w:rPr>
  </w:style>
  <w:style w:type="paragraph" w:customStyle="1" w:styleId="PH">
    <w:name w:val="PH"/>
    <w:rsid w:val="0036248E"/>
    <w:pPr>
      <w:tabs>
        <w:tab w:val="left" w:pos="360"/>
      </w:tabs>
      <w:spacing w:after="240"/>
      <w:ind w:left="360" w:hanging="360"/>
      <w:jc w:val="both"/>
    </w:pPr>
    <w:rPr>
      <w:rFonts w:ascii="Perpetua Std" w:hAnsi="Perpetua Std"/>
      <w:color w:val="000000"/>
      <w:sz w:val="24"/>
    </w:rPr>
  </w:style>
  <w:style w:type="paragraph" w:customStyle="1" w:styleId="PI">
    <w:name w:val="PI"/>
    <w:rsid w:val="0036248E"/>
    <w:pPr>
      <w:spacing w:after="240"/>
      <w:ind w:left="360" w:hanging="360"/>
      <w:jc w:val="both"/>
    </w:pPr>
    <w:rPr>
      <w:rFonts w:ascii="Perpetua Std" w:hAnsi="Perpetua Std"/>
      <w:color w:val="000000"/>
      <w:sz w:val="24"/>
    </w:rPr>
  </w:style>
  <w:style w:type="paragraph" w:customStyle="1" w:styleId="PK">
    <w:name w:val="PK"/>
    <w:rsid w:val="0036248E"/>
    <w:pPr>
      <w:spacing w:after="240"/>
      <w:ind w:left="360" w:firstLine="288"/>
      <w:jc w:val="both"/>
    </w:pPr>
    <w:rPr>
      <w:rFonts w:ascii="Perpetua Std" w:hAnsi="Perpetua Std"/>
      <w:color w:val="000000"/>
      <w:sz w:val="24"/>
    </w:rPr>
  </w:style>
  <w:style w:type="paragraph" w:customStyle="1" w:styleId="PL">
    <w:name w:val="PL"/>
    <w:rsid w:val="0036248E"/>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36248E"/>
    <w:pPr>
      <w:spacing w:after="240"/>
      <w:ind w:left="432" w:right="432" w:firstLine="432"/>
      <w:jc w:val="both"/>
    </w:pPr>
    <w:rPr>
      <w:rFonts w:ascii="Minion Pro" w:hAnsi="Minion Pro"/>
    </w:rPr>
  </w:style>
  <w:style w:type="paragraph" w:customStyle="1" w:styleId="TOC">
    <w:name w:val="TOC"/>
    <w:autoRedefine/>
    <w:rsid w:val="0036248E"/>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36248E"/>
    <w:pPr>
      <w:tabs>
        <w:tab w:val="clear" w:pos="1440"/>
        <w:tab w:val="clear" w:pos="8640"/>
        <w:tab w:val="left" w:pos="240"/>
        <w:tab w:val="left" w:pos="480"/>
        <w:tab w:val="right" w:leader="dot" w:pos="4680"/>
      </w:tabs>
      <w:ind w:left="0" w:firstLine="0"/>
    </w:pPr>
    <w:rPr>
      <w:sz w:val="22"/>
    </w:rPr>
  </w:style>
  <w:style w:type="paragraph" w:customStyle="1" w:styleId="PP">
    <w:name w:val="PP"/>
    <w:rsid w:val="0036248E"/>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36248E"/>
    <w:pPr>
      <w:spacing w:after="240"/>
      <w:jc w:val="center"/>
    </w:pPr>
    <w:rPr>
      <w:rFonts w:ascii="Helvetica LT Std" w:hAnsi="Helvetica LT Std"/>
      <w:b/>
      <w:caps/>
      <w:color w:val="000000"/>
      <w:sz w:val="36"/>
      <w:szCs w:val="32"/>
    </w:rPr>
  </w:style>
  <w:style w:type="paragraph" w:customStyle="1" w:styleId="HB">
    <w:name w:val="HB"/>
    <w:rsid w:val="0036248E"/>
    <w:pPr>
      <w:spacing w:before="120" w:after="240"/>
      <w:jc w:val="center"/>
    </w:pPr>
    <w:rPr>
      <w:rFonts w:ascii="Helvetica LT Std" w:hAnsi="Helvetica LT Std"/>
      <w:b/>
      <w:color w:val="5F5F5F"/>
      <w:w w:val="105"/>
      <w:sz w:val="32"/>
    </w:rPr>
  </w:style>
  <w:style w:type="paragraph" w:customStyle="1" w:styleId="HC">
    <w:name w:val="HC"/>
    <w:autoRedefine/>
    <w:rsid w:val="0036248E"/>
    <w:pPr>
      <w:tabs>
        <w:tab w:val="left" w:pos="284"/>
      </w:tabs>
      <w:spacing w:before="120" w:after="120"/>
      <w:jc w:val="center"/>
    </w:pPr>
    <w:rPr>
      <w:rFonts w:ascii="Helvetica LT Std" w:hAnsi="Helvetica LT Std"/>
      <w:b/>
      <w:color w:val="000000"/>
      <w:w w:val="110"/>
      <w:sz w:val="26"/>
    </w:rPr>
  </w:style>
  <w:style w:type="paragraph" w:customStyle="1" w:styleId="PR">
    <w:name w:val="PR"/>
    <w:rsid w:val="0036248E"/>
    <w:pPr>
      <w:spacing w:after="240"/>
      <w:ind w:left="360" w:firstLine="288"/>
      <w:jc w:val="both"/>
    </w:pPr>
    <w:rPr>
      <w:rFonts w:ascii="Adobe Caslon Pro" w:hAnsi="Adobe Caslon Pro"/>
      <w:color w:val="000000"/>
      <w:sz w:val="14"/>
    </w:rPr>
  </w:style>
  <w:style w:type="paragraph" w:customStyle="1" w:styleId="PO">
    <w:name w:val="PO"/>
    <w:rsid w:val="0036248E"/>
    <w:pPr>
      <w:spacing w:after="240"/>
      <w:jc w:val="both"/>
    </w:pPr>
    <w:rPr>
      <w:rFonts w:ascii="Perpetua Std" w:hAnsi="Perpetua Std"/>
      <w:color w:val="000000"/>
      <w:w w:val="95"/>
      <w:szCs w:val="16"/>
    </w:rPr>
  </w:style>
  <w:style w:type="paragraph" w:customStyle="1" w:styleId="GUIDEX">
    <w:name w:val="GUIDEX"/>
    <w:rsid w:val="0036248E"/>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36248E"/>
    <w:pPr>
      <w:tabs>
        <w:tab w:val="clear" w:pos="240"/>
        <w:tab w:val="clear" w:pos="480"/>
        <w:tab w:val="clear" w:pos="720"/>
        <w:tab w:val="right" w:pos="4680"/>
      </w:tabs>
    </w:pPr>
  </w:style>
  <w:style w:type="paragraph" w:customStyle="1" w:styleId="PCB">
    <w:name w:val="PCB"/>
    <w:autoRedefine/>
    <w:rsid w:val="0036248E"/>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36248E"/>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36248E"/>
    <w:rPr>
      <w:rFonts w:ascii="Perpetua Std" w:hAnsi="Perpetua Std"/>
    </w:rPr>
  </w:style>
  <w:style w:type="paragraph" w:styleId="NoSpacing">
    <w:name w:val="No Spacing"/>
    <w:qFormat/>
    <w:rsid w:val="0036248E"/>
    <w:rPr>
      <w:rFonts w:ascii="Perpetua" w:hAnsi="Perpetua"/>
    </w:rPr>
  </w:style>
  <w:style w:type="paragraph" w:customStyle="1" w:styleId="PCA">
    <w:name w:val="PCA"/>
    <w:rsid w:val="0036248E"/>
    <w:pPr>
      <w:numPr>
        <w:numId w:val="29"/>
      </w:numPr>
      <w:tabs>
        <w:tab w:val="left" w:pos="720"/>
      </w:tabs>
      <w:spacing w:after="240"/>
      <w:jc w:val="both"/>
    </w:pPr>
    <w:rPr>
      <w:rFonts w:ascii="Perpetua Std" w:hAnsi="Perpetua Std"/>
      <w:sz w:val="24"/>
    </w:rPr>
  </w:style>
  <w:style w:type="paragraph" w:customStyle="1" w:styleId="PHB">
    <w:name w:val="PHB"/>
    <w:rsid w:val="0036248E"/>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36248E"/>
    <w:rPr>
      <w:rFonts w:ascii="Perpetua Std" w:eastAsia="MS Mincho" w:hAnsi="Perpetua Std"/>
      <w:color w:val="000000"/>
      <w:sz w:val="22"/>
    </w:rPr>
  </w:style>
  <w:style w:type="paragraph" w:styleId="EndnoteText">
    <w:name w:val="endnote text"/>
    <w:basedOn w:val="Normal"/>
    <w:link w:val="EndnoteTextChar"/>
    <w:semiHidden/>
    <w:unhideWhenUsed/>
    <w:rsid w:val="006E52B0"/>
  </w:style>
  <w:style w:type="character" w:customStyle="1" w:styleId="EndnoteTextChar">
    <w:name w:val="Endnote Text Char"/>
    <w:basedOn w:val="DefaultParagraphFont"/>
    <w:link w:val="EndnoteText"/>
    <w:semiHidden/>
    <w:rsid w:val="006E52B0"/>
    <w:rPr>
      <w:rFonts w:ascii="Perpetua Std" w:hAnsi="Perpetua Std"/>
    </w:rPr>
  </w:style>
  <w:style w:type="character" w:styleId="EndnoteReference">
    <w:name w:val="endnote reference"/>
    <w:basedOn w:val="DefaultParagraphFont"/>
    <w:semiHidden/>
    <w:unhideWhenUsed/>
    <w:rsid w:val="006E52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36248E"/>
    <w:rPr>
      <w:rFonts w:ascii="Perpetua Std" w:hAnsi="Perpetua Std"/>
    </w:rPr>
  </w:style>
  <w:style w:type="paragraph" w:styleId="Heading1">
    <w:name w:val="heading 1"/>
    <w:basedOn w:val="Normal"/>
    <w:next w:val="Normal"/>
    <w:link w:val="Heading1Char"/>
    <w:qFormat/>
    <w:rsid w:val="0036248E"/>
    <w:pPr>
      <w:keepNext/>
      <w:outlineLvl w:val="0"/>
    </w:pPr>
    <w:rPr>
      <w:b/>
    </w:rPr>
  </w:style>
  <w:style w:type="paragraph" w:styleId="Heading2">
    <w:name w:val="heading 2"/>
    <w:basedOn w:val="Normal"/>
    <w:next w:val="Normal"/>
    <w:link w:val="Heading2Char"/>
    <w:qFormat/>
    <w:rsid w:val="0036248E"/>
    <w:pPr>
      <w:keepNext/>
      <w:spacing w:before="240" w:after="60"/>
      <w:outlineLvl w:val="1"/>
    </w:pPr>
    <w:rPr>
      <w:rFonts w:ascii="Arial" w:hAnsi="Arial"/>
      <w:b/>
      <w:i/>
      <w:sz w:val="24"/>
    </w:rPr>
  </w:style>
  <w:style w:type="paragraph" w:styleId="Heading3">
    <w:name w:val="heading 3"/>
    <w:basedOn w:val="Normal"/>
    <w:next w:val="Normal"/>
    <w:link w:val="Heading3Char"/>
    <w:qFormat/>
    <w:rsid w:val="0036248E"/>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36248E"/>
    <w:pPr>
      <w:spacing w:after="240"/>
      <w:jc w:val="both"/>
    </w:pPr>
    <w:rPr>
      <w:rFonts w:ascii="Helvetica LT Std" w:hAnsi="Helvetica LT Std"/>
      <w:b/>
      <w:color w:val="000000"/>
      <w:sz w:val="26"/>
    </w:rPr>
  </w:style>
  <w:style w:type="paragraph" w:customStyle="1" w:styleId="PA">
    <w:name w:val="PA"/>
    <w:next w:val="Normal"/>
    <w:link w:val="PAChar"/>
    <w:rsid w:val="0036248E"/>
    <w:pPr>
      <w:spacing w:after="240"/>
      <w:ind w:firstLine="288"/>
      <w:jc w:val="both"/>
    </w:pPr>
    <w:rPr>
      <w:rFonts w:ascii="Perpetua Std" w:hAnsi="Perpetua Std"/>
      <w:color w:val="000000"/>
      <w:sz w:val="24"/>
    </w:rPr>
  </w:style>
  <w:style w:type="character" w:customStyle="1" w:styleId="PAChar">
    <w:name w:val="PA Char"/>
    <w:link w:val="PA"/>
    <w:rsid w:val="0036248E"/>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36248E"/>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36248E"/>
    <w:pPr>
      <w:tabs>
        <w:tab w:val="left" w:pos="720"/>
      </w:tabs>
      <w:spacing w:after="240"/>
      <w:ind w:left="720" w:hanging="360"/>
      <w:jc w:val="both"/>
    </w:pPr>
    <w:rPr>
      <w:rFonts w:ascii="Perpetua Std" w:hAnsi="Perpetua Std"/>
      <w:color w:val="000000"/>
      <w:sz w:val="24"/>
    </w:rPr>
  </w:style>
  <w:style w:type="paragraph" w:customStyle="1" w:styleId="HD">
    <w:name w:val="HD"/>
    <w:rsid w:val="0036248E"/>
    <w:pPr>
      <w:suppressAutoHyphens/>
      <w:spacing w:before="120"/>
      <w:jc w:val="center"/>
    </w:pPr>
    <w:rPr>
      <w:rFonts w:ascii="Helvetica LT Std" w:hAnsi="Helvetica LT Std"/>
      <w:sz w:val="26"/>
      <w:szCs w:val="18"/>
    </w:rPr>
  </w:style>
  <w:style w:type="paragraph" w:customStyle="1" w:styleId="PN">
    <w:name w:val="PN"/>
    <w:rsid w:val="0036248E"/>
    <w:pPr>
      <w:spacing w:after="240"/>
      <w:ind w:left="720" w:firstLine="288"/>
      <w:jc w:val="both"/>
    </w:pPr>
    <w:rPr>
      <w:rFonts w:ascii="Perpetua Std" w:eastAsia="MS Mincho" w:hAnsi="Perpetua Std"/>
      <w:color w:val="000000"/>
    </w:rPr>
  </w:style>
  <w:style w:type="paragraph" w:customStyle="1" w:styleId="PB">
    <w:name w:val="PB"/>
    <w:rsid w:val="0036248E"/>
    <w:pPr>
      <w:spacing w:after="240"/>
      <w:jc w:val="both"/>
    </w:pPr>
    <w:rPr>
      <w:rFonts w:ascii="Perpetua Std" w:hAnsi="Perpetua Std"/>
      <w:color w:val="000000"/>
      <w:sz w:val="24"/>
    </w:rPr>
  </w:style>
  <w:style w:type="paragraph" w:customStyle="1" w:styleId="PQ">
    <w:name w:val="PQ"/>
    <w:link w:val="PQChar"/>
    <w:rsid w:val="0036248E"/>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36248E"/>
    <w:rPr>
      <w:rFonts w:ascii="Adobe Caslon Pro" w:hAnsi="Adobe Caslon Pro"/>
      <w:color w:val="000000"/>
      <w:sz w:val="14"/>
    </w:rPr>
  </w:style>
  <w:style w:type="paragraph" w:customStyle="1" w:styleId="PF">
    <w:name w:val="PF"/>
    <w:rsid w:val="0036248E"/>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36248E"/>
    <w:pPr>
      <w:spacing w:before="120" w:after="120"/>
      <w:jc w:val="center"/>
    </w:pPr>
    <w:rPr>
      <w:rFonts w:ascii="Helvetica LT Std" w:hAnsi="Helvetica LT Std"/>
      <w:sz w:val="24"/>
    </w:rPr>
  </w:style>
  <w:style w:type="table" w:styleId="TableGrid">
    <w:name w:val="Table Grid"/>
    <w:basedOn w:val="TableNormal"/>
    <w:rsid w:val="00362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36248E"/>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36248E"/>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36248E"/>
    <w:pPr>
      <w:spacing w:before="144"/>
      <w:jc w:val="both"/>
    </w:pPr>
    <w:rPr>
      <w:noProof/>
    </w:rPr>
  </w:style>
  <w:style w:type="paragraph" w:customStyle="1" w:styleId="PD">
    <w:name w:val="PD"/>
    <w:rsid w:val="0036248E"/>
    <w:pPr>
      <w:spacing w:after="240"/>
      <w:ind w:left="720" w:firstLine="288"/>
      <w:jc w:val="both"/>
    </w:pPr>
    <w:rPr>
      <w:rFonts w:ascii="Perpetua Std" w:hAnsi="Perpetua Std"/>
      <w:color w:val="000000"/>
      <w:sz w:val="24"/>
    </w:rPr>
  </w:style>
  <w:style w:type="paragraph" w:customStyle="1" w:styleId="PE">
    <w:name w:val="PE"/>
    <w:rsid w:val="0036248E"/>
    <w:pPr>
      <w:spacing w:after="240"/>
      <w:ind w:left="720"/>
      <w:jc w:val="both"/>
    </w:pPr>
    <w:rPr>
      <w:rFonts w:ascii="Perpetua Std" w:hAnsi="Perpetua Std"/>
      <w:color w:val="000000"/>
      <w:sz w:val="24"/>
    </w:rPr>
  </w:style>
  <w:style w:type="paragraph" w:customStyle="1" w:styleId="PG">
    <w:name w:val="PG"/>
    <w:rsid w:val="0036248E"/>
    <w:pPr>
      <w:spacing w:after="240"/>
      <w:ind w:left="360"/>
      <w:jc w:val="both"/>
    </w:pPr>
    <w:rPr>
      <w:rFonts w:ascii="Perpetua Std" w:hAnsi="Perpetua Std"/>
      <w:color w:val="000000"/>
      <w:sz w:val="24"/>
    </w:rPr>
  </w:style>
  <w:style w:type="paragraph" w:customStyle="1" w:styleId="PH">
    <w:name w:val="PH"/>
    <w:rsid w:val="0036248E"/>
    <w:pPr>
      <w:tabs>
        <w:tab w:val="left" w:pos="360"/>
      </w:tabs>
      <w:spacing w:after="240"/>
      <w:ind w:left="360" w:hanging="360"/>
      <w:jc w:val="both"/>
    </w:pPr>
    <w:rPr>
      <w:rFonts w:ascii="Perpetua Std" w:hAnsi="Perpetua Std"/>
      <w:color w:val="000000"/>
      <w:sz w:val="24"/>
    </w:rPr>
  </w:style>
  <w:style w:type="paragraph" w:customStyle="1" w:styleId="PI">
    <w:name w:val="PI"/>
    <w:rsid w:val="0036248E"/>
    <w:pPr>
      <w:spacing w:after="240"/>
      <w:ind w:left="360" w:hanging="360"/>
      <w:jc w:val="both"/>
    </w:pPr>
    <w:rPr>
      <w:rFonts w:ascii="Perpetua Std" w:hAnsi="Perpetua Std"/>
      <w:color w:val="000000"/>
      <w:sz w:val="24"/>
    </w:rPr>
  </w:style>
  <w:style w:type="paragraph" w:customStyle="1" w:styleId="PK">
    <w:name w:val="PK"/>
    <w:rsid w:val="0036248E"/>
    <w:pPr>
      <w:spacing w:after="240"/>
      <w:ind w:left="360" w:firstLine="288"/>
      <w:jc w:val="both"/>
    </w:pPr>
    <w:rPr>
      <w:rFonts w:ascii="Perpetua Std" w:hAnsi="Perpetua Std"/>
      <w:color w:val="000000"/>
      <w:sz w:val="24"/>
    </w:rPr>
  </w:style>
  <w:style w:type="paragraph" w:customStyle="1" w:styleId="PL">
    <w:name w:val="PL"/>
    <w:rsid w:val="0036248E"/>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36248E"/>
    <w:pPr>
      <w:spacing w:after="240"/>
      <w:ind w:left="432" w:right="432" w:firstLine="432"/>
      <w:jc w:val="both"/>
    </w:pPr>
    <w:rPr>
      <w:rFonts w:ascii="Minion Pro" w:hAnsi="Minion Pro"/>
    </w:rPr>
  </w:style>
  <w:style w:type="paragraph" w:customStyle="1" w:styleId="TOC">
    <w:name w:val="TOC"/>
    <w:autoRedefine/>
    <w:rsid w:val="0036248E"/>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36248E"/>
    <w:pPr>
      <w:tabs>
        <w:tab w:val="clear" w:pos="1440"/>
        <w:tab w:val="clear" w:pos="8640"/>
        <w:tab w:val="left" w:pos="240"/>
        <w:tab w:val="left" w:pos="480"/>
        <w:tab w:val="right" w:leader="dot" w:pos="4680"/>
      </w:tabs>
      <w:ind w:left="0" w:firstLine="0"/>
    </w:pPr>
    <w:rPr>
      <w:sz w:val="22"/>
    </w:rPr>
  </w:style>
  <w:style w:type="paragraph" w:customStyle="1" w:styleId="PP">
    <w:name w:val="PP"/>
    <w:rsid w:val="0036248E"/>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36248E"/>
    <w:pPr>
      <w:spacing w:after="240"/>
      <w:jc w:val="center"/>
    </w:pPr>
    <w:rPr>
      <w:rFonts w:ascii="Helvetica LT Std" w:hAnsi="Helvetica LT Std"/>
      <w:b/>
      <w:caps/>
      <w:color w:val="000000"/>
      <w:sz w:val="36"/>
      <w:szCs w:val="32"/>
    </w:rPr>
  </w:style>
  <w:style w:type="paragraph" w:customStyle="1" w:styleId="HB">
    <w:name w:val="HB"/>
    <w:rsid w:val="0036248E"/>
    <w:pPr>
      <w:spacing w:before="120" w:after="240"/>
      <w:jc w:val="center"/>
    </w:pPr>
    <w:rPr>
      <w:rFonts w:ascii="Helvetica LT Std" w:hAnsi="Helvetica LT Std"/>
      <w:b/>
      <w:color w:val="5F5F5F"/>
      <w:w w:val="105"/>
      <w:sz w:val="32"/>
    </w:rPr>
  </w:style>
  <w:style w:type="paragraph" w:customStyle="1" w:styleId="HC">
    <w:name w:val="HC"/>
    <w:autoRedefine/>
    <w:rsid w:val="0036248E"/>
    <w:pPr>
      <w:tabs>
        <w:tab w:val="left" w:pos="284"/>
      </w:tabs>
      <w:spacing w:before="120" w:after="120"/>
      <w:jc w:val="center"/>
    </w:pPr>
    <w:rPr>
      <w:rFonts w:ascii="Helvetica LT Std" w:hAnsi="Helvetica LT Std"/>
      <w:b/>
      <w:color w:val="000000"/>
      <w:w w:val="110"/>
      <w:sz w:val="26"/>
    </w:rPr>
  </w:style>
  <w:style w:type="paragraph" w:customStyle="1" w:styleId="PR">
    <w:name w:val="PR"/>
    <w:rsid w:val="0036248E"/>
    <w:pPr>
      <w:spacing w:after="240"/>
      <w:ind w:left="360" w:firstLine="288"/>
      <w:jc w:val="both"/>
    </w:pPr>
    <w:rPr>
      <w:rFonts w:ascii="Adobe Caslon Pro" w:hAnsi="Adobe Caslon Pro"/>
      <w:color w:val="000000"/>
      <w:sz w:val="14"/>
    </w:rPr>
  </w:style>
  <w:style w:type="paragraph" w:customStyle="1" w:styleId="PO">
    <w:name w:val="PO"/>
    <w:rsid w:val="0036248E"/>
    <w:pPr>
      <w:spacing w:after="240"/>
      <w:jc w:val="both"/>
    </w:pPr>
    <w:rPr>
      <w:rFonts w:ascii="Perpetua Std" w:hAnsi="Perpetua Std"/>
      <w:color w:val="000000"/>
      <w:w w:val="95"/>
      <w:szCs w:val="16"/>
    </w:rPr>
  </w:style>
  <w:style w:type="paragraph" w:customStyle="1" w:styleId="GUIDEX">
    <w:name w:val="GUIDEX"/>
    <w:rsid w:val="0036248E"/>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36248E"/>
    <w:pPr>
      <w:tabs>
        <w:tab w:val="clear" w:pos="240"/>
        <w:tab w:val="clear" w:pos="480"/>
        <w:tab w:val="clear" w:pos="720"/>
        <w:tab w:val="right" w:pos="4680"/>
      </w:tabs>
    </w:pPr>
  </w:style>
  <w:style w:type="paragraph" w:customStyle="1" w:styleId="PCB">
    <w:name w:val="PCB"/>
    <w:autoRedefine/>
    <w:rsid w:val="0036248E"/>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36248E"/>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36248E"/>
    <w:rPr>
      <w:rFonts w:ascii="Perpetua Std" w:hAnsi="Perpetua Std"/>
    </w:rPr>
  </w:style>
  <w:style w:type="paragraph" w:styleId="NoSpacing">
    <w:name w:val="No Spacing"/>
    <w:qFormat/>
    <w:rsid w:val="0036248E"/>
    <w:rPr>
      <w:rFonts w:ascii="Perpetua" w:hAnsi="Perpetua"/>
    </w:rPr>
  </w:style>
  <w:style w:type="paragraph" w:customStyle="1" w:styleId="PCA">
    <w:name w:val="PCA"/>
    <w:rsid w:val="0036248E"/>
    <w:pPr>
      <w:numPr>
        <w:numId w:val="29"/>
      </w:numPr>
      <w:tabs>
        <w:tab w:val="left" w:pos="720"/>
      </w:tabs>
      <w:spacing w:after="240"/>
      <w:jc w:val="both"/>
    </w:pPr>
    <w:rPr>
      <w:rFonts w:ascii="Perpetua Std" w:hAnsi="Perpetua Std"/>
      <w:sz w:val="24"/>
    </w:rPr>
  </w:style>
  <w:style w:type="paragraph" w:customStyle="1" w:styleId="PHB">
    <w:name w:val="PHB"/>
    <w:rsid w:val="0036248E"/>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36248E"/>
    <w:rPr>
      <w:rFonts w:ascii="Perpetua Std" w:eastAsia="MS Mincho" w:hAnsi="Perpetua Std"/>
      <w:color w:val="000000"/>
      <w:sz w:val="22"/>
    </w:rPr>
  </w:style>
  <w:style w:type="paragraph" w:styleId="EndnoteText">
    <w:name w:val="endnote text"/>
    <w:basedOn w:val="Normal"/>
    <w:link w:val="EndnoteTextChar"/>
    <w:semiHidden/>
    <w:unhideWhenUsed/>
    <w:rsid w:val="006E52B0"/>
  </w:style>
  <w:style w:type="character" w:customStyle="1" w:styleId="EndnoteTextChar">
    <w:name w:val="Endnote Text Char"/>
    <w:basedOn w:val="DefaultParagraphFont"/>
    <w:link w:val="EndnoteText"/>
    <w:semiHidden/>
    <w:rsid w:val="006E52B0"/>
    <w:rPr>
      <w:rFonts w:ascii="Perpetua Std" w:hAnsi="Perpetua Std"/>
    </w:rPr>
  </w:style>
  <w:style w:type="character" w:styleId="EndnoteReference">
    <w:name w:val="endnote reference"/>
    <w:basedOn w:val="DefaultParagraphFont"/>
    <w:semiHidden/>
    <w:unhideWhenUsed/>
    <w:rsid w:val="006E52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C9A4-082F-47A7-8199-5D845D7E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8520. What are miscellaneous itemized deductions? What limits apply?</vt:lpstr>
    </vt:vector>
  </TitlesOfParts>
  <Company>Summit Business Media</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8520. What are miscellaneous itemized deductions? What limits apply?</dc:title>
  <dc:creator>Alexis Long</dc:creator>
  <cp:lastModifiedBy>rcline</cp:lastModifiedBy>
  <cp:revision>2</cp:revision>
  <dcterms:created xsi:type="dcterms:W3CDTF">2014-08-20T15:08:00Z</dcterms:created>
  <dcterms:modified xsi:type="dcterms:W3CDTF">2014-08-20T15:08:00Z</dcterms:modified>
</cp:coreProperties>
</file>