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4E" w:rsidRPr="00067B4E" w:rsidRDefault="00067B4E" w:rsidP="007D6D13">
      <w:pPr>
        <w:pStyle w:val="PA"/>
        <w:rPr>
          <w:b/>
        </w:rPr>
      </w:pPr>
      <w:bookmarkStart w:id="0" w:name="_GoBack"/>
      <w:bookmarkEnd w:id="0"/>
      <w:r w:rsidRPr="00067B4E">
        <w:rPr>
          <w:b/>
        </w:rPr>
        <w:t xml:space="preserve">8518. </w:t>
      </w:r>
      <w:r w:rsidR="0036579B">
        <w:rPr>
          <w:b/>
        </w:rPr>
        <w:t xml:space="preserve">   What are itemized deductions and how are they deducted</w:t>
      </w:r>
      <w:r w:rsidRPr="00067B4E">
        <w:rPr>
          <w:b/>
        </w:rPr>
        <w:t>?</w:t>
      </w:r>
    </w:p>
    <w:p w:rsidR="00427B74" w:rsidRPr="00532B64" w:rsidRDefault="0036579B" w:rsidP="007D6D13">
      <w:pPr>
        <w:pStyle w:val="PA"/>
      </w:pPr>
      <w:r>
        <w:t xml:space="preserve">As discussed in Q8515, taxpayers are entitled to a “below-the-line” deduction, i.e., a deduction </w:t>
      </w:r>
      <w:r w:rsidR="007D6D13" w:rsidRPr="00532B64">
        <w:t>from adjusted gross income in arriving at taxable income</w:t>
      </w:r>
      <w:r>
        <w:t>, of the greater of 1) the applicable standard deduction (</w:t>
      </w:r>
      <w:r w:rsidR="002A13EE">
        <w:t xml:space="preserve">including the additional standard deduction for taxpayers who are blind and/or age 65 or older </w:t>
      </w:r>
      <w:r>
        <w:t>based on filing status); or, 2) the sum of their itemized deductions.  So, in order to make a determination as to which amount to deduct, the taxpayer must total all deductible items that qualify as i</w:t>
      </w:r>
      <w:r w:rsidR="007D6D13" w:rsidRPr="00532B64">
        <w:t>temized deductions</w:t>
      </w:r>
      <w:r>
        <w:t>.</w:t>
      </w:r>
      <w:r w:rsidR="00551778">
        <w:t xml:space="preserve">  If the total amount of itemized deductions exceeds the standard deduction, the taxpayer </w:t>
      </w:r>
      <w:r w:rsidR="002A13EE">
        <w:t xml:space="preserve">deducts </w:t>
      </w:r>
      <w:r w:rsidR="00551778">
        <w:t>th</w:t>
      </w:r>
      <w:r w:rsidR="002A13EE">
        <w:t xml:space="preserve">at </w:t>
      </w:r>
      <w:r w:rsidR="00551778">
        <w:t>larger sum.</w:t>
      </w:r>
    </w:p>
    <w:p w:rsidR="00427B74" w:rsidRPr="00532B64" w:rsidRDefault="00835C56" w:rsidP="007D6D13">
      <w:pPr>
        <w:pStyle w:val="PA"/>
        <w:suppressAutoHyphens/>
        <w:spacing w:after="209"/>
        <w:rPr>
          <w:szCs w:val="24"/>
        </w:rPr>
      </w:pPr>
      <w:r w:rsidRPr="00532B64">
        <w:rPr>
          <w:szCs w:val="24"/>
        </w:rPr>
        <w:t xml:space="preserve">The following </w:t>
      </w:r>
      <w:r w:rsidR="0036579B">
        <w:rPr>
          <w:szCs w:val="24"/>
        </w:rPr>
        <w:t xml:space="preserve">is </w:t>
      </w:r>
      <w:r w:rsidRPr="00532B64">
        <w:rPr>
          <w:szCs w:val="24"/>
        </w:rPr>
        <w:t xml:space="preserve">a non-exhaustive list of the </w:t>
      </w:r>
      <w:r w:rsidR="007D6D13" w:rsidRPr="00532B64">
        <w:rPr>
          <w:szCs w:val="24"/>
        </w:rPr>
        <w:t>itemized deductions</w:t>
      </w:r>
      <w:r w:rsidR="00BD49E8">
        <w:rPr>
          <w:szCs w:val="24"/>
        </w:rPr>
        <w:t>:</w:t>
      </w:r>
    </w:p>
    <w:p w:rsidR="00427B74" w:rsidRPr="00532B64" w:rsidRDefault="007D6D13" w:rsidP="007D6D13">
      <w:pPr>
        <w:pStyle w:val="PA"/>
        <w:suppressAutoHyphens/>
        <w:spacing w:after="209"/>
        <w:rPr>
          <w:szCs w:val="24"/>
        </w:rPr>
      </w:pPr>
      <w:r w:rsidRPr="00532B64">
        <w:rPr>
          <w:szCs w:val="24"/>
        </w:rPr>
        <w:t>…Interest</w:t>
      </w:r>
      <w:r w:rsidR="00BD49E8">
        <w:rPr>
          <w:szCs w:val="24"/>
        </w:rPr>
        <w:t xml:space="preserve"> (including mortgage interest on a principal residence)</w:t>
      </w:r>
      <w:r w:rsidRPr="00532B64">
        <w:rPr>
          <w:szCs w:val="24"/>
        </w:rPr>
        <w:t xml:space="preserve">, within limits (see </w:t>
      </w:r>
      <w:r w:rsidR="000465CA" w:rsidRPr="00532B64">
        <w:t>Q 85</w:t>
      </w:r>
      <w:r w:rsidR="00FC74E6" w:rsidRPr="00532B64">
        <w:t>22</w:t>
      </w:r>
      <w:r w:rsidRPr="00532B64">
        <w:rPr>
          <w:szCs w:val="24"/>
        </w:rPr>
        <w:t>)</w:t>
      </w:r>
      <w:r w:rsidR="00FC74E6" w:rsidRPr="00532B64">
        <w:rPr>
          <w:szCs w:val="24"/>
        </w:rPr>
        <w:t>;</w:t>
      </w:r>
    </w:p>
    <w:p w:rsidR="00427B74" w:rsidRPr="00532B64" w:rsidRDefault="007D6D13" w:rsidP="007D6D13">
      <w:pPr>
        <w:pStyle w:val="PA"/>
        <w:suppressAutoHyphens/>
        <w:rPr>
          <w:szCs w:val="24"/>
        </w:rPr>
      </w:pPr>
      <w:r w:rsidRPr="00532B64">
        <w:rPr>
          <w:szCs w:val="24"/>
        </w:rPr>
        <w:t xml:space="preserve">…Personal expenses for the production or collection of taxable income, within </w:t>
      </w:r>
      <w:r w:rsidR="002F6745" w:rsidRPr="00532B64">
        <w:rPr>
          <w:szCs w:val="24"/>
        </w:rPr>
        <w:t>limits,</w:t>
      </w:r>
      <w:r w:rsidRPr="00532B64">
        <w:rPr>
          <w:szCs w:val="24"/>
        </w:rPr>
        <w:t xml:space="preserve"> or in conjunction with the determination, collection or refund of any tax (but some of these expenses may be considered “miscellaneous itemized deductions” (see </w:t>
      </w:r>
      <w:r w:rsidR="000465CA" w:rsidRPr="00532B64">
        <w:rPr>
          <w:szCs w:val="24"/>
        </w:rPr>
        <w:t>Q 85</w:t>
      </w:r>
      <w:r w:rsidR="00EA0B82" w:rsidRPr="00532B64">
        <w:rPr>
          <w:szCs w:val="24"/>
        </w:rPr>
        <w:t>21</w:t>
      </w:r>
      <w:r w:rsidRPr="00532B64">
        <w:rPr>
          <w:szCs w:val="24"/>
        </w:rPr>
        <w:t>)</w:t>
      </w:r>
      <w:r w:rsidR="002A13EE">
        <w:rPr>
          <w:szCs w:val="24"/>
        </w:rPr>
        <w:t>)</w:t>
      </w:r>
      <w:r w:rsidRPr="00532B64">
        <w:rPr>
          <w:szCs w:val="24"/>
        </w:rPr>
        <w:t xml:space="preserve">. </w:t>
      </w:r>
      <w:r w:rsidR="00BD49E8">
        <w:rPr>
          <w:szCs w:val="24"/>
        </w:rPr>
        <w:t>However, c</w:t>
      </w:r>
      <w:r w:rsidRPr="00532B64">
        <w:rPr>
          <w:szCs w:val="24"/>
        </w:rPr>
        <w:t>ertain business expenses and expenses for the production of rents and royalties are</w:t>
      </w:r>
      <w:r w:rsidR="00BD49E8">
        <w:rPr>
          <w:szCs w:val="24"/>
        </w:rPr>
        <w:t xml:space="preserve"> above the line deductions rather than itemized deductions</w:t>
      </w:r>
      <w:r w:rsidR="002F6745" w:rsidRPr="00532B64">
        <w:rPr>
          <w:szCs w:val="24"/>
        </w:rPr>
        <w:t>;</w:t>
      </w:r>
    </w:p>
    <w:p w:rsidR="00427B74" w:rsidRPr="00532B64" w:rsidRDefault="007D6D13" w:rsidP="007D6D13">
      <w:pPr>
        <w:pStyle w:val="PA"/>
        <w:suppressAutoHyphens/>
        <w:rPr>
          <w:szCs w:val="24"/>
        </w:rPr>
      </w:pPr>
      <w:r w:rsidRPr="00532B64">
        <w:rPr>
          <w:szCs w:val="24"/>
        </w:rPr>
        <w:t>…Personal taxes of the following types: state, local and foreign real property taxes; state and local personal property taxes; state, local and foreign income, war profits and excess profits taxes</w:t>
      </w:r>
      <w:r w:rsidR="00FC74E6" w:rsidRPr="00532B64">
        <w:rPr>
          <w:szCs w:val="24"/>
        </w:rPr>
        <w:t>,</w:t>
      </w:r>
      <w:r w:rsidRPr="00532B64">
        <w:rPr>
          <w:szCs w:val="24"/>
        </w:rPr>
        <w:t xml:space="preserve"> and the generation-skipping tax </w:t>
      </w:r>
      <w:r w:rsidR="002A13EE">
        <w:rPr>
          <w:szCs w:val="24"/>
        </w:rPr>
        <w:t>imposed on income distributions</w:t>
      </w:r>
      <w:r w:rsidRPr="00532B64">
        <w:rPr>
          <w:szCs w:val="24"/>
        </w:rPr>
        <w:t xml:space="preserve">. </w:t>
      </w:r>
      <w:r w:rsidR="002A13EE">
        <w:rPr>
          <w:szCs w:val="24"/>
        </w:rPr>
        <w:t xml:space="preserve"> </w:t>
      </w:r>
      <w:r w:rsidRPr="00532B64">
        <w:rPr>
          <w:szCs w:val="24"/>
        </w:rPr>
        <w:t xml:space="preserve">If taxes other than these are incurred in connection with the acquisition or disposition of property, they must be treated as part of the cost of such property </w:t>
      </w:r>
      <w:r w:rsidR="00BD49E8">
        <w:rPr>
          <w:szCs w:val="24"/>
        </w:rPr>
        <w:t xml:space="preserve">(included in basis) </w:t>
      </w:r>
      <w:r w:rsidRPr="00532B64">
        <w:rPr>
          <w:szCs w:val="24"/>
        </w:rPr>
        <w:t>or as a reduction in the amount realized on the disposition</w:t>
      </w:r>
      <w:r w:rsidR="00C64FEC" w:rsidRPr="00532B64">
        <w:rPr>
          <w:szCs w:val="24"/>
        </w:rPr>
        <w:t>;</w:t>
      </w:r>
      <w:r w:rsidRPr="00532B64">
        <w:rPr>
          <w:szCs w:val="24"/>
          <w:vertAlign w:val="superscript"/>
        </w:rPr>
        <w:footnoteReference w:id="1"/>
      </w:r>
    </w:p>
    <w:p w:rsidR="00427B74" w:rsidRPr="00532B64" w:rsidRDefault="007D6D13" w:rsidP="007D6D13">
      <w:pPr>
        <w:pStyle w:val="PA"/>
        <w:suppressAutoHyphens/>
        <w:rPr>
          <w:szCs w:val="24"/>
        </w:rPr>
      </w:pPr>
      <w:r w:rsidRPr="00532B64">
        <w:rPr>
          <w:szCs w:val="24"/>
        </w:rPr>
        <w:t xml:space="preserve">…Uncompensated personal casualty and theft losses. </w:t>
      </w:r>
      <w:r w:rsidR="00FC74E6" w:rsidRPr="00532B64">
        <w:rPr>
          <w:szCs w:val="24"/>
        </w:rPr>
        <w:t>T</w:t>
      </w:r>
      <w:r w:rsidRPr="00532B64">
        <w:rPr>
          <w:szCs w:val="24"/>
        </w:rPr>
        <w:t>hese are deductible only to the extent that the aggregate amount of uncompensated losses in excess of $100 (for each casualty or theft) exceeds 10 percent of adjusted gross income. The taxpayer must file a timely insurance claim for damage to property that is not business or investment property or else the deduction is disallowed to the extent that insurance would have provided compensation.</w:t>
      </w:r>
      <w:r w:rsidR="00551778">
        <w:rPr>
          <w:rStyle w:val="EndnoteReference"/>
          <w:szCs w:val="24"/>
        </w:rPr>
        <w:endnoteReference w:id="1"/>
      </w:r>
      <w:r w:rsidR="00551778">
        <w:rPr>
          <w:szCs w:val="24"/>
        </w:rPr>
        <w:t xml:space="preserve">  </w:t>
      </w:r>
      <w:r w:rsidRPr="00532B64">
        <w:rPr>
          <w:szCs w:val="24"/>
        </w:rPr>
        <w:t>Uncompensated casualty and theft losses in connection with a taxpayer’s business or in connection with the production of income are deductible in full</w:t>
      </w:r>
      <w:r w:rsidR="007D7748" w:rsidRPr="00532B64">
        <w:rPr>
          <w:szCs w:val="24"/>
        </w:rPr>
        <w:t>.</w:t>
      </w:r>
      <w:r w:rsidR="00427B74" w:rsidRPr="00532B64">
        <w:rPr>
          <w:szCs w:val="24"/>
        </w:rPr>
        <w:t xml:space="preserve"> </w:t>
      </w:r>
      <w:r w:rsidR="007D7748" w:rsidRPr="00532B64">
        <w:rPr>
          <w:szCs w:val="24"/>
        </w:rPr>
        <w:t xml:space="preserve">For more on casualty losses, see </w:t>
      </w:r>
      <w:r w:rsidR="000465CA" w:rsidRPr="00532B64">
        <w:rPr>
          <w:szCs w:val="24"/>
        </w:rPr>
        <w:t>Q 86</w:t>
      </w:r>
      <w:r w:rsidR="00DD68C3" w:rsidRPr="00532B64">
        <w:rPr>
          <w:szCs w:val="24"/>
        </w:rPr>
        <w:t xml:space="preserve">17 </w:t>
      </w:r>
      <w:r w:rsidR="00427B74" w:rsidRPr="00532B64">
        <w:rPr>
          <w:szCs w:val="24"/>
        </w:rPr>
        <w:t xml:space="preserve">to </w:t>
      </w:r>
      <w:r w:rsidR="000465CA" w:rsidRPr="00532B64">
        <w:rPr>
          <w:szCs w:val="24"/>
        </w:rPr>
        <w:t>Q 86</w:t>
      </w:r>
      <w:r w:rsidR="00DD68C3" w:rsidRPr="00532B64">
        <w:rPr>
          <w:szCs w:val="24"/>
        </w:rPr>
        <w:t>28</w:t>
      </w:r>
      <w:r w:rsidR="00C64FEC" w:rsidRPr="00532B64">
        <w:rPr>
          <w:szCs w:val="24"/>
        </w:rPr>
        <w:t>;</w:t>
      </w:r>
    </w:p>
    <w:p w:rsidR="00427B74" w:rsidRPr="00532B64" w:rsidRDefault="007D6D13" w:rsidP="007D6D13">
      <w:pPr>
        <w:pStyle w:val="PA"/>
        <w:suppressAutoHyphens/>
        <w:rPr>
          <w:szCs w:val="24"/>
        </w:rPr>
      </w:pPr>
      <w:r w:rsidRPr="00532B64">
        <w:rPr>
          <w:szCs w:val="24"/>
        </w:rPr>
        <w:t xml:space="preserve">…Contributions to charitable organizations, within certain limitations (see </w:t>
      </w:r>
      <w:r w:rsidR="000465CA" w:rsidRPr="00532B64">
        <w:t>Q 85</w:t>
      </w:r>
      <w:r w:rsidR="00EA0B82" w:rsidRPr="00532B64">
        <w:t>23</w:t>
      </w:r>
      <w:r w:rsidR="00427B74" w:rsidRPr="00532B64">
        <w:t xml:space="preserve"> to </w:t>
      </w:r>
      <w:r w:rsidR="000465CA" w:rsidRPr="00532B64">
        <w:t>Q 85</w:t>
      </w:r>
      <w:r w:rsidR="00EA0B82" w:rsidRPr="00532B64">
        <w:t>26</w:t>
      </w:r>
      <w:r w:rsidRPr="00532B64">
        <w:rPr>
          <w:szCs w:val="24"/>
        </w:rPr>
        <w:t>)</w:t>
      </w:r>
      <w:r w:rsidR="00C64FEC" w:rsidRPr="00532B64">
        <w:rPr>
          <w:szCs w:val="24"/>
        </w:rPr>
        <w:t>;</w:t>
      </w:r>
    </w:p>
    <w:p w:rsidR="00427B74" w:rsidRPr="00532B64" w:rsidRDefault="007D6D13" w:rsidP="007D6D13">
      <w:pPr>
        <w:pStyle w:val="PA"/>
        <w:suppressAutoHyphens/>
        <w:rPr>
          <w:szCs w:val="24"/>
        </w:rPr>
      </w:pPr>
      <w:r w:rsidRPr="00532B64">
        <w:rPr>
          <w:szCs w:val="24"/>
        </w:rPr>
        <w:t>…Unreimbursed medical and dental expenses</w:t>
      </w:r>
      <w:r w:rsidR="00FE2B1F">
        <w:rPr>
          <w:szCs w:val="24"/>
        </w:rPr>
        <w:t>,</w:t>
      </w:r>
      <w:r w:rsidRPr="00532B64">
        <w:rPr>
          <w:szCs w:val="24"/>
        </w:rPr>
        <w:t xml:space="preserve"> and expenses</w:t>
      </w:r>
      <w:r w:rsidR="00C64FEC" w:rsidRPr="00532B64">
        <w:rPr>
          <w:szCs w:val="24"/>
        </w:rPr>
        <w:t xml:space="preserve"> </w:t>
      </w:r>
      <w:r w:rsidRPr="00532B64">
        <w:rPr>
          <w:szCs w:val="24"/>
        </w:rPr>
        <w:t xml:space="preserve"> for the purchase of prescribed drugs or insulin incurred by the taxpayer for himself and his spouse and dependents, to the extent that such expenses exceed 10</w:t>
      </w:r>
      <w:r w:rsidR="007D7748" w:rsidRPr="00532B64">
        <w:rPr>
          <w:szCs w:val="24"/>
        </w:rPr>
        <w:t xml:space="preserve"> percent</w:t>
      </w:r>
      <w:r w:rsidRPr="00532B64">
        <w:rPr>
          <w:szCs w:val="24"/>
        </w:rPr>
        <w:t xml:space="preserve"> of adjusted gross income (7.5</w:t>
      </w:r>
      <w:r w:rsidR="007D7748" w:rsidRPr="00532B64">
        <w:rPr>
          <w:szCs w:val="24"/>
        </w:rPr>
        <w:t xml:space="preserve"> percent</w:t>
      </w:r>
      <w:r w:rsidRPr="00532B64">
        <w:rPr>
          <w:szCs w:val="24"/>
        </w:rPr>
        <w:t xml:space="preserve"> of adjusted gross income for</w:t>
      </w:r>
      <w:r w:rsidR="002A13EE">
        <w:rPr>
          <w:szCs w:val="24"/>
        </w:rPr>
        <w:t xml:space="preserve"> taxpayers 65 or older</w:t>
      </w:r>
      <w:r w:rsidRPr="00532B64">
        <w:rPr>
          <w:szCs w:val="24"/>
        </w:rPr>
        <w:t xml:space="preserve">) (see </w:t>
      </w:r>
      <w:r w:rsidR="000465CA" w:rsidRPr="00532B64">
        <w:rPr>
          <w:szCs w:val="24"/>
        </w:rPr>
        <w:t>Q 85</w:t>
      </w:r>
      <w:r w:rsidR="00EA0B82" w:rsidRPr="00532B64">
        <w:rPr>
          <w:szCs w:val="24"/>
        </w:rPr>
        <w:t>27</w:t>
      </w:r>
      <w:r w:rsidRPr="00532B64">
        <w:t>)</w:t>
      </w:r>
      <w:r w:rsidR="00C64FEC" w:rsidRPr="00532B64">
        <w:t>;</w:t>
      </w:r>
    </w:p>
    <w:p w:rsidR="00427B74" w:rsidRPr="00532B64" w:rsidRDefault="007D6D13" w:rsidP="007D6D13">
      <w:pPr>
        <w:pStyle w:val="PA"/>
        <w:suppressAutoHyphens/>
        <w:rPr>
          <w:szCs w:val="24"/>
        </w:rPr>
      </w:pPr>
      <w:r w:rsidRPr="00532B64">
        <w:rPr>
          <w:szCs w:val="24"/>
        </w:rPr>
        <w:lastRenderedPageBreak/>
        <w:t>…</w:t>
      </w:r>
      <w:r w:rsidR="00551778">
        <w:rPr>
          <w:szCs w:val="24"/>
        </w:rPr>
        <w:t>Unreimbursed e</w:t>
      </w:r>
      <w:r w:rsidRPr="00532B64">
        <w:rPr>
          <w:szCs w:val="24"/>
        </w:rPr>
        <w:t xml:space="preserve">xpenses of an employee connected with his employment. Generally, such expenses are “miscellaneous itemized deductions” (see </w:t>
      </w:r>
      <w:r w:rsidR="000465CA" w:rsidRPr="00532B64">
        <w:rPr>
          <w:szCs w:val="24"/>
        </w:rPr>
        <w:t>Q 85</w:t>
      </w:r>
      <w:r w:rsidR="00EA0B82" w:rsidRPr="00532B64">
        <w:rPr>
          <w:szCs w:val="24"/>
        </w:rPr>
        <w:t>21</w:t>
      </w:r>
      <w:r w:rsidRPr="00532B64">
        <w:t>)</w:t>
      </w:r>
      <w:r w:rsidR="00C64FEC" w:rsidRPr="00532B64">
        <w:t>;</w:t>
      </w:r>
    </w:p>
    <w:p w:rsidR="004E7836" w:rsidRPr="004E7836" w:rsidRDefault="007D6D13" w:rsidP="002A13EE">
      <w:pPr>
        <w:pStyle w:val="PA"/>
        <w:suppressAutoHyphens/>
      </w:pPr>
      <w:r w:rsidRPr="00532B64">
        <w:rPr>
          <w:szCs w:val="24"/>
        </w:rPr>
        <w:t>…Federal estate taxes and generation-skipping transfer taxes paid on “income in respect of a decedent</w:t>
      </w:r>
      <w:r w:rsidR="00EA0B82" w:rsidRPr="00532B64">
        <w:rPr>
          <w:szCs w:val="24"/>
        </w:rPr>
        <w:t>.</w:t>
      </w:r>
      <w:r w:rsidRPr="00532B64">
        <w:rPr>
          <w:szCs w:val="24"/>
        </w:rPr>
        <w:t>”</w:t>
      </w:r>
    </w:p>
    <w:sectPr w:rsidR="004E7836" w:rsidRPr="004E7836" w:rsidSect="00271A21">
      <w:footnotePr>
        <w:numRestart w:val="eachPage"/>
      </w:footnotePr>
      <w:endnotePr>
        <w:numFmt w:val="decimal"/>
        <w:numStart w:val="2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5B" w:rsidRDefault="0080055B" w:rsidP="006F074C">
      <w:r>
        <w:separator/>
      </w:r>
    </w:p>
  </w:endnote>
  <w:endnote w:type="continuationSeparator" w:id="0">
    <w:p w:rsidR="0080055B" w:rsidRDefault="0080055B" w:rsidP="006F074C">
      <w:r>
        <w:continuationSeparator/>
      </w:r>
    </w:p>
  </w:endnote>
  <w:endnote w:id="1">
    <w:p w:rsidR="00551778" w:rsidRDefault="005517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A13EE">
        <w:rPr>
          <w:sz w:val="16"/>
          <w:szCs w:val="16"/>
        </w:rPr>
        <w:t>IRC Sec. 165(h)(5)(E)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5B" w:rsidRDefault="0080055B" w:rsidP="006F074C">
      <w:r>
        <w:separator/>
      </w:r>
    </w:p>
  </w:footnote>
  <w:footnote w:type="continuationSeparator" w:id="0">
    <w:p w:rsidR="0080055B" w:rsidRDefault="0080055B" w:rsidP="006F074C">
      <w:r>
        <w:continuationSeparator/>
      </w:r>
    </w:p>
  </w:footnote>
  <w:footnote w:id="1">
    <w:p w:rsidR="00D73FC0" w:rsidRPr="00FA74D7" w:rsidRDefault="00D73FC0" w:rsidP="00FE5D9D">
      <w:pPr>
        <w:pStyle w:val="PQ"/>
      </w:pPr>
      <w:r w:rsidRPr="00FA74D7">
        <w:footnoteRef/>
      </w:r>
      <w:r w:rsidR="00F16B3F">
        <w:t>.</w:t>
      </w:r>
      <w:r w:rsidR="00F16B3F">
        <w:tab/>
      </w:r>
      <w:r w:rsidR="00FE5D9D" w:rsidRPr="00FA74D7">
        <w:t xml:space="preserve">IRC Sec. </w:t>
      </w:r>
      <w:proofErr w:type="gramStart"/>
      <w:r w:rsidR="00FE5D9D" w:rsidRPr="00FA74D7">
        <w:t>164(a</w:t>
      </w:r>
      <w:proofErr w:type="gramEnd"/>
      <w:r w:rsidR="00FE5D9D" w:rsidRPr="00FA74D7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trackRevisions/>
  <w:defaultTabStop w:val="720"/>
  <w:characterSpacingControl w:val="doNotCompress"/>
  <w:footnotePr>
    <w:numRestart w:val="eachPage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67B4E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97132"/>
    <w:rsid w:val="0019748C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3196A"/>
    <w:rsid w:val="00242C92"/>
    <w:rsid w:val="00243A4C"/>
    <w:rsid w:val="00264FD9"/>
    <w:rsid w:val="00271A21"/>
    <w:rsid w:val="00287277"/>
    <w:rsid w:val="002A13EE"/>
    <w:rsid w:val="002B58F5"/>
    <w:rsid w:val="002E46AF"/>
    <w:rsid w:val="002E4BFB"/>
    <w:rsid w:val="002F6745"/>
    <w:rsid w:val="00310C38"/>
    <w:rsid w:val="0032167A"/>
    <w:rsid w:val="00323E1D"/>
    <w:rsid w:val="00327BDB"/>
    <w:rsid w:val="00355BC4"/>
    <w:rsid w:val="00360557"/>
    <w:rsid w:val="00361A3A"/>
    <w:rsid w:val="0036579B"/>
    <w:rsid w:val="00377919"/>
    <w:rsid w:val="003B1DF7"/>
    <w:rsid w:val="003B450F"/>
    <w:rsid w:val="003B65D8"/>
    <w:rsid w:val="003C1548"/>
    <w:rsid w:val="003F00D7"/>
    <w:rsid w:val="003F05E5"/>
    <w:rsid w:val="004167F4"/>
    <w:rsid w:val="00427B74"/>
    <w:rsid w:val="00435B94"/>
    <w:rsid w:val="00456493"/>
    <w:rsid w:val="00474C65"/>
    <w:rsid w:val="00484642"/>
    <w:rsid w:val="00487A39"/>
    <w:rsid w:val="004C5F26"/>
    <w:rsid w:val="004E7836"/>
    <w:rsid w:val="00501B90"/>
    <w:rsid w:val="00511E10"/>
    <w:rsid w:val="00521FCB"/>
    <w:rsid w:val="00532B64"/>
    <w:rsid w:val="00551778"/>
    <w:rsid w:val="005611F2"/>
    <w:rsid w:val="00565698"/>
    <w:rsid w:val="0056737A"/>
    <w:rsid w:val="00573817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152E6"/>
    <w:rsid w:val="0061599B"/>
    <w:rsid w:val="00664BF0"/>
    <w:rsid w:val="00667AE6"/>
    <w:rsid w:val="0068069B"/>
    <w:rsid w:val="00695FA3"/>
    <w:rsid w:val="006B1DE0"/>
    <w:rsid w:val="006C1680"/>
    <w:rsid w:val="006C441E"/>
    <w:rsid w:val="006C5379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7F4895"/>
    <w:rsid w:val="0080055B"/>
    <w:rsid w:val="0080472F"/>
    <w:rsid w:val="00804FC2"/>
    <w:rsid w:val="008316E9"/>
    <w:rsid w:val="00835C56"/>
    <w:rsid w:val="00844B76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44E4E"/>
    <w:rsid w:val="0095488D"/>
    <w:rsid w:val="00957231"/>
    <w:rsid w:val="009626DD"/>
    <w:rsid w:val="0097483E"/>
    <w:rsid w:val="009938E4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B156E0"/>
    <w:rsid w:val="00B15D08"/>
    <w:rsid w:val="00B47F6C"/>
    <w:rsid w:val="00B97105"/>
    <w:rsid w:val="00BA22F5"/>
    <w:rsid w:val="00BC19F7"/>
    <w:rsid w:val="00BC5792"/>
    <w:rsid w:val="00BC6F51"/>
    <w:rsid w:val="00BD49E8"/>
    <w:rsid w:val="00BE317F"/>
    <w:rsid w:val="00C15AF0"/>
    <w:rsid w:val="00C1615A"/>
    <w:rsid w:val="00C3032D"/>
    <w:rsid w:val="00C315AA"/>
    <w:rsid w:val="00C360BE"/>
    <w:rsid w:val="00C376E8"/>
    <w:rsid w:val="00C5496F"/>
    <w:rsid w:val="00C64FEC"/>
    <w:rsid w:val="00C7768E"/>
    <w:rsid w:val="00C92346"/>
    <w:rsid w:val="00C92F0C"/>
    <w:rsid w:val="00C93D33"/>
    <w:rsid w:val="00CB0AF1"/>
    <w:rsid w:val="00CD22F0"/>
    <w:rsid w:val="00CD61B7"/>
    <w:rsid w:val="00CE1B09"/>
    <w:rsid w:val="00CF5092"/>
    <w:rsid w:val="00D0195D"/>
    <w:rsid w:val="00D418E3"/>
    <w:rsid w:val="00D51611"/>
    <w:rsid w:val="00D72E05"/>
    <w:rsid w:val="00D73FC0"/>
    <w:rsid w:val="00D81626"/>
    <w:rsid w:val="00DB50E5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0E0C"/>
    <w:rsid w:val="00E57EB0"/>
    <w:rsid w:val="00E67D60"/>
    <w:rsid w:val="00E70D9A"/>
    <w:rsid w:val="00E76573"/>
    <w:rsid w:val="00E8579E"/>
    <w:rsid w:val="00E941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16B3F"/>
    <w:rsid w:val="00F601EC"/>
    <w:rsid w:val="00F66D50"/>
    <w:rsid w:val="00F96BEC"/>
    <w:rsid w:val="00F9714F"/>
    <w:rsid w:val="00FB7360"/>
    <w:rsid w:val="00FC74E6"/>
    <w:rsid w:val="00FD7753"/>
    <w:rsid w:val="00FE2B1F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CD61B7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CD61B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D61B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CD61B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CD61B7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CD61B7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CD61B7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CD61B7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CD61B7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CD61B7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CD61B7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CD61B7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CD61B7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CD61B7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CD61B7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CD61B7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CD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61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CD61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CD61B7"/>
    <w:pPr>
      <w:spacing w:before="144"/>
      <w:jc w:val="both"/>
    </w:pPr>
    <w:rPr>
      <w:noProof/>
    </w:rPr>
  </w:style>
  <w:style w:type="paragraph" w:customStyle="1" w:styleId="PD">
    <w:name w:val="PD"/>
    <w:rsid w:val="00CD61B7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CD61B7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CD61B7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CD61B7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CD61B7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CD61B7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CD61B7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CD61B7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CD61B7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CD61B7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CD61B7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CD61B7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CD61B7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CD61B7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CD61B7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CD61B7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CD61B7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CD61B7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CD61B7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CD61B7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CD61B7"/>
    <w:rPr>
      <w:rFonts w:ascii="Perpetua Std" w:hAnsi="Perpetua Std"/>
    </w:rPr>
  </w:style>
  <w:style w:type="paragraph" w:styleId="NoSpacing">
    <w:name w:val="No Spacing"/>
    <w:qFormat/>
    <w:rsid w:val="00CD61B7"/>
    <w:rPr>
      <w:rFonts w:ascii="Perpetua" w:hAnsi="Perpetua"/>
    </w:rPr>
  </w:style>
  <w:style w:type="paragraph" w:customStyle="1" w:styleId="PCA">
    <w:name w:val="PCA"/>
    <w:rsid w:val="00CD61B7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CD61B7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CD61B7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551778"/>
  </w:style>
  <w:style w:type="character" w:customStyle="1" w:styleId="EndnoteTextChar">
    <w:name w:val="Endnote Text Char"/>
    <w:basedOn w:val="DefaultParagraphFont"/>
    <w:link w:val="EndnoteText"/>
    <w:semiHidden/>
    <w:rsid w:val="00551778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551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CD61B7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CD61B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D61B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CD61B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CD61B7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CD61B7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CD61B7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CD61B7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CD61B7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CD61B7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CD61B7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CD61B7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CD61B7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CD61B7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CD61B7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CD61B7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CD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61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CD61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CD61B7"/>
    <w:pPr>
      <w:spacing w:before="144"/>
      <w:jc w:val="both"/>
    </w:pPr>
    <w:rPr>
      <w:noProof/>
    </w:rPr>
  </w:style>
  <w:style w:type="paragraph" w:customStyle="1" w:styleId="PD">
    <w:name w:val="PD"/>
    <w:rsid w:val="00CD61B7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CD61B7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CD61B7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CD61B7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CD61B7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CD61B7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CD61B7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CD61B7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CD61B7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CD61B7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CD61B7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CD61B7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CD61B7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CD61B7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CD61B7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CD61B7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CD61B7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CD61B7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CD61B7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CD61B7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CD61B7"/>
    <w:rPr>
      <w:rFonts w:ascii="Perpetua Std" w:hAnsi="Perpetua Std"/>
    </w:rPr>
  </w:style>
  <w:style w:type="paragraph" w:styleId="NoSpacing">
    <w:name w:val="No Spacing"/>
    <w:qFormat/>
    <w:rsid w:val="00CD61B7"/>
    <w:rPr>
      <w:rFonts w:ascii="Perpetua" w:hAnsi="Perpetua"/>
    </w:rPr>
  </w:style>
  <w:style w:type="paragraph" w:customStyle="1" w:styleId="PCA">
    <w:name w:val="PCA"/>
    <w:rsid w:val="00CD61B7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CD61B7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CD61B7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551778"/>
  </w:style>
  <w:style w:type="character" w:customStyle="1" w:styleId="EndnoteTextChar">
    <w:name w:val="Endnote Text Char"/>
    <w:basedOn w:val="DefaultParagraphFont"/>
    <w:link w:val="EndnoteText"/>
    <w:semiHidden/>
    <w:rsid w:val="00551778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55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D7E5-414C-46F4-85A4-5CBEB748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8518. What are itemized deductions?</vt:lpstr>
    </vt:vector>
  </TitlesOfParts>
  <Company>Summit Business Media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8518. What are itemized deductions?</dc:title>
  <dc:creator>Alexis Long</dc:creator>
  <cp:lastModifiedBy>rcline</cp:lastModifiedBy>
  <cp:revision>2</cp:revision>
  <dcterms:created xsi:type="dcterms:W3CDTF">2014-08-20T14:57:00Z</dcterms:created>
  <dcterms:modified xsi:type="dcterms:W3CDTF">2014-08-20T14:57:00Z</dcterms:modified>
</cp:coreProperties>
</file>