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82" w:rsidRDefault="002A6782" w:rsidP="00D0195D">
      <w:pPr>
        <w:pStyle w:val="PA"/>
        <w:suppressAutoHyphens/>
        <w:rPr>
          <w:szCs w:val="24"/>
        </w:rPr>
      </w:pPr>
      <w:bookmarkStart w:id="0" w:name="_GoBack"/>
      <w:bookmarkEnd w:id="0"/>
    </w:p>
    <w:p w:rsidR="002A6782" w:rsidRPr="002A6782" w:rsidRDefault="002A6782" w:rsidP="00D0195D">
      <w:pPr>
        <w:pStyle w:val="PA"/>
        <w:suppressAutoHyphens/>
        <w:rPr>
          <w:b/>
          <w:color w:val="auto"/>
          <w:szCs w:val="24"/>
        </w:rPr>
      </w:pPr>
      <w:r w:rsidRPr="002A6782">
        <w:rPr>
          <w:b/>
          <w:color w:val="auto"/>
          <w:szCs w:val="24"/>
        </w:rPr>
        <w:t xml:space="preserve">8517.  What </w:t>
      </w:r>
      <w:r w:rsidR="00421D0A">
        <w:rPr>
          <w:b/>
          <w:color w:val="auto"/>
          <w:szCs w:val="24"/>
        </w:rPr>
        <w:t xml:space="preserve">is the </w:t>
      </w:r>
      <w:r w:rsidRPr="002A6782">
        <w:rPr>
          <w:b/>
          <w:color w:val="auto"/>
          <w:szCs w:val="24"/>
        </w:rPr>
        <w:t xml:space="preserve">standard deduction for </w:t>
      </w:r>
      <w:r w:rsidR="00421D0A">
        <w:rPr>
          <w:b/>
          <w:color w:val="auto"/>
          <w:szCs w:val="24"/>
        </w:rPr>
        <w:t xml:space="preserve">a </w:t>
      </w:r>
      <w:r w:rsidRPr="002A6782">
        <w:rPr>
          <w:b/>
          <w:color w:val="auto"/>
          <w:szCs w:val="24"/>
        </w:rPr>
        <w:t>taxpayer who may be claimed as a dependent by another taxpayer?</w:t>
      </w:r>
    </w:p>
    <w:p w:rsidR="00D0195D" w:rsidRPr="00532B64" w:rsidRDefault="00D0195D" w:rsidP="00D0195D">
      <w:pPr>
        <w:pStyle w:val="PA"/>
        <w:suppressAutoHyphens/>
        <w:rPr>
          <w:szCs w:val="24"/>
        </w:rPr>
      </w:pPr>
      <w:r w:rsidRPr="00532B64">
        <w:rPr>
          <w:szCs w:val="24"/>
        </w:rPr>
        <w:t xml:space="preserve">For taxable years beginning in </w:t>
      </w:r>
      <w:r w:rsidR="00790D63">
        <w:rPr>
          <w:szCs w:val="24"/>
        </w:rPr>
        <w:t>2014</w:t>
      </w:r>
      <w:r w:rsidRPr="00532B64">
        <w:rPr>
          <w:szCs w:val="24"/>
        </w:rPr>
        <w:t xml:space="preserve">, the standard deduction for an individual who </w:t>
      </w:r>
      <w:r w:rsidRPr="00532B64">
        <w:rPr>
          <w:iCs/>
          <w:szCs w:val="24"/>
        </w:rPr>
        <w:t>may</w:t>
      </w:r>
      <w:r w:rsidRPr="00532B64">
        <w:rPr>
          <w:szCs w:val="24"/>
        </w:rPr>
        <w:t xml:space="preserve"> be claimed as a dependent by another taxpayer is the greater of $1,000 or the sum of $350 and the dependent’s earned income.</w:t>
      </w:r>
      <w:r w:rsidRPr="00532B64">
        <w:rPr>
          <w:szCs w:val="24"/>
          <w:vertAlign w:val="superscript"/>
        </w:rPr>
        <w:footnoteReference w:id="1"/>
      </w:r>
      <w:r w:rsidRPr="00532B64">
        <w:rPr>
          <w:szCs w:val="24"/>
        </w:rPr>
        <w:t xml:space="preserve"> These dollar amounts are adjusted for inflation.</w:t>
      </w:r>
      <w:r w:rsidRPr="00532B64">
        <w:rPr>
          <w:szCs w:val="24"/>
          <w:vertAlign w:val="superscript"/>
        </w:rPr>
        <w:footnoteReference w:id="2"/>
      </w:r>
    </w:p>
    <w:p w:rsidR="00427B74" w:rsidRPr="00532B64" w:rsidRDefault="0095488D" w:rsidP="00D73FC0">
      <w:pPr>
        <w:pStyle w:val="PP"/>
      </w:pPr>
      <w:r w:rsidRPr="00532B64">
        <w:rPr>
          <w:b/>
        </w:rPr>
        <w:t>Planning Point:</w:t>
      </w:r>
      <w:r w:rsidR="00427B74" w:rsidRPr="00532B64">
        <w:t xml:space="preserve"> </w:t>
      </w:r>
      <w:r w:rsidRPr="00532B64">
        <w:t xml:space="preserve">Self-employed and small business owners </w:t>
      </w:r>
      <w:r w:rsidR="00421D0A">
        <w:t xml:space="preserve">may be able to shift income taxable at their higher tax brackets to their lower tax bracket children by employing them in the business. </w:t>
      </w:r>
      <w:r w:rsidR="00F853F6">
        <w:t>This way the children’s wage income would be taxed at their lower rates.</w:t>
      </w:r>
      <w:r w:rsidR="00421D0A">
        <w:t xml:space="preserve"> </w:t>
      </w:r>
      <w:r w:rsidRPr="00532B64">
        <w:t xml:space="preserve">The work must be legitimate and the pay must be </w:t>
      </w:r>
      <w:r w:rsidR="00421D0A">
        <w:t>reasonable</w:t>
      </w:r>
      <w:r w:rsidR="00790D63">
        <w:t>,</w:t>
      </w:r>
      <w:r w:rsidRPr="00532B64">
        <w:t xml:space="preserve"> although it can be at the higher end of the </w:t>
      </w:r>
      <w:r w:rsidR="00421D0A">
        <w:t xml:space="preserve">reasonable </w:t>
      </w:r>
      <w:r w:rsidRPr="00532B64">
        <w:t>scale.</w:t>
      </w:r>
    </w:p>
    <w:p w:rsidR="004E7836" w:rsidRPr="004E7836" w:rsidRDefault="004E7836" w:rsidP="004E7836"/>
    <w:sectPr w:rsidR="004E7836" w:rsidRPr="004E7836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F0" w:rsidRDefault="009A4BF0" w:rsidP="006F074C">
      <w:r>
        <w:separator/>
      </w:r>
    </w:p>
  </w:endnote>
  <w:endnote w:type="continuationSeparator" w:id="0">
    <w:p w:rsidR="009A4BF0" w:rsidRDefault="009A4BF0" w:rsidP="006F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F0" w:rsidRDefault="009A4BF0" w:rsidP="006F074C">
      <w:r>
        <w:separator/>
      </w:r>
    </w:p>
  </w:footnote>
  <w:footnote w:type="continuationSeparator" w:id="0">
    <w:p w:rsidR="009A4BF0" w:rsidRDefault="009A4BF0" w:rsidP="006F074C">
      <w:r>
        <w:continuationSeparator/>
      </w:r>
    </w:p>
  </w:footnote>
  <w:footnote w:id="1">
    <w:p w:rsidR="00D73FC0" w:rsidRPr="001757C5" w:rsidRDefault="00D73FC0" w:rsidP="00FE5D9D">
      <w:pPr>
        <w:pStyle w:val="PQ"/>
      </w:pPr>
      <w:r w:rsidRPr="001757C5">
        <w:footnoteRef/>
      </w:r>
      <w:r w:rsidR="00F16B3F">
        <w:t>.</w:t>
      </w:r>
      <w:r w:rsidR="00F16B3F">
        <w:tab/>
      </w:r>
      <w:r w:rsidR="00FE5D9D" w:rsidRPr="001757C5">
        <w:t>IRC Sec. 63(c</w:t>
      </w:r>
      <w:proofErr w:type="gramStart"/>
      <w:r w:rsidR="00FE5D9D" w:rsidRPr="001757C5">
        <w:t>)(</w:t>
      </w:r>
      <w:proofErr w:type="gramEnd"/>
      <w:r w:rsidR="00FE5D9D" w:rsidRPr="001757C5">
        <w:t xml:space="preserve">5); Rev. Proc. </w:t>
      </w:r>
      <w:r w:rsidR="00FE5D9D">
        <w:t>2013-</w:t>
      </w:r>
      <w:r w:rsidR="00790D63">
        <w:t>35</w:t>
      </w:r>
      <w:r w:rsidR="00FE5D9D" w:rsidRPr="001757C5">
        <w:t xml:space="preserve">, </w:t>
      </w:r>
      <w:r w:rsidR="00421D0A">
        <w:t>2013-47 IRB 537.</w:t>
      </w:r>
    </w:p>
  </w:footnote>
  <w:footnote w:id="2">
    <w:p w:rsidR="00D73FC0" w:rsidRPr="001757C5" w:rsidRDefault="00D73FC0" w:rsidP="00FE5D9D">
      <w:pPr>
        <w:pStyle w:val="PQ"/>
      </w:pPr>
      <w:r w:rsidRPr="001757C5">
        <w:footnoteRef/>
      </w:r>
      <w:r w:rsidR="00F16B3F">
        <w:t>.</w:t>
      </w:r>
      <w:r w:rsidR="00F16B3F">
        <w:tab/>
      </w:r>
      <w:r w:rsidR="00FE5D9D" w:rsidRPr="001757C5">
        <w:t>IRC Sec. 63(c)(4).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5"/>
  </w:num>
  <w:num w:numId="5">
    <w:abstractNumId w:val="9"/>
  </w:num>
  <w:num w:numId="6">
    <w:abstractNumId w:val="18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0"/>
  </w:num>
  <w:num w:numId="12">
    <w:abstractNumId w:val="26"/>
  </w:num>
  <w:num w:numId="13">
    <w:abstractNumId w:val="5"/>
  </w:num>
  <w:num w:numId="14">
    <w:abstractNumId w:val="22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10"/>
  </w:num>
  <w:num w:numId="20">
    <w:abstractNumId w:val="23"/>
  </w:num>
  <w:num w:numId="21">
    <w:abstractNumId w:val="2"/>
  </w:num>
  <w:num w:numId="22">
    <w:abstractNumId w:val="13"/>
  </w:num>
  <w:num w:numId="23">
    <w:abstractNumId w:val="28"/>
  </w:num>
  <w:num w:numId="24">
    <w:abstractNumId w:val="12"/>
  </w:num>
  <w:num w:numId="25">
    <w:abstractNumId w:val="19"/>
  </w:num>
  <w:num w:numId="26">
    <w:abstractNumId w:val="3"/>
  </w:num>
  <w:num w:numId="27">
    <w:abstractNumId w:val="4"/>
  </w:num>
  <w:num w:numId="28">
    <w:abstractNumId w:val="25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7B43"/>
    <w:rsid w:val="0001174C"/>
    <w:rsid w:val="000201D4"/>
    <w:rsid w:val="00037960"/>
    <w:rsid w:val="00043906"/>
    <w:rsid w:val="000465CA"/>
    <w:rsid w:val="0008018A"/>
    <w:rsid w:val="00083567"/>
    <w:rsid w:val="000925AB"/>
    <w:rsid w:val="00097038"/>
    <w:rsid w:val="000A2B66"/>
    <w:rsid w:val="000A6CAB"/>
    <w:rsid w:val="000B6372"/>
    <w:rsid w:val="000D258D"/>
    <w:rsid w:val="000D6146"/>
    <w:rsid w:val="000E6BBB"/>
    <w:rsid w:val="00114F5B"/>
    <w:rsid w:val="00116205"/>
    <w:rsid w:val="001244E9"/>
    <w:rsid w:val="00141FAB"/>
    <w:rsid w:val="0017741C"/>
    <w:rsid w:val="0018679F"/>
    <w:rsid w:val="00197132"/>
    <w:rsid w:val="0019748C"/>
    <w:rsid w:val="001A2727"/>
    <w:rsid w:val="001D0595"/>
    <w:rsid w:val="001E1AC3"/>
    <w:rsid w:val="001F52F4"/>
    <w:rsid w:val="002000C6"/>
    <w:rsid w:val="00202A9B"/>
    <w:rsid w:val="00202F50"/>
    <w:rsid w:val="002040BD"/>
    <w:rsid w:val="00212ED8"/>
    <w:rsid w:val="00242C92"/>
    <w:rsid w:val="00243A4C"/>
    <w:rsid w:val="00264FD9"/>
    <w:rsid w:val="00271A21"/>
    <w:rsid w:val="00287277"/>
    <w:rsid w:val="002A6782"/>
    <w:rsid w:val="002B58F5"/>
    <w:rsid w:val="002E46AF"/>
    <w:rsid w:val="002E4BFB"/>
    <w:rsid w:val="002F6745"/>
    <w:rsid w:val="00310C38"/>
    <w:rsid w:val="0032167A"/>
    <w:rsid w:val="00323619"/>
    <w:rsid w:val="00323E1D"/>
    <w:rsid w:val="00327BDB"/>
    <w:rsid w:val="00355BC4"/>
    <w:rsid w:val="00360557"/>
    <w:rsid w:val="00377919"/>
    <w:rsid w:val="003B1DF7"/>
    <w:rsid w:val="003B450F"/>
    <w:rsid w:val="003B65D8"/>
    <w:rsid w:val="003C1548"/>
    <w:rsid w:val="003C1660"/>
    <w:rsid w:val="003F00D7"/>
    <w:rsid w:val="003F05E5"/>
    <w:rsid w:val="004167F4"/>
    <w:rsid w:val="00421D0A"/>
    <w:rsid w:val="00427B74"/>
    <w:rsid w:val="00435B94"/>
    <w:rsid w:val="00456493"/>
    <w:rsid w:val="00474C65"/>
    <w:rsid w:val="00484642"/>
    <w:rsid w:val="00487A39"/>
    <w:rsid w:val="004C5F26"/>
    <w:rsid w:val="004E7836"/>
    <w:rsid w:val="00501B90"/>
    <w:rsid w:val="00511E10"/>
    <w:rsid w:val="00521FCB"/>
    <w:rsid w:val="00532B64"/>
    <w:rsid w:val="005611F2"/>
    <w:rsid w:val="00565698"/>
    <w:rsid w:val="0056737A"/>
    <w:rsid w:val="00573817"/>
    <w:rsid w:val="00590D68"/>
    <w:rsid w:val="005A7B2C"/>
    <w:rsid w:val="005B0930"/>
    <w:rsid w:val="005B53F2"/>
    <w:rsid w:val="005C39BF"/>
    <w:rsid w:val="005C64AC"/>
    <w:rsid w:val="005E18C8"/>
    <w:rsid w:val="005E1E5E"/>
    <w:rsid w:val="005E1F03"/>
    <w:rsid w:val="005E3CAD"/>
    <w:rsid w:val="006152E6"/>
    <w:rsid w:val="0061599B"/>
    <w:rsid w:val="00664BF0"/>
    <w:rsid w:val="00667AE6"/>
    <w:rsid w:val="0068069B"/>
    <w:rsid w:val="00695FA3"/>
    <w:rsid w:val="006B1DE0"/>
    <w:rsid w:val="006C1680"/>
    <w:rsid w:val="006C6B16"/>
    <w:rsid w:val="006D650C"/>
    <w:rsid w:val="006E0E1D"/>
    <w:rsid w:val="006E34CD"/>
    <w:rsid w:val="006F074C"/>
    <w:rsid w:val="00704D91"/>
    <w:rsid w:val="00723223"/>
    <w:rsid w:val="00725A6D"/>
    <w:rsid w:val="007343A3"/>
    <w:rsid w:val="007865B2"/>
    <w:rsid w:val="00786F5E"/>
    <w:rsid w:val="00790D63"/>
    <w:rsid w:val="00794370"/>
    <w:rsid w:val="007B5A4F"/>
    <w:rsid w:val="007D39E8"/>
    <w:rsid w:val="007D6D13"/>
    <w:rsid w:val="007D7748"/>
    <w:rsid w:val="0080472F"/>
    <w:rsid w:val="00804FC2"/>
    <w:rsid w:val="00826DA6"/>
    <w:rsid w:val="008316E9"/>
    <w:rsid w:val="00835C56"/>
    <w:rsid w:val="00844B76"/>
    <w:rsid w:val="0087409F"/>
    <w:rsid w:val="00880617"/>
    <w:rsid w:val="008864E6"/>
    <w:rsid w:val="008A42E4"/>
    <w:rsid w:val="008B16D5"/>
    <w:rsid w:val="008B2F8C"/>
    <w:rsid w:val="008C2D90"/>
    <w:rsid w:val="008D4B69"/>
    <w:rsid w:val="008E11EC"/>
    <w:rsid w:val="008E4CF6"/>
    <w:rsid w:val="008F7667"/>
    <w:rsid w:val="009003A2"/>
    <w:rsid w:val="00920178"/>
    <w:rsid w:val="00930380"/>
    <w:rsid w:val="00944E4E"/>
    <w:rsid w:val="0095488D"/>
    <w:rsid w:val="00957231"/>
    <w:rsid w:val="009626DD"/>
    <w:rsid w:val="0097483E"/>
    <w:rsid w:val="009938E4"/>
    <w:rsid w:val="009A4BF0"/>
    <w:rsid w:val="009A7D7A"/>
    <w:rsid w:val="009C73DD"/>
    <w:rsid w:val="009F75A1"/>
    <w:rsid w:val="00A02AF1"/>
    <w:rsid w:val="00A03817"/>
    <w:rsid w:val="00A05FEA"/>
    <w:rsid w:val="00A2685C"/>
    <w:rsid w:val="00A268AC"/>
    <w:rsid w:val="00A44BAD"/>
    <w:rsid w:val="00A46971"/>
    <w:rsid w:val="00A82E6D"/>
    <w:rsid w:val="00AC3525"/>
    <w:rsid w:val="00B14FA0"/>
    <w:rsid w:val="00B15D08"/>
    <w:rsid w:val="00B47F6C"/>
    <w:rsid w:val="00B97105"/>
    <w:rsid w:val="00BA22F5"/>
    <w:rsid w:val="00BC19F7"/>
    <w:rsid w:val="00BC5792"/>
    <w:rsid w:val="00BC6F51"/>
    <w:rsid w:val="00BE317F"/>
    <w:rsid w:val="00C15AF0"/>
    <w:rsid w:val="00C1615A"/>
    <w:rsid w:val="00C300A3"/>
    <w:rsid w:val="00C3032D"/>
    <w:rsid w:val="00C360BE"/>
    <w:rsid w:val="00C5496F"/>
    <w:rsid w:val="00C64FEC"/>
    <w:rsid w:val="00C7768E"/>
    <w:rsid w:val="00CB0AF1"/>
    <w:rsid w:val="00CD22F0"/>
    <w:rsid w:val="00CE3903"/>
    <w:rsid w:val="00CF5092"/>
    <w:rsid w:val="00D0195D"/>
    <w:rsid w:val="00D418E3"/>
    <w:rsid w:val="00D51611"/>
    <w:rsid w:val="00D72E05"/>
    <w:rsid w:val="00D73FC0"/>
    <w:rsid w:val="00D81626"/>
    <w:rsid w:val="00DC02E2"/>
    <w:rsid w:val="00DC0B50"/>
    <w:rsid w:val="00DD22D9"/>
    <w:rsid w:val="00DD68C3"/>
    <w:rsid w:val="00DE67F6"/>
    <w:rsid w:val="00DF4691"/>
    <w:rsid w:val="00DF78BD"/>
    <w:rsid w:val="00E20C72"/>
    <w:rsid w:val="00E23001"/>
    <w:rsid w:val="00E260EE"/>
    <w:rsid w:val="00E34083"/>
    <w:rsid w:val="00E345E3"/>
    <w:rsid w:val="00E43DB5"/>
    <w:rsid w:val="00E57EB0"/>
    <w:rsid w:val="00E67D60"/>
    <w:rsid w:val="00E70D9A"/>
    <w:rsid w:val="00E76573"/>
    <w:rsid w:val="00E8579E"/>
    <w:rsid w:val="00E9415A"/>
    <w:rsid w:val="00EA0B82"/>
    <w:rsid w:val="00EA727D"/>
    <w:rsid w:val="00EB0911"/>
    <w:rsid w:val="00EB2D4F"/>
    <w:rsid w:val="00EB47DD"/>
    <w:rsid w:val="00EC085E"/>
    <w:rsid w:val="00EC6008"/>
    <w:rsid w:val="00ED2B32"/>
    <w:rsid w:val="00EE366E"/>
    <w:rsid w:val="00EE4324"/>
    <w:rsid w:val="00F16B3F"/>
    <w:rsid w:val="00F66D50"/>
    <w:rsid w:val="00F853F6"/>
    <w:rsid w:val="00F96BEC"/>
    <w:rsid w:val="00F9714F"/>
    <w:rsid w:val="00FB7360"/>
    <w:rsid w:val="00FC74E6"/>
    <w:rsid w:val="00FD7753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8B2F8C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8B2F8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B2F8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8B2F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8B2F8C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8B2F8C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8B2F8C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8B2F8C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8B2F8C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8B2F8C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8B2F8C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8B2F8C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8B2F8C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8B2F8C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8B2F8C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8B2F8C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8B2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2F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8B2F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8B2F8C"/>
    <w:pPr>
      <w:spacing w:before="144"/>
      <w:jc w:val="both"/>
    </w:pPr>
    <w:rPr>
      <w:noProof/>
    </w:rPr>
  </w:style>
  <w:style w:type="paragraph" w:customStyle="1" w:styleId="PD">
    <w:name w:val="PD"/>
    <w:rsid w:val="008B2F8C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8B2F8C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8B2F8C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8B2F8C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8B2F8C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8B2F8C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8B2F8C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8B2F8C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8B2F8C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8B2F8C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8B2F8C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8B2F8C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8B2F8C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8B2F8C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8B2F8C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8B2F8C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8B2F8C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8B2F8C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8B2F8C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8B2F8C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8B2F8C"/>
    <w:rPr>
      <w:rFonts w:ascii="Perpetua Std" w:hAnsi="Perpetua Std"/>
    </w:rPr>
  </w:style>
  <w:style w:type="paragraph" w:styleId="NoSpacing">
    <w:name w:val="No Spacing"/>
    <w:qFormat/>
    <w:rsid w:val="008B2F8C"/>
    <w:rPr>
      <w:rFonts w:ascii="Perpetua" w:hAnsi="Perpetua"/>
    </w:rPr>
  </w:style>
  <w:style w:type="paragraph" w:customStyle="1" w:styleId="PCA">
    <w:name w:val="PCA"/>
    <w:rsid w:val="008B2F8C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8B2F8C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8B2F8C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8B2F8C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8B2F8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B2F8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8B2F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8B2F8C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8B2F8C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8B2F8C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8B2F8C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8B2F8C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8B2F8C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8B2F8C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8B2F8C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8B2F8C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8B2F8C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8B2F8C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8B2F8C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8B2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2F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8B2F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8B2F8C"/>
    <w:pPr>
      <w:spacing w:before="144"/>
      <w:jc w:val="both"/>
    </w:pPr>
    <w:rPr>
      <w:noProof/>
    </w:rPr>
  </w:style>
  <w:style w:type="paragraph" w:customStyle="1" w:styleId="PD">
    <w:name w:val="PD"/>
    <w:rsid w:val="008B2F8C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8B2F8C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8B2F8C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8B2F8C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8B2F8C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8B2F8C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8B2F8C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8B2F8C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8B2F8C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8B2F8C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8B2F8C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8B2F8C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8B2F8C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8B2F8C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8B2F8C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8B2F8C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8B2F8C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8B2F8C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8B2F8C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8B2F8C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8B2F8C"/>
    <w:rPr>
      <w:rFonts w:ascii="Perpetua Std" w:hAnsi="Perpetua Std"/>
    </w:rPr>
  </w:style>
  <w:style w:type="paragraph" w:styleId="NoSpacing">
    <w:name w:val="No Spacing"/>
    <w:qFormat/>
    <w:rsid w:val="008B2F8C"/>
    <w:rPr>
      <w:rFonts w:ascii="Perpetua" w:hAnsi="Perpetua"/>
    </w:rPr>
  </w:style>
  <w:style w:type="paragraph" w:customStyle="1" w:styleId="PCA">
    <w:name w:val="PCA"/>
    <w:rsid w:val="008B2F8C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8B2F8C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8B2F8C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8517. What standard deduction is available for taxpayers who may be claimed as a dependent by another taxpayer?</vt:lpstr>
    </vt:vector>
  </TitlesOfParts>
  <Company>Summit Business Media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8517. What standard deduction is available for taxpayers who may be claimed as a dependent by another taxpayer?</dc:title>
  <dc:creator>Alexis Long</dc:creator>
  <cp:lastModifiedBy>rcline</cp:lastModifiedBy>
  <cp:revision>2</cp:revision>
  <dcterms:created xsi:type="dcterms:W3CDTF">2014-08-20T14:54:00Z</dcterms:created>
  <dcterms:modified xsi:type="dcterms:W3CDTF">2014-08-20T14:54:00Z</dcterms:modified>
</cp:coreProperties>
</file>