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A6" w:rsidRPr="006543A6" w:rsidRDefault="006543A6" w:rsidP="00D0195D">
      <w:pPr>
        <w:pStyle w:val="PA"/>
        <w:suppressAutoHyphens/>
        <w:rPr>
          <w:b/>
          <w:spacing w:val="2"/>
          <w:sz w:val="28"/>
          <w:szCs w:val="28"/>
        </w:rPr>
      </w:pPr>
      <w:bookmarkStart w:id="0" w:name="_GoBack"/>
      <w:bookmarkEnd w:id="0"/>
      <w:r w:rsidRPr="006543A6">
        <w:rPr>
          <w:b/>
          <w:spacing w:val="2"/>
          <w:sz w:val="28"/>
          <w:szCs w:val="28"/>
        </w:rPr>
        <w:t>8516.  What taxpayers are ineligible to use the standard deduction?</w:t>
      </w:r>
    </w:p>
    <w:p w:rsidR="006543A6" w:rsidRDefault="006543A6" w:rsidP="00D0195D">
      <w:pPr>
        <w:pStyle w:val="PA"/>
        <w:suppressAutoHyphens/>
        <w:rPr>
          <w:spacing w:val="2"/>
          <w:szCs w:val="24"/>
        </w:rPr>
      </w:pPr>
    </w:p>
    <w:p w:rsidR="00EA0B82" w:rsidRPr="00532B64" w:rsidRDefault="00D0195D" w:rsidP="00D0195D">
      <w:pPr>
        <w:pStyle w:val="PA"/>
        <w:suppressAutoHyphens/>
        <w:rPr>
          <w:spacing w:val="2"/>
          <w:szCs w:val="24"/>
        </w:rPr>
      </w:pPr>
      <w:r w:rsidRPr="00532B64">
        <w:rPr>
          <w:spacing w:val="2"/>
          <w:szCs w:val="24"/>
        </w:rPr>
        <w:t xml:space="preserve">The following taxpayers are ineligible for the standard deduction and </w:t>
      </w:r>
      <w:r w:rsidR="009F668D">
        <w:rPr>
          <w:spacing w:val="2"/>
          <w:szCs w:val="24"/>
        </w:rPr>
        <w:t>unless they have itemized deductions, there are no “below-the-line” deductions:</w:t>
      </w:r>
      <w:r w:rsidRPr="00532B64">
        <w:rPr>
          <w:spacing w:val="2"/>
          <w:szCs w:val="24"/>
        </w:rPr>
        <w:t xml:space="preserve"> </w:t>
      </w:r>
    </w:p>
    <w:p w:rsidR="00EA0B82" w:rsidRPr="00532B64" w:rsidRDefault="00D0195D" w:rsidP="00D73FC0">
      <w:pPr>
        <w:pStyle w:val="PC"/>
      </w:pPr>
      <w:r w:rsidRPr="00532B64">
        <w:t>(1)</w:t>
      </w:r>
      <w:r w:rsidR="00D73FC0" w:rsidRPr="00532B64">
        <w:tab/>
      </w:r>
      <w:r w:rsidRPr="00532B64">
        <w:t>married taxpayers filing separately, if either spouse itemizes</w:t>
      </w:r>
      <w:r w:rsidRPr="00532B64">
        <w:rPr>
          <w:vertAlign w:val="superscript"/>
        </w:rPr>
        <w:footnoteReference w:id="1"/>
      </w:r>
      <w:r w:rsidRPr="00532B64">
        <w:t xml:space="preserve">, </w:t>
      </w:r>
    </w:p>
    <w:p w:rsidR="00EA0B82" w:rsidRPr="00532B64" w:rsidRDefault="00D0195D" w:rsidP="00D73FC0">
      <w:pPr>
        <w:pStyle w:val="PC"/>
      </w:pPr>
      <w:r w:rsidRPr="00532B64">
        <w:t>(2)</w:t>
      </w:r>
      <w:r w:rsidR="00D73FC0" w:rsidRPr="00532B64">
        <w:tab/>
      </w:r>
      <w:proofErr w:type="gramStart"/>
      <w:r w:rsidRPr="00532B64">
        <w:t>non-resident</w:t>
      </w:r>
      <w:proofErr w:type="gramEnd"/>
      <w:r w:rsidRPr="00532B64">
        <w:t xml:space="preserve"> aliens, </w:t>
      </w:r>
    </w:p>
    <w:p w:rsidR="00EA0B82" w:rsidRPr="00532B64" w:rsidRDefault="00D0195D" w:rsidP="00D73FC0">
      <w:pPr>
        <w:pStyle w:val="PC"/>
      </w:pPr>
      <w:r w:rsidRPr="00532B64">
        <w:t>(3)</w:t>
      </w:r>
      <w:r w:rsidR="00D73FC0" w:rsidRPr="00532B64">
        <w:tab/>
      </w:r>
      <w:proofErr w:type="gramStart"/>
      <w:r w:rsidRPr="00532B64">
        <w:t>taxpayers</w:t>
      </w:r>
      <w:proofErr w:type="gramEnd"/>
      <w:r w:rsidRPr="00532B64">
        <w:t xml:space="preserve"> filing a short year </w:t>
      </w:r>
      <w:r w:rsidR="0080472F" w:rsidRPr="00532B64">
        <w:t xml:space="preserve">(less than 12 months) </w:t>
      </w:r>
      <w:r w:rsidRPr="00532B64">
        <w:t xml:space="preserve">return because of a change in their annual accounting period, and </w:t>
      </w:r>
    </w:p>
    <w:p w:rsidR="00427B74" w:rsidRPr="00532B64" w:rsidRDefault="00D0195D" w:rsidP="00D73FC0">
      <w:pPr>
        <w:pStyle w:val="PC"/>
      </w:pPr>
      <w:r w:rsidRPr="00532B64">
        <w:t>(4)</w:t>
      </w:r>
      <w:r w:rsidR="00D73FC0" w:rsidRPr="00532B64">
        <w:tab/>
      </w:r>
      <w:proofErr w:type="gramStart"/>
      <w:r w:rsidRPr="00532B64">
        <w:t>estates</w:t>
      </w:r>
      <w:proofErr w:type="gramEnd"/>
      <w:r w:rsidRPr="00532B64">
        <w:t xml:space="preserve"> or trusts, common trust funds, or partnerships.</w:t>
      </w:r>
      <w:r w:rsidRPr="00532B64">
        <w:rPr>
          <w:vertAlign w:val="superscript"/>
        </w:rPr>
        <w:footnoteReference w:id="2"/>
      </w:r>
      <w:r w:rsidR="00427B74" w:rsidRPr="00532B64">
        <w:t xml:space="preserve"> </w:t>
      </w:r>
    </w:p>
    <w:p w:rsidR="009F668D" w:rsidRDefault="009F668D" w:rsidP="00D0195D">
      <w:pPr>
        <w:pStyle w:val="PA"/>
        <w:suppressAutoHyphens/>
        <w:rPr>
          <w:spacing w:val="2"/>
          <w:szCs w:val="24"/>
        </w:rPr>
      </w:pPr>
      <w:r>
        <w:rPr>
          <w:spacing w:val="2"/>
          <w:szCs w:val="24"/>
        </w:rPr>
        <w:t>If a taxpayer dies within the tax year, his or her standard deduction is unaffected.</w:t>
      </w:r>
    </w:p>
    <w:p w:rsidR="00427B74" w:rsidRPr="00532B64" w:rsidRDefault="009F668D" w:rsidP="00D0195D">
      <w:pPr>
        <w:pStyle w:val="PA"/>
        <w:suppressAutoHyphens/>
        <w:rPr>
          <w:spacing w:val="2"/>
          <w:szCs w:val="24"/>
        </w:rPr>
      </w:pPr>
      <w:r>
        <w:rPr>
          <w:i/>
          <w:spacing w:val="2"/>
          <w:szCs w:val="24"/>
        </w:rPr>
        <w:t>Example:</w:t>
      </w:r>
      <w:r>
        <w:rPr>
          <w:spacing w:val="2"/>
          <w:szCs w:val="24"/>
        </w:rPr>
        <w:t xml:space="preserve"> Ashley an unmarried individual dies on February 1, 2014.  As a result, her final tax year is only 32 days.  However, even though Ashley died early in the tax year, in filing Ashley final Form 1040, the executor or administrator of Ashley’s estate would deduct the entire standard deduction for a single filer.  </w:t>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F6" w:rsidRDefault="00011CF6" w:rsidP="006F074C">
      <w:r>
        <w:separator/>
      </w:r>
    </w:p>
  </w:endnote>
  <w:endnote w:type="continuationSeparator" w:id="0">
    <w:p w:rsidR="00011CF6" w:rsidRDefault="00011CF6"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F6" w:rsidRDefault="00011CF6" w:rsidP="006F074C">
      <w:r>
        <w:separator/>
      </w:r>
    </w:p>
  </w:footnote>
  <w:footnote w:type="continuationSeparator" w:id="0">
    <w:p w:rsidR="00011CF6" w:rsidRDefault="00011CF6" w:rsidP="006F074C">
      <w:r>
        <w:continuationSeparator/>
      </w:r>
    </w:p>
  </w:footnote>
  <w:footnote w:id="1">
    <w:p w:rsidR="00D73FC0" w:rsidRPr="001757C5" w:rsidRDefault="00D73FC0" w:rsidP="00FE5D9D">
      <w:pPr>
        <w:pStyle w:val="PQ"/>
      </w:pPr>
      <w:r w:rsidRPr="001757C5">
        <w:footnoteRef/>
      </w:r>
      <w:r w:rsidR="00F16B3F">
        <w:t>.</w:t>
      </w:r>
      <w:r w:rsidR="00F16B3F">
        <w:tab/>
      </w:r>
      <w:r w:rsidR="00FE5D9D" w:rsidRPr="001757C5">
        <w:t>See, e.g., Legal Memorandum 200030023.</w:t>
      </w:r>
    </w:p>
  </w:footnote>
  <w:footnote w:id="2">
    <w:p w:rsidR="00D73FC0" w:rsidRPr="001757C5" w:rsidRDefault="00D73FC0" w:rsidP="00FE5D9D">
      <w:pPr>
        <w:pStyle w:val="PQ"/>
      </w:pPr>
      <w:r w:rsidRPr="001757C5">
        <w:footnoteRef/>
      </w:r>
      <w:r w:rsidR="00F16B3F">
        <w:t>.</w:t>
      </w:r>
      <w:r w:rsidR="00F16B3F">
        <w:tab/>
      </w:r>
      <w:r w:rsidR="00FE5D9D" w:rsidRPr="001757C5">
        <w:t>IRC Sec. 63(c</w:t>
      </w:r>
      <w:proofErr w:type="gramStart"/>
      <w:r w:rsidR="00FE5D9D" w:rsidRPr="001757C5">
        <w:t>)(</w:t>
      </w:r>
      <w:proofErr w:type="gramEnd"/>
      <w:r w:rsidR="00FE5D9D" w:rsidRPr="001757C5">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11CF6"/>
    <w:rsid w:val="000201D4"/>
    <w:rsid w:val="00037960"/>
    <w:rsid w:val="00043906"/>
    <w:rsid w:val="000465CA"/>
    <w:rsid w:val="0008018A"/>
    <w:rsid w:val="00083567"/>
    <w:rsid w:val="000925AB"/>
    <w:rsid w:val="00097038"/>
    <w:rsid w:val="000A2B66"/>
    <w:rsid w:val="000A6CAB"/>
    <w:rsid w:val="000B5657"/>
    <w:rsid w:val="000B6372"/>
    <w:rsid w:val="000D258D"/>
    <w:rsid w:val="000D6146"/>
    <w:rsid w:val="000E6BBB"/>
    <w:rsid w:val="00114F5B"/>
    <w:rsid w:val="00116205"/>
    <w:rsid w:val="001244E9"/>
    <w:rsid w:val="00141FAB"/>
    <w:rsid w:val="0017741C"/>
    <w:rsid w:val="00197132"/>
    <w:rsid w:val="0019748C"/>
    <w:rsid w:val="001A2727"/>
    <w:rsid w:val="001D0595"/>
    <w:rsid w:val="001E1AC3"/>
    <w:rsid w:val="001F52F4"/>
    <w:rsid w:val="002000C6"/>
    <w:rsid w:val="00202A9B"/>
    <w:rsid w:val="00202F50"/>
    <w:rsid w:val="002040BD"/>
    <w:rsid w:val="00212ED8"/>
    <w:rsid w:val="0023531B"/>
    <w:rsid w:val="00242C92"/>
    <w:rsid w:val="00243A4C"/>
    <w:rsid w:val="00264FD9"/>
    <w:rsid w:val="00271A21"/>
    <w:rsid w:val="00287277"/>
    <w:rsid w:val="002B58F5"/>
    <w:rsid w:val="002E46AF"/>
    <w:rsid w:val="002E4BFB"/>
    <w:rsid w:val="002F6745"/>
    <w:rsid w:val="00310C38"/>
    <w:rsid w:val="0032167A"/>
    <w:rsid w:val="00323E1D"/>
    <w:rsid w:val="00327BDB"/>
    <w:rsid w:val="00355BC4"/>
    <w:rsid w:val="00360557"/>
    <w:rsid w:val="00377919"/>
    <w:rsid w:val="003B1DF7"/>
    <w:rsid w:val="003B450F"/>
    <w:rsid w:val="003B65D8"/>
    <w:rsid w:val="003C1548"/>
    <w:rsid w:val="003F00D7"/>
    <w:rsid w:val="003F05E5"/>
    <w:rsid w:val="004167F4"/>
    <w:rsid w:val="00427B74"/>
    <w:rsid w:val="00435B94"/>
    <w:rsid w:val="00456493"/>
    <w:rsid w:val="00474C65"/>
    <w:rsid w:val="00484642"/>
    <w:rsid w:val="00487A39"/>
    <w:rsid w:val="004C5F26"/>
    <w:rsid w:val="004E7836"/>
    <w:rsid w:val="00501B90"/>
    <w:rsid w:val="00511E10"/>
    <w:rsid w:val="00521FCB"/>
    <w:rsid w:val="00532B64"/>
    <w:rsid w:val="005611F2"/>
    <w:rsid w:val="00565698"/>
    <w:rsid w:val="0056737A"/>
    <w:rsid w:val="00582E61"/>
    <w:rsid w:val="00590D68"/>
    <w:rsid w:val="005A7B2C"/>
    <w:rsid w:val="005B0930"/>
    <w:rsid w:val="005B53F2"/>
    <w:rsid w:val="005C64AC"/>
    <w:rsid w:val="005E18C8"/>
    <w:rsid w:val="005E1E5E"/>
    <w:rsid w:val="005E1F03"/>
    <w:rsid w:val="005E3CAD"/>
    <w:rsid w:val="006152E6"/>
    <w:rsid w:val="0061599B"/>
    <w:rsid w:val="006543A6"/>
    <w:rsid w:val="00664BF0"/>
    <w:rsid w:val="00667AE6"/>
    <w:rsid w:val="0068069B"/>
    <w:rsid w:val="00695FA3"/>
    <w:rsid w:val="006B1DE0"/>
    <w:rsid w:val="006C1680"/>
    <w:rsid w:val="006C6B16"/>
    <w:rsid w:val="006D650C"/>
    <w:rsid w:val="006E0E1D"/>
    <w:rsid w:val="006E34CD"/>
    <w:rsid w:val="006F074C"/>
    <w:rsid w:val="006F59F8"/>
    <w:rsid w:val="00704D91"/>
    <w:rsid w:val="00712202"/>
    <w:rsid w:val="00723223"/>
    <w:rsid w:val="00725A6D"/>
    <w:rsid w:val="007277C1"/>
    <w:rsid w:val="007343A3"/>
    <w:rsid w:val="007865B2"/>
    <w:rsid w:val="00786F5E"/>
    <w:rsid w:val="00794370"/>
    <w:rsid w:val="007B5A4F"/>
    <w:rsid w:val="007D39E8"/>
    <w:rsid w:val="007D6D13"/>
    <w:rsid w:val="007D7748"/>
    <w:rsid w:val="0080472F"/>
    <w:rsid w:val="00804FC2"/>
    <w:rsid w:val="00810F01"/>
    <w:rsid w:val="008316E9"/>
    <w:rsid w:val="00835C56"/>
    <w:rsid w:val="00844B76"/>
    <w:rsid w:val="008864E6"/>
    <w:rsid w:val="008A42E4"/>
    <w:rsid w:val="008B16D5"/>
    <w:rsid w:val="008C2D90"/>
    <w:rsid w:val="008D4B69"/>
    <w:rsid w:val="008E11EC"/>
    <w:rsid w:val="008E4CF6"/>
    <w:rsid w:val="008F7667"/>
    <w:rsid w:val="009003A2"/>
    <w:rsid w:val="00920178"/>
    <w:rsid w:val="00944E4E"/>
    <w:rsid w:val="0095488D"/>
    <w:rsid w:val="00957231"/>
    <w:rsid w:val="009626DD"/>
    <w:rsid w:val="0097483E"/>
    <w:rsid w:val="009938E4"/>
    <w:rsid w:val="009C73DD"/>
    <w:rsid w:val="009F668D"/>
    <w:rsid w:val="009F75A1"/>
    <w:rsid w:val="00A02AF1"/>
    <w:rsid w:val="00A03817"/>
    <w:rsid w:val="00A05FEA"/>
    <w:rsid w:val="00A2685C"/>
    <w:rsid w:val="00A268AC"/>
    <w:rsid w:val="00A44BAD"/>
    <w:rsid w:val="00A46971"/>
    <w:rsid w:val="00A82E6D"/>
    <w:rsid w:val="00B0144D"/>
    <w:rsid w:val="00B15D08"/>
    <w:rsid w:val="00B47F6C"/>
    <w:rsid w:val="00B96115"/>
    <w:rsid w:val="00B97105"/>
    <w:rsid w:val="00BA22F5"/>
    <w:rsid w:val="00BC19F7"/>
    <w:rsid w:val="00BC5792"/>
    <w:rsid w:val="00BC6F51"/>
    <w:rsid w:val="00BE317F"/>
    <w:rsid w:val="00C15AF0"/>
    <w:rsid w:val="00C1615A"/>
    <w:rsid w:val="00C3032D"/>
    <w:rsid w:val="00C360BE"/>
    <w:rsid w:val="00C5496F"/>
    <w:rsid w:val="00C64FEC"/>
    <w:rsid w:val="00C7768E"/>
    <w:rsid w:val="00CB0AF1"/>
    <w:rsid w:val="00CD22F0"/>
    <w:rsid w:val="00CF5092"/>
    <w:rsid w:val="00D0195D"/>
    <w:rsid w:val="00D418E3"/>
    <w:rsid w:val="00D43318"/>
    <w:rsid w:val="00D51611"/>
    <w:rsid w:val="00D72E05"/>
    <w:rsid w:val="00D73FC0"/>
    <w:rsid w:val="00D81626"/>
    <w:rsid w:val="00DC02E2"/>
    <w:rsid w:val="00DC0B50"/>
    <w:rsid w:val="00DD22D9"/>
    <w:rsid w:val="00DD68C3"/>
    <w:rsid w:val="00DE2A2A"/>
    <w:rsid w:val="00DE67F6"/>
    <w:rsid w:val="00DF4691"/>
    <w:rsid w:val="00DF78BD"/>
    <w:rsid w:val="00E20C72"/>
    <w:rsid w:val="00E23001"/>
    <w:rsid w:val="00E260EE"/>
    <w:rsid w:val="00E34083"/>
    <w:rsid w:val="00E345E3"/>
    <w:rsid w:val="00E57EB0"/>
    <w:rsid w:val="00E67D60"/>
    <w:rsid w:val="00E70D9A"/>
    <w:rsid w:val="00E76573"/>
    <w:rsid w:val="00E77D43"/>
    <w:rsid w:val="00E8579E"/>
    <w:rsid w:val="00E9415A"/>
    <w:rsid w:val="00EA0B82"/>
    <w:rsid w:val="00EA727D"/>
    <w:rsid w:val="00EB0911"/>
    <w:rsid w:val="00EB2D4F"/>
    <w:rsid w:val="00EB47DD"/>
    <w:rsid w:val="00EC085E"/>
    <w:rsid w:val="00EC6008"/>
    <w:rsid w:val="00ED2B32"/>
    <w:rsid w:val="00EE366E"/>
    <w:rsid w:val="00EE4324"/>
    <w:rsid w:val="00F16B3F"/>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77D43"/>
    <w:rPr>
      <w:rFonts w:ascii="Perpetua Std" w:hAnsi="Perpetua Std"/>
    </w:rPr>
  </w:style>
  <w:style w:type="paragraph" w:styleId="Heading1">
    <w:name w:val="heading 1"/>
    <w:basedOn w:val="Normal"/>
    <w:next w:val="Normal"/>
    <w:link w:val="Heading1Char"/>
    <w:qFormat/>
    <w:rsid w:val="00E77D43"/>
    <w:pPr>
      <w:keepNext/>
      <w:outlineLvl w:val="0"/>
    </w:pPr>
    <w:rPr>
      <w:b/>
    </w:rPr>
  </w:style>
  <w:style w:type="paragraph" w:styleId="Heading2">
    <w:name w:val="heading 2"/>
    <w:basedOn w:val="Normal"/>
    <w:next w:val="Normal"/>
    <w:link w:val="Heading2Char"/>
    <w:qFormat/>
    <w:rsid w:val="00E77D43"/>
    <w:pPr>
      <w:keepNext/>
      <w:spacing w:before="240" w:after="60"/>
      <w:outlineLvl w:val="1"/>
    </w:pPr>
    <w:rPr>
      <w:rFonts w:ascii="Arial" w:hAnsi="Arial"/>
      <w:b/>
      <w:i/>
      <w:sz w:val="24"/>
    </w:rPr>
  </w:style>
  <w:style w:type="paragraph" w:styleId="Heading3">
    <w:name w:val="heading 3"/>
    <w:basedOn w:val="Normal"/>
    <w:next w:val="Normal"/>
    <w:link w:val="Heading3Char"/>
    <w:qFormat/>
    <w:rsid w:val="00E77D4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77D43"/>
    <w:pPr>
      <w:spacing w:after="240"/>
      <w:jc w:val="both"/>
    </w:pPr>
    <w:rPr>
      <w:rFonts w:ascii="Helvetica LT Std" w:hAnsi="Helvetica LT Std"/>
      <w:b/>
      <w:color w:val="000000"/>
      <w:sz w:val="26"/>
    </w:rPr>
  </w:style>
  <w:style w:type="paragraph" w:customStyle="1" w:styleId="PA">
    <w:name w:val="PA"/>
    <w:next w:val="Normal"/>
    <w:link w:val="PAChar"/>
    <w:rsid w:val="00E77D43"/>
    <w:pPr>
      <w:spacing w:after="240"/>
      <w:ind w:firstLine="288"/>
      <w:jc w:val="both"/>
    </w:pPr>
    <w:rPr>
      <w:rFonts w:ascii="Perpetua Std" w:hAnsi="Perpetua Std"/>
      <w:color w:val="000000"/>
      <w:sz w:val="24"/>
    </w:rPr>
  </w:style>
  <w:style w:type="character" w:customStyle="1" w:styleId="PAChar">
    <w:name w:val="PA Char"/>
    <w:link w:val="PA"/>
    <w:rsid w:val="00E77D43"/>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E77D43"/>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E77D43"/>
    <w:pPr>
      <w:tabs>
        <w:tab w:val="left" w:pos="720"/>
      </w:tabs>
      <w:spacing w:after="240"/>
      <w:ind w:left="720" w:hanging="360"/>
      <w:jc w:val="both"/>
    </w:pPr>
    <w:rPr>
      <w:rFonts w:ascii="Perpetua Std" w:hAnsi="Perpetua Std"/>
      <w:color w:val="000000"/>
      <w:sz w:val="24"/>
    </w:rPr>
  </w:style>
  <w:style w:type="paragraph" w:customStyle="1" w:styleId="HD">
    <w:name w:val="HD"/>
    <w:rsid w:val="00E77D43"/>
    <w:pPr>
      <w:suppressAutoHyphens/>
      <w:spacing w:before="120"/>
      <w:jc w:val="center"/>
    </w:pPr>
    <w:rPr>
      <w:rFonts w:ascii="Helvetica LT Std" w:hAnsi="Helvetica LT Std"/>
      <w:sz w:val="26"/>
      <w:szCs w:val="18"/>
    </w:rPr>
  </w:style>
  <w:style w:type="paragraph" w:customStyle="1" w:styleId="PN">
    <w:name w:val="PN"/>
    <w:rsid w:val="00E77D43"/>
    <w:pPr>
      <w:spacing w:after="240"/>
      <w:ind w:left="720" w:firstLine="288"/>
      <w:jc w:val="both"/>
    </w:pPr>
    <w:rPr>
      <w:rFonts w:ascii="Perpetua Std" w:eastAsia="MS Mincho" w:hAnsi="Perpetua Std"/>
      <w:color w:val="000000"/>
    </w:rPr>
  </w:style>
  <w:style w:type="paragraph" w:customStyle="1" w:styleId="PB">
    <w:name w:val="PB"/>
    <w:rsid w:val="00E77D43"/>
    <w:pPr>
      <w:spacing w:after="240"/>
      <w:jc w:val="both"/>
    </w:pPr>
    <w:rPr>
      <w:rFonts w:ascii="Perpetua Std" w:hAnsi="Perpetua Std"/>
      <w:color w:val="000000"/>
      <w:sz w:val="24"/>
    </w:rPr>
  </w:style>
  <w:style w:type="paragraph" w:customStyle="1" w:styleId="PQ">
    <w:name w:val="PQ"/>
    <w:link w:val="PQChar"/>
    <w:rsid w:val="00E77D4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77D43"/>
    <w:rPr>
      <w:rFonts w:ascii="Adobe Caslon Pro" w:hAnsi="Adobe Caslon Pro"/>
      <w:color w:val="000000"/>
      <w:sz w:val="14"/>
    </w:rPr>
  </w:style>
  <w:style w:type="paragraph" w:customStyle="1" w:styleId="PF">
    <w:name w:val="PF"/>
    <w:rsid w:val="00E77D43"/>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E77D43"/>
    <w:pPr>
      <w:spacing w:before="120" w:after="120"/>
      <w:jc w:val="center"/>
    </w:pPr>
    <w:rPr>
      <w:rFonts w:ascii="Helvetica LT Std" w:hAnsi="Helvetica LT Std"/>
      <w:sz w:val="24"/>
    </w:rPr>
  </w:style>
  <w:style w:type="table" w:styleId="TableGrid">
    <w:name w:val="Table Grid"/>
    <w:basedOn w:val="TableNormal"/>
    <w:rsid w:val="00E7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E77D43"/>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E77D43"/>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E77D43"/>
    <w:pPr>
      <w:spacing w:before="144"/>
      <w:jc w:val="both"/>
    </w:pPr>
    <w:rPr>
      <w:noProof/>
    </w:rPr>
  </w:style>
  <w:style w:type="paragraph" w:customStyle="1" w:styleId="PD">
    <w:name w:val="PD"/>
    <w:rsid w:val="00E77D43"/>
    <w:pPr>
      <w:spacing w:after="240"/>
      <w:ind w:left="720" w:firstLine="288"/>
      <w:jc w:val="both"/>
    </w:pPr>
    <w:rPr>
      <w:rFonts w:ascii="Perpetua Std" w:hAnsi="Perpetua Std"/>
      <w:color w:val="000000"/>
      <w:sz w:val="24"/>
    </w:rPr>
  </w:style>
  <w:style w:type="paragraph" w:customStyle="1" w:styleId="PE">
    <w:name w:val="PE"/>
    <w:rsid w:val="00E77D43"/>
    <w:pPr>
      <w:spacing w:after="240"/>
      <w:ind w:left="720"/>
      <w:jc w:val="both"/>
    </w:pPr>
    <w:rPr>
      <w:rFonts w:ascii="Perpetua Std" w:hAnsi="Perpetua Std"/>
      <w:color w:val="000000"/>
      <w:sz w:val="24"/>
    </w:rPr>
  </w:style>
  <w:style w:type="paragraph" w:customStyle="1" w:styleId="PG">
    <w:name w:val="PG"/>
    <w:rsid w:val="00E77D43"/>
    <w:pPr>
      <w:spacing w:after="240"/>
      <w:ind w:left="360"/>
      <w:jc w:val="both"/>
    </w:pPr>
    <w:rPr>
      <w:rFonts w:ascii="Perpetua Std" w:hAnsi="Perpetua Std"/>
      <w:color w:val="000000"/>
      <w:sz w:val="24"/>
    </w:rPr>
  </w:style>
  <w:style w:type="paragraph" w:customStyle="1" w:styleId="PH">
    <w:name w:val="PH"/>
    <w:rsid w:val="00E77D43"/>
    <w:pPr>
      <w:tabs>
        <w:tab w:val="left" w:pos="360"/>
      </w:tabs>
      <w:spacing w:after="240"/>
      <w:ind w:left="360" w:hanging="360"/>
      <w:jc w:val="both"/>
    </w:pPr>
    <w:rPr>
      <w:rFonts w:ascii="Perpetua Std" w:hAnsi="Perpetua Std"/>
      <w:color w:val="000000"/>
      <w:sz w:val="24"/>
    </w:rPr>
  </w:style>
  <w:style w:type="paragraph" w:customStyle="1" w:styleId="PI">
    <w:name w:val="PI"/>
    <w:rsid w:val="00E77D43"/>
    <w:pPr>
      <w:spacing w:after="240"/>
      <w:ind w:left="360" w:hanging="360"/>
      <w:jc w:val="both"/>
    </w:pPr>
    <w:rPr>
      <w:rFonts w:ascii="Perpetua Std" w:hAnsi="Perpetua Std"/>
      <w:color w:val="000000"/>
      <w:sz w:val="24"/>
    </w:rPr>
  </w:style>
  <w:style w:type="paragraph" w:customStyle="1" w:styleId="PK">
    <w:name w:val="PK"/>
    <w:rsid w:val="00E77D43"/>
    <w:pPr>
      <w:spacing w:after="240"/>
      <w:ind w:left="360" w:firstLine="288"/>
      <w:jc w:val="both"/>
    </w:pPr>
    <w:rPr>
      <w:rFonts w:ascii="Perpetua Std" w:hAnsi="Perpetua Std"/>
      <w:color w:val="000000"/>
      <w:sz w:val="24"/>
    </w:rPr>
  </w:style>
  <w:style w:type="paragraph" w:customStyle="1" w:styleId="PL">
    <w:name w:val="PL"/>
    <w:rsid w:val="00E77D4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77D43"/>
    <w:pPr>
      <w:spacing w:after="240"/>
      <w:ind w:left="432" w:right="432" w:firstLine="432"/>
      <w:jc w:val="both"/>
    </w:pPr>
    <w:rPr>
      <w:rFonts w:ascii="Minion Pro" w:hAnsi="Minion Pro"/>
    </w:rPr>
  </w:style>
  <w:style w:type="paragraph" w:customStyle="1" w:styleId="TOC">
    <w:name w:val="TOC"/>
    <w:autoRedefine/>
    <w:rsid w:val="00E77D4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77D43"/>
    <w:pPr>
      <w:tabs>
        <w:tab w:val="clear" w:pos="1440"/>
        <w:tab w:val="clear" w:pos="8640"/>
        <w:tab w:val="left" w:pos="240"/>
        <w:tab w:val="left" w:pos="480"/>
        <w:tab w:val="right" w:leader="dot" w:pos="4680"/>
      </w:tabs>
      <w:ind w:left="0" w:firstLine="0"/>
    </w:pPr>
    <w:rPr>
      <w:sz w:val="22"/>
    </w:rPr>
  </w:style>
  <w:style w:type="paragraph" w:customStyle="1" w:styleId="PP">
    <w:name w:val="PP"/>
    <w:rsid w:val="00E77D4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E77D43"/>
    <w:pPr>
      <w:spacing w:after="240"/>
      <w:jc w:val="center"/>
    </w:pPr>
    <w:rPr>
      <w:rFonts w:ascii="Helvetica LT Std" w:hAnsi="Helvetica LT Std"/>
      <w:b/>
      <w:caps/>
      <w:color w:val="000000"/>
      <w:sz w:val="36"/>
      <w:szCs w:val="32"/>
    </w:rPr>
  </w:style>
  <w:style w:type="paragraph" w:customStyle="1" w:styleId="HB">
    <w:name w:val="HB"/>
    <w:rsid w:val="00E77D43"/>
    <w:pPr>
      <w:spacing w:before="120" w:after="240"/>
      <w:jc w:val="center"/>
    </w:pPr>
    <w:rPr>
      <w:rFonts w:ascii="Helvetica LT Std" w:hAnsi="Helvetica LT Std"/>
      <w:b/>
      <w:color w:val="5F5F5F"/>
      <w:w w:val="105"/>
      <w:sz w:val="32"/>
    </w:rPr>
  </w:style>
  <w:style w:type="paragraph" w:customStyle="1" w:styleId="HC">
    <w:name w:val="HC"/>
    <w:autoRedefine/>
    <w:rsid w:val="00E77D43"/>
    <w:pPr>
      <w:tabs>
        <w:tab w:val="left" w:pos="284"/>
      </w:tabs>
      <w:spacing w:before="120" w:after="120"/>
      <w:jc w:val="center"/>
    </w:pPr>
    <w:rPr>
      <w:rFonts w:ascii="Helvetica LT Std" w:hAnsi="Helvetica LT Std"/>
      <w:b/>
      <w:color w:val="000000"/>
      <w:w w:val="110"/>
      <w:sz w:val="26"/>
    </w:rPr>
  </w:style>
  <w:style w:type="paragraph" w:customStyle="1" w:styleId="PR">
    <w:name w:val="PR"/>
    <w:rsid w:val="00E77D43"/>
    <w:pPr>
      <w:spacing w:after="240"/>
      <w:ind w:left="360" w:firstLine="288"/>
      <w:jc w:val="both"/>
    </w:pPr>
    <w:rPr>
      <w:rFonts w:ascii="Adobe Caslon Pro" w:hAnsi="Adobe Caslon Pro"/>
      <w:color w:val="000000"/>
      <w:sz w:val="14"/>
    </w:rPr>
  </w:style>
  <w:style w:type="paragraph" w:customStyle="1" w:styleId="PO">
    <w:name w:val="PO"/>
    <w:rsid w:val="00E77D43"/>
    <w:pPr>
      <w:spacing w:after="240"/>
      <w:jc w:val="both"/>
    </w:pPr>
    <w:rPr>
      <w:rFonts w:ascii="Perpetua Std" w:hAnsi="Perpetua Std"/>
      <w:color w:val="000000"/>
      <w:w w:val="95"/>
      <w:szCs w:val="16"/>
    </w:rPr>
  </w:style>
  <w:style w:type="paragraph" w:customStyle="1" w:styleId="GUIDEX">
    <w:name w:val="GUIDEX"/>
    <w:rsid w:val="00E77D4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77D43"/>
    <w:pPr>
      <w:tabs>
        <w:tab w:val="clear" w:pos="240"/>
        <w:tab w:val="clear" w:pos="480"/>
        <w:tab w:val="clear" w:pos="720"/>
        <w:tab w:val="right" w:pos="4680"/>
      </w:tabs>
    </w:pPr>
  </w:style>
  <w:style w:type="paragraph" w:customStyle="1" w:styleId="PCB">
    <w:name w:val="PCB"/>
    <w:autoRedefine/>
    <w:rsid w:val="00E77D43"/>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E77D43"/>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77D43"/>
    <w:rPr>
      <w:rFonts w:ascii="Perpetua Std" w:hAnsi="Perpetua Std"/>
    </w:rPr>
  </w:style>
  <w:style w:type="paragraph" w:styleId="NoSpacing">
    <w:name w:val="No Spacing"/>
    <w:qFormat/>
    <w:rsid w:val="00E77D43"/>
    <w:rPr>
      <w:rFonts w:ascii="Perpetua" w:hAnsi="Perpetua"/>
    </w:rPr>
  </w:style>
  <w:style w:type="paragraph" w:customStyle="1" w:styleId="PCA">
    <w:name w:val="PCA"/>
    <w:rsid w:val="00E77D43"/>
    <w:pPr>
      <w:numPr>
        <w:numId w:val="29"/>
      </w:numPr>
      <w:tabs>
        <w:tab w:val="left" w:pos="720"/>
      </w:tabs>
      <w:spacing w:after="240"/>
      <w:jc w:val="both"/>
    </w:pPr>
    <w:rPr>
      <w:rFonts w:ascii="Perpetua Std" w:hAnsi="Perpetua Std"/>
      <w:sz w:val="24"/>
    </w:rPr>
  </w:style>
  <w:style w:type="paragraph" w:customStyle="1" w:styleId="PHB">
    <w:name w:val="PHB"/>
    <w:rsid w:val="00E77D43"/>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E77D43"/>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E77D43"/>
    <w:rPr>
      <w:rFonts w:ascii="Perpetua Std" w:hAnsi="Perpetua Std"/>
    </w:rPr>
  </w:style>
  <w:style w:type="paragraph" w:styleId="Heading1">
    <w:name w:val="heading 1"/>
    <w:basedOn w:val="Normal"/>
    <w:next w:val="Normal"/>
    <w:link w:val="Heading1Char"/>
    <w:qFormat/>
    <w:rsid w:val="00E77D43"/>
    <w:pPr>
      <w:keepNext/>
      <w:outlineLvl w:val="0"/>
    </w:pPr>
    <w:rPr>
      <w:b/>
    </w:rPr>
  </w:style>
  <w:style w:type="paragraph" w:styleId="Heading2">
    <w:name w:val="heading 2"/>
    <w:basedOn w:val="Normal"/>
    <w:next w:val="Normal"/>
    <w:link w:val="Heading2Char"/>
    <w:qFormat/>
    <w:rsid w:val="00E77D43"/>
    <w:pPr>
      <w:keepNext/>
      <w:spacing w:before="240" w:after="60"/>
      <w:outlineLvl w:val="1"/>
    </w:pPr>
    <w:rPr>
      <w:rFonts w:ascii="Arial" w:hAnsi="Arial"/>
      <w:b/>
      <w:i/>
      <w:sz w:val="24"/>
    </w:rPr>
  </w:style>
  <w:style w:type="paragraph" w:styleId="Heading3">
    <w:name w:val="heading 3"/>
    <w:basedOn w:val="Normal"/>
    <w:next w:val="Normal"/>
    <w:link w:val="Heading3Char"/>
    <w:qFormat/>
    <w:rsid w:val="00E77D4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E77D43"/>
    <w:pPr>
      <w:spacing w:after="240"/>
      <w:jc w:val="both"/>
    </w:pPr>
    <w:rPr>
      <w:rFonts w:ascii="Helvetica LT Std" w:hAnsi="Helvetica LT Std"/>
      <w:b/>
      <w:color w:val="000000"/>
      <w:sz w:val="26"/>
    </w:rPr>
  </w:style>
  <w:style w:type="paragraph" w:customStyle="1" w:styleId="PA">
    <w:name w:val="PA"/>
    <w:next w:val="Normal"/>
    <w:link w:val="PAChar"/>
    <w:rsid w:val="00E77D43"/>
    <w:pPr>
      <w:spacing w:after="240"/>
      <w:ind w:firstLine="288"/>
      <w:jc w:val="both"/>
    </w:pPr>
    <w:rPr>
      <w:rFonts w:ascii="Perpetua Std" w:hAnsi="Perpetua Std"/>
      <w:color w:val="000000"/>
      <w:sz w:val="24"/>
    </w:rPr>
  </w:style>
  <w:style w:type="character" w:customStyle="1" w:styleId="PAChar">
    <w:name w:val="PA Char"/>
    <w:link w:val="PA"/>
    <w:rsid w:val="00E77D43"/>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E77D43"/>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E77D43"/>
    <w:pPr>
      <w:tabs>
        <w:tab w:val="left" w:pos="720"/>
      </w:tabs>
      <w:spacing w:after="240"/>
      <w:ind w:left="720" w:hanging="360"/>
      <w:jc w:val="both"/>
    </w:pPr>
    <w:rPr>
      <w:rFonts w:ascii="Perpetua Std" w:hAnsi="Perpetua Std"/>
      <w:color w:val="000000"/>
      <w:sz w:val="24"/>
    </w:rPr>
  </w:style>
  <w:style w:type="paragraph" w:customStyle="1" w:styleId="HD">
    <w:name w:val="HD"/>
    <w:rsid w:val="00E77D43"/>
    <w:pPr>
      <w:suppressAutoHyphens/>
      <w:spacing w:before="120"/>
      <w:jc w:val="center"/>
    </w:pPr>
    <w:rPr>
      <w:rFonts w:ascii="Helvetica LT Std" w:hAnsi="Helvetica LT Std"/>
      <w:sz w:val="26"/>
      <w:szCs w:val="18"/>
    </w:rPr>
  </w:style>
  <w:style w:type="paragraph" w:customStyle="1" w:styleId="PN">
    <w:name w:val="PN"/>
    <w:rsid w:val="00E77D43"/>
    <w:pPr>
      <w:spacing w:after="240"/>
      <w:ind w:left="720" w:firstLine="288"/>
      <w:jc w:val="both"/>
    </w:pPr>
    <w:rPr>
      <w:rFonts w:ascii="Perpetua Std" w:eastAsia="MS Mincho" w:hAnsi="Perpetua Std"/>
      <w:color w:val="000000"/>
    </w:rPr>
  </w:style>
  <w:style w:type="paragraph" w:customStyle="1" w:styleId="PB">
    <w:name w:val="PB"/>
    <w:rsid w:val="00E77D43"/>
    <w:pPr>
      <w:spacing w:after="240"/>
      <w:jc w:val="both"/>
    </w:pPr>
    <w:rPr>
      <w:rFonts w:ascii="Perpetua Std" w:hAnsi="Perpetua Std"/>
      <w:color w:val="000000"/>
      <w:sz w:val="24"/>
    </w:rPr>
  </w:style>
  <w:style w:type="paragraph" w:customStyle="1" w:styleId="PQ">
    <w:name w:val="PQ"/>
    <w:link w:val="PQChar"/>
    <w:rsid w:val="00E77D4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E77D43"/>
    <w:rPr>
      <w:rFonts w:ascii="Adobe Caslon Pro" w:hAnsi="Adobe Caslon Pro"/>
      <w:color w:val="000000"/>
      <w:sz w:val="14"/>
    </w:rPr>
  </w:style>
  <w:style w:type="paragraph" w:customStyle="1" w:styleId="PF">
    <w:name w:val="PF"/>
    <w:rsid w:val="00E77D43"/>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E77D43"/>
    <w:pPr>
      <w:spacing w:before="120" w:after="120"/>
      <w:jc w:val="center"/>
    </w:pPr>
    <w:rPr>
      <w:rFonts w:ascii="Helvetica LT Std" w:hAnsi="Helvetica LT Std"/>
      <w:sz w:val="24"/>
    </w:rPr>
  </w:style>
  <w:style w:type="table" w:styleId="TableGrid">
    <w:name w:val="Table Grid"/>
    <w:basedOn w:val="TableNormal"/>
    <w:rsid w:val="00E7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E77D43"/>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E77D43"/>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E77D43"/>
    <w:pPr>
      <w:spacing w:before="144"/>
      <w:jc w:val="both"/>
    </w:pPr>
    <w:rPr>
      <w:noProof/>
    </w:rPr>
  </w:style>
  <w:style w:type="paragraph" w:customStyle="1" w:styleId="PD">
    <w:name w:val="PD"/>
    <w:rsid w:val="00E77D43"/>
    <w:pPr>
      <w:spacing w:after="240"/>
      <w:ind w:left="720" w:firstLine="288"/>
      <w:jc w:val="both"/>
    </w:pPr>
    <w:rPr>
      <w:rFonts w:ascii="Perpetua Std" w:hAnsi="Perpetua Std"/>
      <w:color w:val="000000"/>
      <w:sz w:val="24"/>
    </w:rPr>
  </w:style>
  <w:style w:type="paragraph" w:customStyle="1" w:styleId="PE">
    <w:name w:val="PE"/>
    <w:rsid w:val="00E77D43"/>
    <w:pPr>
      <w:spacing w:after="240"/>
      <w:ind w:left="720"/>
      <w:jc w:val="both"/>
    </w:pPr>
    <w:rPr>
      <w:rFonts w:ascii="Perpetua Std" w:hAnsi="Perpetua Std"/>
      <w:color w:val="000000"/>
      <w:sz w:val="24"/>
    </w:rPr>
  </w:style>
  <w:style w:type="paragraph" w:customStyle="1" w:styleId="PG">
    <w:name w:val="PG"/>
    <w:rsid w:val="00E77D43"/>
    <w:pPr>
      <w:spacing w:after="240"/>
      <w:ind w:left="360"/>
      <w:jc w:val="both"/>
    </w:pPr>
    <w:rPr>
      <w:rFonts w:ascii="Perpetua Std" w:hAnsi="Perpetua Std"/>
      <w:color w:val="000000"/>
      <w:sz w:val="24"/>
    </w:rPr>
  </w:style>
  <w:style w:type="paragraph" w:customStyle="1" w:styleId="PH">
    <w:name w:val="PH"/>
    <w:rsid w:val="00E77D43"/>
    <w:pPr>
      <w:tabs>
        <w:tab w:val="left" w:pos="360"/>
      </w:tabs>
      <w:spacing w:after="240"/>
      <w:ind w:left="360" w:hanging="360"/>
      <w:jc w:val="both"/>
    </w:pPr>
    <w:rPr>
      <w:rFonts w:ascii="Perpetua Std" w:hAnsi="Perpetua Std"/>
      <w:color w:val="000000"/>
      <w:sz w:val="24"/>
    </w:rPr>
  </w:style>
  <w:style w:type="paragraph" w:customStyle="1" w:styleId="PI">
    <w:name w:val="PI"/>
    <w:rsid w:val="00E77D43"/>
    <w:pPr>
      <w:spacing w:after="240"/>
      <w:ind w:left="360" w:hanging="360"/>
      <w:jc w:val="both"/>
    </w:pPr>
    <w:rPr>
      <w:rFonts w:ascii="Perpetua Std" w:hAnsi="Perpetua Std"/>
      <w:color w:val="000000"/>
      <w:sz w:val="24"/>
    </w:rPr>
  </w:style>
  <w:style w:type="paragraph" w:customStyle="1" w:styleId="PK">
    <w:name w:val="PK"/>
    <w:rsid w:val="00E77D43"/>
    <w:pPr>
      <w:spacing w:after="240"/>
      <w:ind w:left="360" w:firstLine="288"/>
      <w:jc w:val="both"/>
    </w:pPr>
    <w:rPr>
      <w:rFonts w:ascii="Perpetua Std" w:hAnsi="Perpetua Std"/>
      <w:color w:val="000000"/>
      <w:sz w:val="24"/>
    </w:rPr>
  </w:style>
  <w:style w:type="paragraph" w:customStyle="1" w:styleId="PL">
    <w:name w:val="PL"/>
    <w:rsid w:val="00E77D4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E77D43"/>
    <w:pPr>
      <w:spacing w:after="240"/>
      <w:ind w:left="432" w:right="432" w:firstLine="432"/>
      <w:jc w:val="both"/>
    </w:pPr>
    <w:rPr>
      <w:rFonts w:ascii="Minion Pro" w:hAnsi="Minion Pro"/>
    </w:rPr>
  </w:style>
  <w:style w:type="paragraph" w:customStyle="1" w:styleId="TOC">
    <w:name w:val="TOC"/>
    <w:autoRedefine/>
    <w:rsid w:val="00E77D4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E77D43"/>
    <w:pPr>
      <w:tabs>
        <w:tab w:val="clear" w:pos="1440"/>
        <w:tab w:val="clear" w:pos="8640"/>
        <w:tab w:val="left" w:pos="240"/>
        <w:tab w:val="left" w:pos="480"/>
        <w:tab w:val="right" w:leader="dot" w:pos="4680"/>
      </w:tabs>
      <w:ind w:left="0" w:firstLine="0"/>
    </w:pPr>
    <w:rPr>
      <w:sz w:val="22"/>
    </w:rPr>
  </w:style>
  <w:style w:type="paragraph" w:customStyle="1" w:styleId="PP">
    <w:name w:val="PP"/>
    <w:rsid w:val="00E77D4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E77D43"/>
    <w:pPr>
      <w:spacing w:after="240"/>
      <w:jc w:val="center"/>
    </w:pPr>
    <w:rPr>
      <w:rFonts w:ascii="Helvetica LT Std" w:hAnsi="Helvetica LT Std"/>
      <w:b/>
      <w:caps/>
      <w:color w:val="000000"/>
      <w:sz w:val="36"/>
      <w:szCs w:val="32"/>
    </w:rPr>
  </w:style>
  <w:style w:type="paragraph" w:customStyle="1" w:styleId="HB">
    <w:name w:val="HB"/>
    <w:rsid w:val="00E77D43"/>
    <w:pPr>
      <w:spacing w:before="120" w:after="240"/>
      <w:jc w:val="center"/>
    </w:pPr>
    <w:rPr>
      <w:rFonts w:ascii="Helvetica LT Std" w:hAnsi="Helvetica LT Std"/>
      <w:b/>
      <w:color w:val="5F5F5F"/>
      <w:w w:val="105"/>
      <w:sz w:val="32"/>
    </w:rPr>
  </w:style>
  <w:style w:type="paragraph" w:customStyle="1" w:styleId="HC">
    <w:name w:val="HC"/>
    <w:autoRedefine/>
    <w:rsid w:val="00E77D43"/>
    <w:pPr>
      <w:tabs>
        <w:tab w:val="left" w:pos="284"/>
      </w:tabs>
      <w:spacing w:before="120" w:after="120"/>
      <w:jc w:val="center"/>
    </w:pPr>
    <w:rPr>
      <w:rFonts w:ascii="Helvetica LT Std" w:hAnsi="Helvetica LT Std"/>
      <w:b/>
      <w:color w:val="000000"/>
      <w:w w:val="110"/>
      <w:sz w:val="26"/>
    </w:rPr>
  </w:style>
  <w:style w:type="paragraph" w:customStyle="1" w:styleId="PR">
    <w:name w:val="PR"/>
    <w:rsid w:val="00E77D43"/>
    <w:pPr>
      <w:spacing w:after="240"/>
      <w:ind w:left="360" w:firstLine="288"/>
      <w:jc w:val="both"/>
    </w:pPr>
    <w:rPr>
      <w:rFonts w:ascii="Adobe Caslon Pro" w:hAnsi="Adobe Caslon Pro"/>
      <w:color w:val="000000"/>
      <w:sz w:val="14"/>
    </w:rPr>
  </w:style>
  <w:style w:type="paragraph" w:customStyle="1" w:styleId="PO">
    <w:name w:val="PO"/>
    <w:rsid w:val="00E77D43"/>
    <w:pPr>
      <w:spacing w:after="240"/>
      <w:jc w:val="both"/>
    </w:pPr>
    <w:rPr>
      <w:rFonts w:ascii="Perpetua Std" w:hAnsi="Perpetua Std"/>
      <w:color w:val="000000"/>
      <w:w w:val="95"/>
      <w:szCs w:val="16"/>
    </w:rPr>
  </w:style>
  <w:style w:type="paragraph" w:customStyle="1" w:styleId="GUIDEX">
    <w:name w:val="GUIDEX"/>
    <w:rsid w:val="00E77D4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E77D43"/>
    <w:pPr>
      <w:tabs>
        <w:tab w:val="clear" w:pos="240"/>
        <w:tab w:val="clear" w:pos="480"/>
        <w:tab w:val="clear" w:pos="720"/>
        <w:tab w:val="right" w:pos="4680"/>
      </w:tabs>
    </w:pPr>
  </w:style>
  <w:style w:type="paragraph" w:customStyle="1" w:styleId="PCB">
    <w:name w:val="PCB"/>
    <w:autoRedefine/>
    <w:rsid w:val="00E77D43"/>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E77D43"/>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E77D43"/>
    <w:rPr>
      <w:rFonts w:ascii="Perpetua Std" w:hAnsi="Perpetua Std"/>
    </w:rPr>
  </w:style>
  <w:style w:type="paragraph" w:styleId="NoSpacing">
    <w:name w:val="No Spacing"/>
    <w:qFormat/>
    <w:rsid w:val="00E77D43"/>
    <w:rPr>
      <w:rFonts w:ascii="Perpetua" w:hAnsi="Perpetua"/>
    </w:rPr>
  </w:style>
  <w:style w:type="paragraph" w:customStyle="1" w:styleId="PCA">
    <w:name w:val="PCA"/>
    <w:rsid w:val="00E77D43"/>
    <w:pPr>
      <w:numPr>
        <w:numId w:val="29"/>
      </w:numPr>
      <w:tabs>
        <w:tab w:val="left" w:pos="720"/>
      </w:tabs>
      <w:spacing w:after="240"/>
      <w:jc w:val="both"/>
    </w:pPr>
    <w:rPr>
      <w:rFonts w:ascii="Perpetua Std" w:hAnsi="Perpetua Std"/>
      <w:sz w:val="24"/>
    </w:rPr>
  </w:style>
  <w:style w:type="paragraph" w:customStyle="1" w:styleId="PHB">
    <w:name w:val="PHB"/>
    <w:rsid w:val="00E77D43"/>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E77D43"/>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8516. What taxpayers are ineligible to use the standard deduction?</vt:lpstr>
    </vt:vector>
  </TitlesOfParts>
  <Company>Summit Business Media</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8516. What taxpayers are ineligible to use the standard deduction?</dc:title>
  <dc:creator>Alexis Long</dc:creator>
  <cp:lastModifiedBy>rcline</cp:lastModifiedBy>
  <cp:revision>2</cp:revision>
  <dcterms:created xsi:type="dcterms:W3CDTF">2014-08-20T14:50:00Z</dcterms:created>
  <dcterms:modified xsi:type="dcterms:W3CDTF">2014-08-20T14:50:00Z</dcterms:modified>
</cp:coreProperties>
</file>