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4" w:rsidRDefault="007865B2" w:rsidP="00D73FC0">
      <w:pPr>
        <w:pStyle w:val="HB"/>
      </w:pPr>
      <w:r w:rsidRPr="00532B64">
        <w:t>D</w:t>
      </w:r>
      <w:r w:rsidR="00D73FC0" w:rsidRPr="00532B64">
        <w:t>eductions</w:t>
      </w:r>
    </w:p>
    <w:p w:rsidR="0039226E" w:rsidRDefault="0039226E" w:rsidP="00D73FC0">
      <w:pPr>
        <w:pStyle w:val="HB"/>
      </w:pPr>
    </w:p>
    <w:p w:rsidR="0039226E" w:rsidRPr="0039226E" w:rsidRDefault="0039226E" w:rsidP="0039226E">
      <w:pPr>
        <w:pStyle w:val="HB"/>
        <w:jc w:val="left"/>
        <w:rPr>
          <w:sz w:val="24"/>
          <w:szCs w:val="24"/>
        </w:rPr>
      </w:pPr>
      <w:r>
        <w:t xml:space="preserve">  </w:t>
      </w:r>
      <w:r w:rsidRPr="0039226E">
        <w:rPr>
          <w:sz w:val="24"/>
          <w:szCs w:val="24"/>
        </w:rPr>
        <w:t>8515.  What is the standard deduction?</w:t>
      </w:r>
    </w:p>
    <w:p w:rsidR="00EA0B82" w:rsidRPr="00532B64" w:rsidRDefault="00352912" w:rsidP="00D73FC0">
      <w:pPr>
        <w:pStyle w:val="PA"/>
      </w:pPr>
      <w:r>
        <w:t>The standard deduction is one of two “below-the-line” deduction options available to taxpayers.  In other words, once a taxpayer determines adjusted gross income (gross income minus above the line deductions)</w:t>
      </w:r>
      <w:r w:rsidR="001E17BE">
        <w:t xml:space="preserve">, the taxpayer may also deduct the sum of their exemptions and the greater of 1) the standard deduction; or 2) the sum of their itemized deductions </w:t>
      </w:r>
      <w:r w:rsidR="00C3032D" w:rsidRPr="00532B64">
        <w:t xml:space="preserve">(see </w:t>
      </w:r>
      <w:r w:rsidR="000465CA" w:rsidRPr="00532B64">
        <w:t>Q 85</w:t>
      </w:r>
      <w:r w:rsidR="00EA0B82" w:rsidRPr="00532B64">
        <w:t>18</w:t>
      </w:r>
      <w:r w:rsidR="00C3032D" w:rsidRPr="00532B64">
        <w:t>).</w:t>
      </w:r>
      <w:r w:rsidR="00C3032D" w:rsidRPr="00532B64">
        <w:rPr>
          <w:vertAlign w:val="superscript"/>
        </w:rPr>
        <w:footnoteReference w:id="1"/>
      </w:r>
      <w:r w:rsidR="00427B74" w:rsidRPr="00532B64">
        <w:t xml:space="preserve"> </w:t>
      </w:r>
    </w:p>
    <w:p w:rsidR="00C3032D" w:rsidRPr="00532B64" w:rsidRDefault="00EA0B82" w:rsidP="00D73FC0">
      <w:pPr>
        <w:pStyle w:val="PA"/>
      </w:pPr>
      <w:r w:rsidRPr="00532B64">
        <w:t>The</w:t>
      </w:r>
      <w:r w:rsidR="00C3032D" w:rsidRPr="00532B64">
        <w:t xml:space="preserve"> standard deduction for </w:t>
      </w:r>
      <w:r w:rsidRPr="00532B64">
        <w:t xml:space="preserve">the </w:t>
      </w:r>
      <w:r w:rsidR="00A62C6A">
        <w:t>2014</w:t>
      </w:r>
      <w:r w:rsidR="00A62C6A" w:rsidRPr="00532B64">
        <w:t xml:space="preserve"> </w:t>
      </w:r>
      <w:r w:rsidRPr="00532B64">
        <w:t>tax year</w:t>
      </w:r>
      <w:r w:rsidR="00C3032D" w:rsidRPr="00532B64">
        <w:t xml:space="preserve"> is $12,</w:t>
      </w:r>
      <w:r w:rsidR="00A62C6A">
        <w:t>400</w:t>
      </w:r>
      <w:r w:rsidR="00A62C6A" w:rsidRPr="00532B64">
        <w:t xml:space="preserve"> </w:t>
      </w:r>
      <w:r w:rsidR="00C3032D" w:rsidRPr="00532B64">
        <w:t xml:space="preserve">for married </w:t>
      </w:r>
      <w:r w:rsidRPr="00532B64">
        <w:t>taxpayers</w:t>
      </w:r>
      <w:r w:rsidR="00C3032D" w:rsidRPr="00532B64">
        <w:t xml:space="preserve"> filing jointly and surviving spouses</w:t>
      </w:r>
      <w:r w:rsidR="002000C6" w:rsidRPr="00532B64">
        <w:t>,</w:t>
      </w:r>
      <w:r w:rsidR="00C3032D" w:rsidRPr="00532B64">
        <w:t xml:space="preserve"> $</w:t>
      </w:r>
      <w:r w:rsidR="00A62C6A">
        <w:t>9,100</w:t>
      </w:r>
      <w:r w:rsidR="00C3032D" w:rsidRPr="00532B64">
        <w:t xml:space="preserve"> for heads of households, </w:t>
      </w:r>
      <w:r w:rsidR="000A6CAB" w:rsidRPr="00532B64">
        <w:t xml:space="preserve">and </w:t>
      </w:r>
      <w:r w:rsidR="00C3032D" w:rsidRPr="00532B64">
        <w:t>$6,</w:t>
      </w:r>
      <w:r w:rsidR="00A62C6A">
        <w:t>200</w:t>
      </w:r>
      <w:r w:rsidR="00A62C6A" w:rsidRPr="00532B64">
        <w:t xml:space="preserve"> </w:t>
      </w:r>
      <w:r w:rsidR="00C3032D" w:rsidRPr="00532B64">
        <w:t xml:space="preserve">for single </w:t>
      </w:r>
      <w:r w:rsidRPr="00532B64">
        <w:t>taxpayers</w:t>
      </w:r>
      <w:r w:rsidR="00C3032D" w:rsidRPr="00532B64">
        <w:t xml:space="preserve"> and married </w:t>
      </w:r>
      <w:r w:rsidRPr="00532B64">
        <w:t>taxpayers</w:t>
      </w:r>
      <w:r w:rsidR="00C3032D" w:rsidRPr="00532B64">
        <w:t xml:space="preserve"> filing separately.</w:t>
      </w:r>
      <w:r w:rsidR="00C3032D" w:rsidRPr="00532B64">
        <w:rPr>
          <w:vertAlign w:val="superscript"/>
        </w:rPr>
        <w:footnoteReference w:id="2"/>
      </w:r>
      <w:r w:rsidR="00C3032D" w:rsidRPr="00532B64">
        <w:t xml:space="preserve"> The standard deduction is adjusted annually for inflation.</w:t>
      </w:r>
      <w:r w:rsidR="00C3032D" w:rsidRPr="00532B64">
        <w:rPr>
          <w:vertAlign w:val="superscript"/>
        </w:rPr>
        <w:footnoteReference w:id="3"/>
      </w:r>
    </w:p>
    <w:p w:rsidR="00C3032D" w:rsidRPr="00532B64" w:rsidRDefault="00EA0B82" w:rsidP="00D73FC0">
      <w:pPr>
        <w:pStyle w:val="PA"/>
      </w:pPr>
      <w:r w:rsidRPr="00532B64">
        <w:t>Taxpayers</w:t>
      </w:r>
      <w:r w:rsidR="00C3032D" w:rsidRPr="00532B64">
        <w:t xml:space="preserve"> who do not itemize and who are age 65 or older or blind are entitled to increase their standard deduction. </w:t>
      </w:r>
      <w:r w:rsidR="001E17BE">
        <w:t>In 2014, t</w:t>
      </w:r>
      <w:r w:rsidRPr="00532B64">
        <w:t>axpayers</w:t>
      </w:r>
      <w:r w:rsidR="00C3032D" w:rsidRPr="00532B64">
        <w:t xml:space="preserve"> who are married or are surviving spouses are each entitled to an additional deduction of $1,200</w:t>
      </w:r>
      <w:r w:rsidR="003D58FD">
        <w:t>,</w:t>
      </w:r>
      <w:bookmarkStart w:id="0" w:name="_GoBack"/>
      <w:bookmarkEnd w:id="0"/>
      <w:r w:rsidR="00C3032D" w:rsidRPr="00532B64">
        <w:t xml:space="preserve"> if </w:t>
      </w:r>
      <w:r w:rsidR="001E17BE">
        <w:t xml:space="preserve">age 65 or older as well as </w:t>
      </w:r>
      <w:r w:rsidR="00C3032D" w:rsidRPr="00532B64">
        <w:t xml:space="preserve">an additional $1,200 deduction if blind. The </w:t>
      </w:r>
      <w:r w:rsidR="001E17BE">
        <w:t xml:space="preserve">additional </w:t>
      </w:r>
      <w:r w:rsidR="00C3032D" w:rsidRPr="00532B64">
        <w:t>standard deduction is $1,</w:t>
      </w:r>
      <w:r w:rsidR="00A62C6A">
        <w:t>550</w:t>
      </w:r>
      <w:r w:rsidR="00A62C6A" w:rsidRPr="00532B64">
        <w:t xml:space="preserve"> </w:t>
      </w:r>
      <w:r w:rsidR="00C3032D" w:rsidRPr="00532B64">
        <w:t xml:space="preserve">for unmarried taxpayers </w:t>
      </w:r>
      <w:r w:rsidR="001E17BE">
        <w:t xml:space="preserve">age 65 or older as well as </w:t>
      </w:r>
      <w:r w:rsidR="00C3032D" w:rsidRPr="00532B64">
        <w:t>$1,</w:t>
      </w:r>
      <w:r w:rsidR="00A62C6A">
        <w:t>550</w:t>
      </w:r>
      <w:r w:rsidR="00A62C6A" w:rsidRPr="00532B64">
        <w:t xml:space="preserve"> </w:t>
      </w:r>
      <w:r w:rsidR="00C3032D" w:rsidRPr="00532B64">
        <w:t>for unmarried blind taxpayers.</w:t>
      </w:r>
      <w:r w:rsidR="00C3032D" w:rsidRPr="00532B64">
        <w:rPr>
          <w:vertAlign w:val="superscript"/>
        </w:rPr>
        <w:footnoteReference w:id="4"/>
      </w:r>
      <w:r w:rsidR="00C3032D" w:rsidRPr="00532B64">
        <w:t xml:space="preserve"> The additional amounts for elderly and blind </w:t>
      </w:r>
      <w:r w:rsidRPr="00532B64">
        <w:t>taxpayers</w:t>
      </w:r>
      <w:r w:rsidR="00C3032D" w:rsidRPr="00532B64">
        <w:t xml:space="preserve"> are indexed for inflation.</w:t>
      </w:r>
      <w:r w:rsidR="00C3032D" w:rsidRPr="00532B64">
        <w:rPr>
          <w:vertAlign w:val="superscript"/>
        </w:rPr>
        <w:footnoteReference w:id="5"/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91" w:rsidRDefault="00A64E91" w:rsidP="006F074C">
      <w:r>
        <w:separator/>
      </w:r>
    </w:p>
  </w:endnote>
  <w:endnote w:type="continuationSeparator" w:id="0">
    <w:p w:rsidR="00A64E91" w:rsidRDefault="00A64E91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91" w:rsidRDefault="00A64E91" w:rsidP="006F074C">
      <w:r>
        <w:separator/>
      </w:r>
    </w:p>
  </w:footnote>
  <w:footnote w:type="continuationSeparator" w:id="0">
    <w:p w:rsidR="00A64E91" w:rsidRDefault="00A64E91" w:rsidP="006F074C">
      <w:r>
        <w:continuationSeparator/>
      </w:r>
    </w:p>
  </w:footnote>
  <w:footnote w:id="1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>IRC Sec. 63.</w:t>
      </w:r>
    </w:p>
  </w:footnote>
  <w:footnote w:id="2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 xml:space="preserve">IRC Sec. </w:t>
      </w:r>
      <w:proofErr w:type="gramStart"/>
      <w:r w:rsidR="00FE5D9D" w:rsidRPr="001757C5">
        <w:t>63(c</w:t>
      </w:r>
      <w:proofErr w:type="gramEnd"/>
      <w:r w:rsidR="00FE5D9D" w:rsidRPr="001757C5">
        <w:t>); Rev. Proc.</w:t>
      </w:r>
      <w:r w:rsidR="00FE5D9D">
        <w:t xml:space="preserve"> 2013-</w:t>
      </w:r>
      <w:r w:rsidR="009748C7">
        <w:t>35</w:t>
      </w:r>
      <w:r w:rsidR="00FE5D9D">
        <w:t>, 2013-</w:t>
      </w:r>
      <w:r w:rsidR="009748C7">
        <w:t xml:space="preserve">47 </w:t>
      </w:r>
      <w:r w:rsidR="00FE5D9D">
        <w:t xml:space="preserve">IRB </w:t>
      </w:r>
      <w:r w:rsidR="009748C7">
        <w:t>537</w:t>
      </w:r>
      <w:r w:rsidR="00FE5D9D">
        <w:t>.</w:t>
      </w:r>
    </w:p>
  </w:footnote>
  <w:footnote w:id="3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>IRC Sec. 63(c)(4).</w:t>
      </w:r>
    </w:p>
  </w:footnote>
  <w:footnote w:id="4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 xml:space="preserve">IRC Sec. </w:t>
      </w:r>
      <w:proofErr w:type="gramStart"/>
      <w:r w:rsidR="00FE5D9D" w:rsidRPr="001757C5">
        <w:t>63(f</w:t>
      </w:r>
      <w:proofErr w:type="gramEnd"/>
      <w:r w:rsidR="00FE5D9D" w:rsidRPr="001757C5">
        <w:t xml:space="preserve">); Rev. Proc. </w:t>
      </w:r>
      <w:r w:rsidR="00FE5D9D">
        <w:t>2013-</w:t>
      </w:r>
      <w:r w:rsidR="009748C7">
        <w:t>35</w:t>
      </w:r>
      <w:r w:rsidR="00FE5D9D" w:rsidRPr="001757C5">
        <w:t xml:space="preserve">, </w:t>
      </w:r>
      <w:r w:rsidR="00C62ADE">
        <w:t>2013-47 IRB 537.</w:t>
      </w:r>
    </w:p>
  </w:footnote>
  <w:footnote w:id="5">
    <w:p w:rsidR="00D73FC0" w:rsidRPr="001757C5" w:rsidRDefault="00D73FC0" w:rsidP="00FE5D9D">
      <w:pPr>
        <w:pStyle w:val="PQ"/>
      </w:pPr>
      <w:r w:rsidRPr="001757C5">
        <w:footnoteRef/>
      </w:r>
      <w:r w:rsidR="00F16B3F">
        <w:t>.</w:t>
      </w:r>
      <w:r w:rsidR="00F16B3F">
        <w:tab/>
      </w:r>
      <w:r w:rsidR="00FE5D9D" w:rsidRPr="001757C5">
        <w:t>IRC Sec. 63(c)(4).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E17BE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2912"/>
    <w:rsid w:val="00355BC4"/>
    <w:rsid w:val="00360557"/>
    <w:rsid w:val="00377919"/>
    <w:rsid w:val="0039226E"/>
    <w:rsid w:val="003B1DF7"/>
    <w:rsid w:val="003B450F"/>
    <w:rsid w:val="003B65D8"/>
    <w:rsid w:val="003C1548"/>
    <w:rsid w:val="003D58FD"/>
    <w:rsid w:val="003F00D7"/>
    <w:rsid w:val="003F05E5"/>
    <w:rsid w:val="004167F4"/>
    <w:rsid w:val="00427B74"/>
    <w:rsid w:val="00435B94"/>
    <w:rsid w:val="00455B0E"/>
    <w:rsid w:val="00456493"/>
    <w:rsid w:val="00474C65"/>
    <w:rsid w:val="00484642"/>
    <w:rsid w:val="00487A39"/>
    <w:rsid w:val="004C5F26"/>
    <w:rsid w:val="004E7836"/>
    <w:rsid w:val="00501B90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5E5F19"/>
    <w:rsid w:val="006152E6"/>
    <w:rsid w:val="0061599B"/>
    <w:rsid w:val="00664BF0"/>
    <w:rsid w:val="00667AE6"/>
    <w:rsid w:val="0068069B"/>
    <w:rsid w:val="00695FA3"/>
    <w:rsid w:val="006A54BB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44FF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24A3E"/>
    <w:rsid w:val="00944E4E"/>
    <w:rsid w:val="0095488D"/>
    <w:rsid w:val="00957231"/>
    <w:rsid w:val="009626DD"/>
    <w:rsid w:val="0097483E"/>
    <w:rsid w:val="009748C7"/>
    <w:rsid w:val="009938E4"/>
    <w:rsid w:val="009B7788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62C6A"/>
    <w:rsid w:val="00A64E91"/>
    <w:rsid w:val="00A82E6D"/>
    <w:rsid w:val="00AB3DD4"/>
    <w:rsid w:val="00AF1DC3"/>
    <w:rsid w:val="00AF3D75"/>
    <w:rsid w:val="00B15D08"/>
    <w:rsid w:val="00B41864"/>
    <w:rsid w:val="00B47F6C"/>
    <w:rsid w:val="00B97105"/>
    <w:rsid w:val="00BA22F5"/>
    <w:rsid w:val="00BC19F7"/>
    <w:rsid w:val="00BC5792"/>
    <w:rsid w:val="00BC6F51"/>
    <w:rsid w:val="00BE317F"/>
    <w:rsid w:val="00C00431"/>
    <w:rsid w:val="00C15AF0"/>
    <w:rsid w:val="00C1615A"/>
    <w:rsid w:val="00C3032D"/>
    <w:rsid w:val="00C360BE"/>
    <w:rsid w:val="00C426B1"/>
    <w:rsid w:val="00C5496F"/>
    <w:rsid w:val="00C62ADE"/>
    <w:rsid w:val="00C64FEC"/>
    <w:rsid w:val="00C7768E"/>
    <w:rsid w:val="00CB0AF1"/>
    <w:rsid w:val="00CC44A7"/>
    <w:rsid w:val="00CD22F0"/>
    <w:rsid w:val="00CF5092"/>
    <w:rsid w:val="00D0195D"/>
    <w:rsid w:val="00D06E38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16B3F"/>
    <w:rsid w:val="00F66D50"/>
    <w:rsid w:val="00F96BEC"/>
    <w:rsid w:val="00F9714F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44FF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44FF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44F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44FF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44FF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844FF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44FF6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844FF6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844FF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844FF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844FF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844FF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844FF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44FF6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844FF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844FF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84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4F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844F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844FF6"/>
    <w:pPr>
      <w:spacing w:before="144"/>
      <w:jc w:val="both"/>
    </w:pPr>
    <w:rPr>
      <w:noProof/>
    </w:rPr>
  </w:style>
  <w:style w:type="paragraph" w:customStyle="1" w:styleId="PD">
    <w:name w:val="PD"/>
    <w:rsid w:val="00844FF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44FF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44FF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44FF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44FF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44FF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44FF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44FF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44FF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44FF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844FF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844FF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44FF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44FF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44FF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44FF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44FF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44FF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44FF6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44FF6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44FF6"/>
    <w:rPr>
      <w:rFonts w:ascii="Perpetua Std" w:hAnsi="Perpetua Std"/>
    </w:rPr>
  </w:style>
  <w:style w:type="paragraph" w:styleId="NoSpacing">
    <w:name w:val="No Spacing"/>
    <w:qFormat/>
    <w:rsid w:val="00844FF6"/>
    <w:rPr>
      <w:rFonts w:ascii="Perpetua" w:hAnsi="Perpetua"/>
    </w:rPr>
  </w:style>
  <w:style w:type="paragraph" w:customStyle="1" w:styleId="PCA">
    <w:name w:val="PCA"/>
    <w:rsid w:val="00844FF6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44FF6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44FF6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844FF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844FF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44F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44FF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844FF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844FF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844FF6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844FF6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844FF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844FF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844FF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844FF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844FF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844FF6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844FF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844FF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84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4F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844F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844FF6"/>
    <w:pPr>
      <w:spacing w:before="144"/>
      <w:jc w:val="both"/>
    </w:pPr>
    <w:rPr>
      <w:noProof/>
    </w:rPr>
  </w:style>
  <w:style w:type="paragraph" w:customStyle="1" w:styleId="PD">
    <w:name w:val="PD"/>
    <w:rsid w:val="00844FF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844FF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844FF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844FF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844FF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844FF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844FF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844FF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844FF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844FF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844FF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844FF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844FF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844FF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844FF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844FF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844FF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844FF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844FF6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844FF6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844FF6"/>
    <w:rPr>
      <w:rFonts w:ascii="Perpetua Std" w:hAnsi="Perpetua Std"/>
    </w:rPr>
  </w:style>
  <w:style w:type="paragraph" w:styleId="NoSpacing">
    <w:name w:val="No Spacing"/>
    <w:qFormat/>
    <w:rsid w:val="00844FF6"/>
    <w:rPr>
      <w:rFonts w:ascii="Perpetua" w:hAnsi="Perpetua"/>
    </w:rPr>
  </w:style>
  <w:style w:type="paragraph" w:customStyle="1" w:styleId="PCA">
    <w:name w:val="PCA"/>
    <w:rsid w:val="00844FF6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844FF6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844FF6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8515. What is the standard deduction?</vt:lpstr>
    </vt:vector>
  </TitlesOfParts>
  <Company>Summit Business Media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8515. What is the standard deduction?</dc:title>
  <dc:creator>Alexis Long</dc:creator>
  <cp:lastModifiedBy>rcline</cp:lastModifiedBy>
  <cp:revision>2</cp:revision>
  <dcterms:created xsi:type="dcterms:W3CDTF">2014-08-20T14:48:00Z</dcterms:created>
  <dcterms:modified xsi:type="dcterms:W3CDTF">2014-08-20T14:48:00Z</dcterms:modified>
</cp:coreProperties>
</file>