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8" w:rsidRDefault="00851698" w:rsidP="007D6D13">
      <w:pPr>
        <w:pStyle w:val="PA"/>
        <w:tabs>
          <w:tab w:val="left" w:pos="1140"/>
        </w:tabs>
        <w:suppressAutoHyphens/>
        <w:rPr>
          <w:szCs w:val="24"/>
        </w:rPr>
      </w:pPr>
    </w:p>
    <w:p w:rsidR="00851698" w:rsidRPr="00851698" w:rsidRDefault="00237090" w:rsidP="007D6D13">
      <w:pPr>
        <w:pStyle w:val="PA"/>
        <w:tabs>
          <w:tab w:val="left" w:pos="1140"/>
        </w:tabs>
        <w:suppressAutoHyphens/>
        <w:rPr>
          <w:b/>
          <w:szCs w:val="24"/>
        </w:rPr>
      </w:pPr>
      <w:r>
        <w:rPr>
          <w:b/>
          <w:szCs w:val="24"/>
        </w:rPr>
        <w:t xml:space="preserve">8513.  When can a </w:t>
      </w:r>
      <w:proofErr w:type="gramStart"/>
      <w:r>
        <w:rPr>
          <w:b/>
          <w:szCs w:val="24"/>
        </w:rPr>
        <w:t xml:space="preserve">taxpayer </w:t>
      </w:r>
      <w:bookmarkStart w:id="0" w:name="_GoBack"/>
      <w:bookmarkEnd w:id="0"/>
      <w:r w:rsidR="00B12D31">
        <w:rPr>
          <w:b/>
          <w:szCs w:val="24"/>
        </w:rPr>
        <w:t xml:space="preserve"> claim</w:t>
      </w:r>
      <w:proofErr w:type="gramEnd"/>
      <w:r w:rsidR="00B12D31">
        <w:rPr>
          <w:b/>
          <w:szCs w:val="24"/>
        </w:rPr>
        <w:t xml:space="preserve"> a </w:t>
      </w:r>
      <w:r w:rsidR="00851698" w:rsidRPr="00851698">
        <w:rPr>
          <w:b/>
          <w:szCs w:val="24"/>
        </w:rPr>
        <w:t xml:space="preserve">dependency exemption for </w:t>
      </w:r>
      <w:r w:rsidR="00B23A24">
        <w:rPr>
          <w:b/>
          <w:szCs w:val="24"/>
        </w:rPr>
        <w:t xml:space="preserve">a </w:t>
      </w:r>
      <w:r w:rsidR="00851698" w:rsidRPr="00851698">
        <w:rPr>
          <w:b/>
          <w:szCs w:val="24"/>
        </w:rPr>
        <w:t>qualifying child</w:t>
      </w:r>
      <w:r w:rsidR="00B23A24">
        <w:rPr>
          <w:b/>
          <w:szCs w:val="24"/>
        </w:rPr>
        <w:t xml:space="preserve"> and a qualifying relative</w:t>
      </w:r>
      <w:r w:rsidR="00851698" w:rsidRPr="00851698">
        <w:rPr>
          <w:b/>
          <w:szCs w:val="24"/>
        </w:rPr>
        <w:t xml:space="preserve">?  </w:t>
      </w:r>
    </w:p>
    <w:p w:rsidR="00675B7A" w:rsidRDefault="004377AE" w:rsidP="007D6D13">
      <w:pPr>
        <w:pStyle w:val="PA"/>
        <w:tabs>
          <w:tab w:val="left" w:pos="1140"/>
        </w:tabs>
        <w:suppressAutoHyphens/>
        <w:rPr>
          <w:szCs w:val="24"/>
        </w:rPr>
      </w:pPr>
      <w:r>
        <w:rPr>
          <w:szCs w:val="24"/>
        </w:rPr>
        <w:t>In addition to the personal exemption, a taxpayer is entitled to an additional exemption (referred to as a dependency exemption) for each individual a taxpayer may claim as a dependent.</w:t>
      </w:r>
      <w:r w:rsidR="00675B7A">
        <w:rPr>
          <w:rStyle w:val="EndnoteReference"/>
          <w:szCs w:val="24"/>
        </w:rPr>
        <w:endnoteReference w:id="1"/>
      </w:r>
      <w:r>
        <w:rPr>
          <w:szCs w:val="24"/>
        </w:rPr>
        <w:t xml:space="preserve">  </w:t>
      </w:r>
      <w:r w:rsidR="00675B7A">
        <w:rPr>
          <w:szCs w:val="24"/>
        </w:rPr>
        <w:t>Under certain circumstances, t</w:t>
      </w:r>
      <w:r w:rsidR="00675B7A" w:rsidRPr="00532B64">
        <w:rPr>
          <w:szCs w:val="24"/>
        </w:rPr>
        <w:t xml:space="preserve">he taxpayer may claim the exemption even though the dependent files a return. </w:t>
      </w:r>
      <w:r w:rsidR="00675B7A">
        <w:rPr>
          <w:szCs w:val="24"/>
        </w:rPr>
        <w:t xml:space="preserve">  </w:t>
      </w:r>
      <w:r w:rsidR="00675B7A" w:rsidRPr="00532B64">
        <w:rPr>
          <w:szCs w:val="24"/>
        </w:rPr>
        <w:t xml:space="preserve">The taxpayer must include the Social Security number of any dependent claimed on </w:t>
      </w:r>
      <w:r w:rsidR="00237090">
        <w:rPr>
          <w:szCs w:val="24"/>
        </w:rPr>
        <w:t>the</w:t>
      </w:r>
      <w:r w:rsidR="0086648A">
        <w:rPr>
          <w:szCs w:val="24"/>
        </w:rPr>
        <w:t xml:space="preserve"> tax</w:t>
      </w:r>
      <w:r w:rsidR="00675B7A" w:rsidRPr="00532B64">
        <w:rPr>
          <w:szCs w:val="24"/>
        </w:rPr>
        <w:t xml:space="preserve"> return.</w:t>
      </w:r>
      <w:r w:rsidR="00675B7A">
        <w:rPr>
          <w:rStyle w:val="EndnoteReference"/>
          <w:szCs w:val="24"/>
        </w:rPr>
        <w:endnoteReference w:id="2"/>
      </w:r>
      <w:r w:rsidR="00675B7A">
        <w:rPr>
          <w:szCs w:val="24"/>
        </w:rPr>
        <w:t xml:space="preserve">  </w:t>
      </w:r>
    </w:p>
    <w:p w:rsidR="001A5A84" w:rsidRDefault="004377AE" w:rsidP="007D6D13">
      <w:pPr>
        <w:pStyle w:val="PA"/>
        <w:tabs>
          <w:tab w:val="left" w:pos="1140"/>
        </w:tabs>
        <w:suppressAutoHyphens/>
        <w:rPr>
          <w:szCs w:val="24"/>
        </w:rPr>
      </w:pPr>
      <w:r>
        <w:rPr>
          <w:szCs w:val="24"/>
        </w:rPr>
        <w:t>The</w:t>
      </w:r>
      <w:r w:rsidR="00675B7A">
        <w:rPr>
          <w:szCs w:val="24"/>
        </w:rPr>
        <w:t>re are</w:t>
      </w:r>
      <w:r>
        <w:rPr>
          <w:szCs w:val="24"/>
        </w:rPr>
        <w:t xml:space="preserve"> two categories of dependents</w:t>
      </w:r>
      <w:r w:rsidR="00675B7A">
        <w:rPr>
          <w:szCs w:val="24"/>
        </w:rPr>
        <w:t xml:space="preserve"> 1) </w:t>
      </w:r>
      <w:r>
        <w:rPr>
          <w:szCs w:val="24"/>
        </w:rPr>
        <w:t xml:space="preserve">a “qualifying child” </w:t>
      </w:r>
      <w:r w:rsidR="00675B7A">
        <w:rPr>
          <w:szCs w:val="24"/>
        </w:rPr>
        <w:t xml:space="preserve">and 2) </w:t>
      </w:r>
      <w:r>
        <w:rPr>
          <w:szCs w:val="24"/>
        </w:rPr>
        <w:t>a “qualifying relative.”</w:t>
      </w:r>
      <w:r w:rsidR="00675B7A">
        <w:rPr>
          <w:rStyle w:val="EndnoteReference"/>
          <w:szCs w:val="24"/>
        </w:rPr>
        <w:endnoteReference w:id="3"/>
      </w:r>
      <w:r>
        <w:rPr>
          <w:szCs w:val="24"/>
        </w:rPr>
        <w:t xml:space="preserve"> </w:t>
      </w:r>
    </w:p>
    <w:p w:rsidR="001A5A84" w:rsidRPr="00532B64" w:rsidRDefault="001A5A84" w:rsidP="001A5A84">
      <w:pPr>
        <w:pStyle w:val="PA"/>
        <w:tabs>
          <w:tab w:val="left" w:pos="1140"/>
        </w:tabs>
        <w:suppressAutoHyphens/>
        <w:rPr>
          <w:szCs w:val="24"/>
        </w:rPr>
      </w:pPr>
      <w:proofErr w:type="gramStart"/>
      <w:r w:rsidRPr="00532B64">
        <w:rPr>
          <w:i/>
          <w:iCs/>
          <w:szCs w:val="24"/>
        </w:rPr>
        <w:t>Qualifying child</w:t>
      </w:r>
      <w:r w:rsidRPr="00532B64">
        <w:rPr>
          <w:szCs w:val="24"/>
        </w:rPr>
        <w:t>.</w:t>
      </w:r>
      <w:proofErr w:type="gramEnd"/>
      <w:r w:rsidRPr="00532B64">
        <w:rPr>
          <w:szCs w:val="24"/>
        </w:rPr>
        <w:t xml:space="preserve"> The term “qualifying child” means an individual who: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(1)</w:t>
      </w:r>
      <w:r w:rsidRPr="00532B64">
        <w:rPr>
          <w:szCs w:val="24"/>
        </w:rPr>
        <w:tab/>
        <w:t xml:space="preserve">is the taxpayer’s “child” (see below) or a descendant of such a child, </w:t>
      </w:r>
      <w:r w:rsidRPr="00532B64">
        <w:rPr>
          <w:i/>
          <w:iCs/>
          <w:szCs w:val="24"/>
        </w:rPr>
        <w:t>or</w:t>
      </w:r>
      <w:r w:rsidRPr="00532B64">
        <w:rPr>
          <w:szCs w:val="24"/>
        </w:rPr>
        <w:t xml:space="preserve"> the taxpayer’s brother, sister, stepbrother, stepsister or a descendant of any such relative;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(2)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has</w:t>
      </w:r>
      <w:proofErr w:type="gramEnd"/>
      <w:r w:rsidRPr="00532B64">
        <w:rPr>
          <w:szCs w:val="24"/>
        </w:rPr>
        <w:t xml:space="preserve"> the same principal place of abode as the taxpayer for more than one-half of the taxable year;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(3)</w:t>
      </w:r>
      <w:r w:rsidRPr="00532B64">
        <w:rPr>
          <w:szCs w:val="24"/>
        </w:rPr>
        <w:tab/>
        <w:t>is younger than the taxpayer claiming the exemption and (</w:t>
      </w:r>
      <w:proofErr w:type="spellStart"/>
      <w:r w:rsidRPr="00532B64">
        <w:rPr>
          <w:szCs w:val="24"/>
        </w:rPr>
        <w:t>i</w:t>
      </w:r>
      <w:proofErr w:type="spellEnd"/>
      <w:r w:rsidRPr="00532B64">
        <w:rPr>
          <w:szCs w:val="24"/>
        </w:rPr>
        <w:t xml:space="preserve">) </w:t>
      </w:r>
      <w:r w:rsidR="00BC349B">
        <w:rPr>
          <w:szCs w:val="24"/>
        </w:rPr>
        <w:t xml:space="preserve">has not turned </w:t>
      </w:r>
      <w:r w:rsidRPr="00532B64">
        <w:rPr>
          <w:szCs w:val="24"/>
        </w:rPr>
        <w:t xml:space="preserve">age 19 as of the close of the calendar year in which the taxable year </w:t>
      </w:r>
      <w:r w:rsidR="00BC349B">
        <w:rPr>
          <w:szCs w:val="24"/>
        </w:rPr>
        <w:t xml:space="preserve">of the taxpayer </w:t>
      </w:r>
      <w:r w:rsidRPr="00532B64">
        <w:rPr>
          <w:szCs w:val="24"/>
        </w:rPr>
        <w:t xml:space="preserve">begins, </w:t>
      </w:r>
      <w:r w:rsidRPr="00532B64">
        <w:rPr>
          <w:i/>
          <w:iCs/>
          <w:szCs w:val="24"/>
        </w:rPr>
        <w:t>or</w:t>
      </w:r>
      <w:r w:rsidRPr="00532B64">
        <w:rPr>
          <w:szCs w:val="24"/>
        </w:rPr>
        <w:t xml:space="preserve"> (ii) is a student who has not </w:t>
      </w:r>
      <w:r w:rsidR="00BC349B">
        <w:rPr>
          <w:szCs w:val="24"/>
        </w:rPr>
        <w:t xml:space="preserve">turned </w:t>
      </w:r>
      <w:r w:rsidRPr="00532B64">
        <w:rPr>
          <w:szCs w:val="24"/>
        </w:rPr>
        <w:t xml:space="preserve">age </w:t>
      </w:r>
      <w:r w:rsidR="00BC349B">
        <w:rPr>
          <w:szCs w:val="24"/>
        </w:rPr>
        <w:t>24 as of the close of such</w:t>
      </w:r>
      <w:r w:rsidRPr="00532B64">
        <w:rPr>
          <w:szCs w:val="24"/>
        </w:rPr>
        <w:t xml:space="preserve"> calendar year;</w:t>
      </w:r>
    </w:p>
    <w:p w:rsidR="001A5A84" w:rsidRPr="00532B64" w:rsidRDefault="001A5A84" w:rsidP="001A5A84">
      <w:pPr>
        <w:pStyle w:val="PC"/>
        <w:suppressAutoHyphens/>
        <w:rPr>
          <w:i/>
          <w:iCs/>
          <w:szCs w:val="24"/>
        </w:rPr>
      </w:pPr>
      <w:r w:rsidRPr="00532B64">
        <w:rPr>
          <w:szCs w:val="24"/>
        </w:rPr>
        <w:t>(4)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has</w:t>
      </w:r>
      <w:proofErr w:type="gramEnd"/>
      <w:r w:rsidRPr="00532B64">
        <w:rPr>
          <w:szCs w:val="24"/>
        </w:rPr>
        <w:t xml:space="preserve"> </w:t>
      </w:r>
      <w:r w:rsidRPr="00532B64">
        <w:rPr>
          <w:iCs/>
          <w:szCs w:val="24"/>
        </w:rPr>
        <w:t>not</w:t>
      </w:r>
      <w:r w:rsidRPr="00532B64">
        <w:rPr>
          <w:szCs w:val="24"/>
        </w:rPr>
        <w:t xml:space="preserve"> provided over one-half of his or her own support for the calendar year in which the </w:t>
      </w:r>
      <w:r w:rsidR="00BC349B">
        <w:rPr>
          <w:szCs w:val="24"/>
        </w:rPr>
        <w:t xml:space="preserve">claiming </w:t>
      </w:r>
      <w:r w:rsidRPr="00532B64">
        <w:rPr>
          <w:szCs w:val="24"/>
        </w:rPr>
        <w:t xml:space="preserve">taxpayer’s taxable year begins; </w:t>
      </w:r>
      <w:r w:rsidRPr="00532B64">
        <w:rPr>
          <w:i/>
          <w:iCs/>
          <w:szCs w:val="24"/>
        </w:rPr>
        <w:t>and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(5)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who</w:t>
      </w:r>
      <w:proofErr w:type="gramEnd"/>
      <w:r w:rsidRPr="00532B64">
        <w:rPr>
          <w:szCs w:val="24"/>
        </w:rPr>
        <w:t xml:space="preserve"> has not filed </w:t>
      </w:r>
      <w:r w:rsidR="00B12D31">
        <w:rPr>
          <w:szCs w:val="24"/>
        </w:rPr>
        <w:t xml:space="preserve">a joint tax return (other than to claim </w:t>
      </w:r>
      <w:r w:rsidRPr="00532B64">
        <w:rPr>
          <w:szCs w:val="24"/>
        </w:rPr>
        <w:t>a refund) for the taxable year.</w:t>
      </w:r>
      <w:r w:rsidR="00BC349B">
        <w:rPr>
          <w:rStyle w:val="EndnoteReference"/>
          <w:szCs w:val="24"/>
        </w:rPr>
        <w:endnoteReference w:id="4"/>
      </w:r>
    </w:p>
    <w:p w:rsidR="001A5A84" w:rsidRPr="00532B64" w:rsidRDefault="00BC349B" w:rsidP="001A5A84">
      <w:pPr>
        <w:pStyle w:val="PB"/>
        <w:suppressAutoHyphens/>
        <w:rPr>
          <w:szCs w:val="24"/>
        </w:rPr>
      </w:pPr>
      <w:r>
        <w:rPr>
          <w:szCs w:val="24"/>
        </w:rPr>
        <w:t xml:space="preserve">A </w:t>
      </w:r>
      <w:r w:rsidR="001A5A84" w:rsidRPr="00532B64">
        <w:rPr>
          <w:szCs w:val="24"/>
        </w:rPr>
        <w:t xml:space="preserve">“child” </w:t>
      </w:r>
      <w:r>
        <w:rPr>
          <w:szCs w:val="24"/>
        </w:rPr>
        <w:t xml:space="preserve">(including an adopted child) is </w:t>
      </w:r>
      <w:r w:rsidR="001A5A84" w:rsidRPr="00532B64">
        <w:rPr>
          <w:szCs w:val="24"/>
        </w:rPr>
        <w:t>an individual who is: (1) a son, daughter, stepson, or stepdaughter of the taxpayer; or (2) an “eligible foster child” of the taxpayer.</w:t>
      </w:r>
      <w:r w:rsidR="00B12D31">
        <w:rPr>
          <w:rStyle w:val="EndnoteReference"/>
          <w:szCs w:val="24"/>
        </w:rPr>
        <w:endnoteReference w:id="5"/>
      </w:r>
      <w:r w:rsidR="001A5A84" w:rsidRPr="00532B64">
        <w:rPr>
          <w:szCs w:val="24"/>
        </w:rPr>
        <w:t xml:space="preserve"> An “eligible foster child” means an individual who is placed with the taxpayer by an authorized</w:t>
      </w:r>
      <w:r w:rsidR="0086648A">
        <w:rPr>
          <w:szCs w:val="24"/>
        </w:rPr>
        <w:t xml:space="preserve"> </w:t>
      </w:r>
      <w:r w:rsidR="001A5A84" w:rsidRPr="00532B64">
        <w:rPr>
          <w:szCs w:val="24"/>
        </w:rPr>
        <w:t>placement agency or by judgment decree, or other order of any court of competent jurisdiction.</w:t>
      </w:r>
      <w:r w:rsidR="00B12D31">
        <w:rPr>
          <w:rStyle w:val="EndnoteReference"/>
          <w:szCs w:val="24"/>
        </w:rPr>
        <w:endnoteReference w:id="6"/>
      </w:r>
    </w:p>
    <w:p w:rsidR="001A5A84" w:rsidRPr="00532B64" w:rsidRDefault="001A5A84" w:rsidP="001A5A84">
      <w:pPr>
        <w:pStyle w:val="PA"/>
        <w:tabs>
          <w:tab w:val="left" w:pos="1140"/>
        </w:tabs>
        <w:suppressAutoHyphens/>
        <w:rPr>
          <w:szCs w:val="24"/>
        </w:rPr>
      </w:pPr>
      <w:proofErr w:type="gramStart"/>
      <w:r w:rsidRPr="00532B64">
        <w:rPr>
          <w:i/>
          <w:iCs/>
          <w:szCs w:val="24"/>
        </w:rPr>
        <w:t>Qualifying relative</w:t>
      </w:r>
      <w:r w:rsidRPr="00532B64">
        <w:rPr>
          <w:szCs w:val="24"/>
        </w:rPr>
        <w:t>.</w:t>
      </w:r>
      <w:proofErr w:type="gramEnd"/>
      <w:r w:rsidRPr="00532B64">
        <w:rPr>
          <w:szCs w:val="24"/>
        </w:rPr>
        <w:t xml:space="preserve"> The term “qualifying relative” means an individual:</w:t>
      </w:r>
    </w:p>
    <w:p w:rsidR="001A5A84" w:rsidRPr="00532B64" w:rsidRDefault="001A5A84" w:rsidP="001A5A84">
      <w:pPr>
        <w:pStyle w:val="PC"/>
        <w:tabs>
          <w:tab w:val="left" w:pos="1460"/>
        </w:tabs>
        <w:suppressAutoHyphens/>
        <w:rPr>
          <w:szCs w:val="24"/>
        </w:rPr>
      </w:pPr>
      <w:r w:rsidRPr="00532B64">
        <w:rPr>
          <w:szCs w:val="24"/>
        </w:rPr>
        <w:t>(1)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who</w:t>
      </w:r>
      <w:proofErr w:type="gramEnd"/>
      <w:r w:rsidRPr="00532B64">
        <w:rPr>
          <w:szCs w:val="24"/>
        </w:rPr>
        <w:t xml:space="preserve"> is the taxpayer’s: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t>(</w:t>
      </w:r>
      <w:proofErr w:type="spellStart"/>
      <w:r w:rsidRPr="00532B64">
        <w:rPr>
          <w:szCs w:val="24"/>
        </w:rPr>
        <w:t>i</w:t>
      </w:r>
      <w:proofErr w:type="spellEnd"/>
      <w:r w:rsidRPr="00532B64">
        <w:rPr>
          <w:szCs w:val="24"/>
        </w:rPr>
        <w:t>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child</w:t>
      </w:r>
      <w:proofErr w:type="gramEnd"/>
      <w:r w:rsidR="00B12D31">
        <w:rPr>
          <w:szCs w:val="24"/>
        </w:rPr>
        <w:t xml:space="preserve"> (who is not otherwise a “qualifying child”)</w:t>
      </w:r>
      <w:r w:rsidRPr="00532B64">
        <w:rPr>
          <w:szCs w:val="24"/>
        </w:rPr>
        <w:t xml:space="preserve"> or a descendant of a child;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t>(ii)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brother</w:t>
      </w:r>
      <w:proofErr w:type="gramEnd"/>
      <w:r w:rsidRPr="00532B64">
        <w:rPr>
          <w:szCs w:val="24"/>
        </w:rPr>
        <w:t>, sister, stepbrother, or stepsister;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t>(iii)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father</w:t>
      </w:r>
      <w:proofErr w:type="gramEnd"/>
      <w:r w:rsidRPr="00532B64">
        <w:rPr>
          <w:szCs w:val="24"/>
        </w:rPr>
        <w:t xml:space="preserve"> or mother or an ancestor of either, or stepfather or stepmother;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lastRenderedPageBreak/>
        <w:t>(iv)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son</w:t>
      </w:r>
      <w:proofErr w:type="gramEnd"/>
      <w:r w:rsidRPr="00532B64">
        <w:rPr>
          <w:szCs w:val="24"/>
        </w:rPr>
        <w:t xml:space="preserve"> or daughter of a brother or sister of the taxpayer;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t>(v)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brother</w:t>
      </w:r>
      <w:proofErr w:type="gramEnd"/>
      <w:r w:rsidRPr="00532B64">
        <w:rPr>
          <w:szCs w:val="24"/>
        </w:rPr>
        <w:t xml:space="preserve"> or sister of the father or mother of the taxpayer</w:t>
      </w:r>
      <w:r>
        <w:rPr>
          <w:szCs w:val="24"/>
        </w:rPr>
        <w:t>;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t>(vi)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son-in-law</w:t>
      </w:r>
      <w:proofErr w:type="gramEnd"/>
      <w:r w:rsidRPr="00532B64">
        <w:rPr>
          <w:szCs w:val="24"/>
        </w:rPr>
        <w:t>, daughter-in-law, father-in-law, mother-in-law, brother-in-law, or sister-in-law; or</w:t>
      </w:r>
    </w:p>
    <w:p w:rsidR="001A5A84" w:rsidRPr="00532B64" w:rsidRDefault="001A5A84" w:rsidP="001A5A84">
      <w:pPr>
        <w:pStyle w:val="PF"/>
        <w:tabs>
          <w:tab w:val="left" w:pos="1140"/>
        </w:tabs>
        <w:rPr>
          <w:szCs w:val="24"/>
        </w:rPr>
      </w:pPr>
      <w:r w:rsidRPr="00532B64">
        <w:rPr>
          <w:szCs w:val="24"/>
        </w:rPr>
        <w:t>(vii)</w:t>
      </w:r>
      <w:r w:rsidR="00B12D31">
        <w:rPr>
          <w:szCs w:val="24"/>
        </w:rPr>
        <w:t xml:space="preserve"> </w:t>
      </w:r>
      <w:proofErr w:type="gramStart"/>
      <w:r w:rsidRPr="00532B64">
        <w:rPr>
          <w:szCs w:val="24"/>
        </w:rPr>
        <w:t>an</w:t>
      </w:r>
      <w:proofErr w:type="gramEnd"/>
      <w:r w:rsidRPr="00532B64">
        <w:rPr>
          <w:szCs w:val="24"/>
        </w:rPr>
        <w:t xml:space="preserve"> individual (other than a spouse) who, for the taxable year of the taxpayer, has the same principal place of abode as the taxpayer and is a member of the taxpayer’s household.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(2)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whose</w:t>
      </w:r>
      <w:proofErr w:type="gramEnd"/>
      <w:r w:rsidRPr="00532B64">
        <w:rPr>
          <w:szCs w:val="24"/>
        </w:rPr>
        <w:t xml:space="preserve"> gross income for the calendar year in which the taxable year begins is less than the exemption amount;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(3)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for</w:t>
      </w:r>
      <w:proofErr w:type="gramEnd"/>
      <w:r w:rsidRPr="00532B64">
        <w:rPr>
          <w:szCs w:val="24"/>
        </w:rPr>
        <w:t xml:space="preserve"> whom the taxpayer provides over one-half of the individual’s support for the calendar year in which the taxable year begins; </w:t>
      </w:r>
      <w:r w:rsidRPr="00532B64">
        <w:rPr>
          <w:i/>
          <w:iCs/>
          <w:szCs w:val="24"/>
        </w:rPr>
        <w:t>and</w:t>
      </w:r>
    </w:p>
    <w:p w:rsidR="001A5A84" w:rsidRPr="00532B64" w:rsidRDefault="001A5A84" w:rsidP="001A5A84">
      <w:pPr>
        <w:pStyle w:val="PC"/>
        <w:suppressAutoHyphens/>
        <w:rPr>
          <w:szCs w:val="24"/>
        </w:rPr>
      </w:pPr>
      <w:r w:rsidRPr="00532B64">
        <w:rPr>
          <w:szCs w:val="24"/>
        </w:rPr>
        <w:t>(4)</w:t>
      </w:r>
      <w:r w:rsidRPr="00532B64">
        <w:rPr>
          <w:szCs w:val="24"/>
        </w:rPr>
        <w:tab/>
      </w:r>
      <w:proofErr w:type="gramStart"/>
      <w:r w:rsidRPr="00532B64">
        <w:rPr>
          <w:szCs w:val="24"/>
        </w:rPr>
        <w:t>who</w:t>
      </w:r>
      <w:proofErr w:type="gramEnd"/>
      <w:r w:rsidRPr="00532B64">
        <w:rPr>
          <w:szCs w:val="24"/>
        </w:rPr>
        <w:t xml:space="preserve"> is not a qualifying child of the taxpayer or of any other taxpayer for any taxable year beginning in the calendar year in which the taxable year begins.</w:t>
      </w:r>
      <w:r w:rsidR="00B12D31">
        <w:rPr>
          <w:rStyle w:val="EndnoteReference"/>
          <w:szCs w:val="24"/>
        </w:rPr>
        <w:endnoteReference w:id="7"/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58" w:rsidRDefault="004F1358" w:rsidP="006F074C">
      <w:r>
        <w:separator/>
      </w:r>
    </w:p>
  </w:endnote>
  <w:endnote w:type="continuationSeparator" w:id="0">
    <w:p w:rsidR="004F1358" w:rsidRDefault="004F1358" w:rsidP="006F074C">
      <w:r>
        <w:continuationSeparator/>
      </w:r>
    </w:p>
  </w:endnote>
  <w:endnote w:id="1">
    <w:p w:rsidR="00675B7A" w:rsidRPr="0086648A" w:rsidRDefault="00675B7A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151, 152.</w:t>
      </w:r>
    </w:p>
  </w:endnote>
  <w:endnote w:id="2">
    <w:p w:rsidR="00675B7A" w:rsidRPr="0086648A" w:rsidRDefault="00675B7A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151(e</w:t>
      </w:r>
      <w:proofErr w:type="gramEnd"/>
      <w:r>
        <w:rPr>
          <w:sz w:val="16"/>
          <w:szCs w:val="16"/>
        </w:rPr>
        <w:t>).</w:t>
      </w:r>
    </w:p>
  </w:endnote>
  <w:endnote w:id="3">
    <w:p w:rsidR="00675B7A" w:rsidRPr="0086648A" w:rsidRDefault="00675B7A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152(a</w:t>
      </w:r>
      <w:proofErr w:type="gramEnd"/>
      <w:r>
        <w:rPr>
          <w:sz w:val="16"/>
          <w:szCs w:val="16"/>
        </w:rPr>
        <w:t>).</w:t>
      </w:r>
    </w:p>
  </w:endnote>
  <w:endnote w:id="4">
    <w:p w:rsidR="00BC349B" w:rsidRPr="0086648A" w:rsidRDefault="00BC349B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152(c</w:t>
      </w:r>
      <w:proofErr w:type="gramEnd"/>
      <w:r>
        <w:rPr>
          <w:sz w:val="16"/>
          <w:szCs w:val="16"/>
        </w:rPr>
        <w:t>).</w:t>
      </w:r>
    </w:p>
  </w:endnote>
  <w:endnote w:id="5">
    <w:p w:rsidR="00B12D31" w:rsidRPr="0086648A" w:rsidRDefault="00B12D31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152(f</w:t>
      </w:r>
      <w:proofErr w:type="gramEnd"/>
      <w:r>
        <w:rPr>
          <w:sz w:val="16"/>
          <w:szCs w:val="16"/>
        </w:rPr>
        <w:t>).</w:t>
      </w:r>
    </w:p>
  </w:endnote>
  <w:endnote w:id="6">
    <w:p w:rsidR="00B12D31" w:rsidRPr="0086648A" w:rsidRDefault="00B12D31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 </w:t>
      </w:r>
      <w:r>
        <w:rPr>
          <w:sz w:val="16"/>
          <w:szCs w:val="16"/>
        </w:rPr>
        <w:t>IRC Sec. 152(f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3).</w:t>
      </w:r>
    </w:p>
  </w:endnote>
  <w:endnote w:id="7">
    <w:p w:rsidR="00B12D31" w:rsidRPr="0086648A" w:rsidRDefault="00B12D31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152(d</w:t>
      </w:r>
      <w:proofErr w:type="gramEnd"/>
      <w:r>
        <w:rPr>
          <w:sz w:val="16"/>
          <w:szCs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58" w:rsidRDefault="004F1358" w:rsidP="006F074C">
      <w:r>
        <w:separator/>
      </w:r>
    </w:p>
  </w:footnote>
  <w:footnote w:type="continuationSeparator" w:id="0">
    <w:p w:rsidR="004F1358" w:rsidRDefault="004F1358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16A2A"/>
    <w:rsid w:val="001244E9"/>
    <w:rsid w:val="00131AC2"/>
    <w:rsid w:val="00141FAB"/>
    <w:rsid w:val="00146A0E"/>
    <w:rsid w:val="0017741C"/>
    <w:rsid w:val="00197132"/>
    <w:rsid w:val="0019748C"/>
    <w:rsid w:val="001A2727"/>
    <w:rsid w:val="001A5A84"/>
    <w:rsid w:val="001D0595"/>
    <w:rsid w:val="001E1AC3"/>
    <w:rsid w:val="001F52F4"/>
    <w:rsid w:val="002000C6"/>
    <w:rsid w:val="00202A9B"/>
    <w:rsid w:val="00202F50"/>
    <w:rsid w:val="002040BD"/>
    <w:rsid w:val="00212ED8"/>
    <w:rsid w:val="00222E42"/>
    <w:rsid w:val="00237090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01CE3"/>
    <w:rsid w:val="00310C38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C3EFE"/>
    <w:rsid w:val="003F00D7"/>
    <w:rsid w:val="003F05E5"/>
    <w:rsid w:val="00400EEA"/>
    <w:rsid w:val="004167F4"/>
    <w:rsid w:val="00427B74"/>
    <w:rsid w:val="00435B94"/>
    <w:rsid w:val="004377AE"/>
    <w:rsid w:val="00456493"/>
    <w:rsid w:val="00474C65"/>
    <w:rsid w:val="00484642"/>
    <w:rsid w:val="00487A39"/>
    <w:rsid w:val="004A4CD2"/>
    <w:rsid w:val="004C5F26"/>
    <w:rsid w:val="004E7836"/>
    <w:rsid w:val="004F1358"/>
    <w:rsid w:val="00501B90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02463"/>
    <w:rsid w:val="006152E6"/>
    <w:rsid w:val="0061599B"/>
    <w:rsid w:val="00616F44"/>
    <w:rsid w:val="00664BF0"/>
    <w:rsid w:val="00667AE6"/>
    <w:rsid w:val="00675B7A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20D09"/>
    <w:rsid w:val="008316E9"/>
    <w:rsid w:val="00835C56"/>
    <w:rsid w:val="00844B76"/>
    <w:rsid w:val="00851698"/>
    <w:rsid w:val="0086648A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B12D31"/>
    <w:rsid w:val="00B15D08"/>
    <w:rsid w:val="00B23A24"/>
    <w:rsid w:val="00B47F6C"/>
    <w:rsid w:val="00B51ACE"/>
    <w:rsid w:val="00B97105"/>
    <w:rsid w:val="00BA22F5"/>
    <w:rsid w:val="00BC19F7"/>
    <w:rsid w:val="00BC349B"/>
    <w:rsid w:val="00BC5792"/>
    <w:rsid w:val="00BC6F51"/>
    <w:rsid w:val="00BE317F"/>
    <w:rsid w:val="00C15AF0"/>
    <w:rsid w:val="00C1615A"/>
    <w:rsid w:val="00C3032D"/>
    <w:rsid w:val="00C360BE"/>
    <w:rsid w:val="00C5496F"/>
    <w:rsid w:val="00C64FEC"/>
    <w:rsid w:val="00C70600"/>
    <w:rsid w:val="00C7768E"/>
    <w:rsid w:val="00CB0AF1"/>
    <w:rsid w:val="00CD22F0"/>
    <w:rsid w:val="00CE780E"/>
    <w:rsid w:val="00CF5092"/>
    <w:rsid w:val="00D0195D"/>
    <w:rsid w:val="00D418E3"/>
    <w:rsid w:val="00D51611"/>
    <w:rsid w:val="00D72E05"/>
    <w:rsid w:val="00D73FC0"/>
    <w:rsid w:val="00D81626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8579E"/>
    <w:rsid w:val="00EA0B82"/>
    <w:rsid w:val="00EA727D"/>
    <w:rsid w:val="00EB0911"/>
    <w:rsid w:val="00EB2D4F"/>
    <w:rsid w:val="00EB47DD"/>
    <w:rsid w:val="00EB7648"/>
    <w:rsid w:val="00EC085E"/>
    <w:rsid w:val="00EC6008"/>
    <w:rsid w:val="00ED2B32"/>
    <w:rsid w:val="00EE366E"/>
    <w:rsid w:val="00EE4324"/>
    <w:rsid w:val="00F16B3F"/>
    <w:rsid w:val="00F5695F"/>
    <w:rsid w:val="00F66D50"/>
    <w:rsid w:val="00F96BEC"/>
    <w:rsid w:val="00F9714F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B7648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B764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7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B764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B7648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B7648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B7648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B7648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B7648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B7648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B7648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B7648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B7648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B7648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B7648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B7648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B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6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B7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B7648"/>
    <w:pPr>
      <w:spacing w:before="144"/>
      <w:jc w:val="both"/>
    </w:pPr>
    <w:rPr>
      <w:noProof/>
    </w:rPr>
  </w:style>
  <w:style w:type="paragraph" w:customStyle="1" w:styleId="PD">
    <w:name w:val="PD"/>
    <w:rsid w:val="00EB7648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B7648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B7648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B7648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B7648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B7648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B7648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B7648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B7648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B7648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B7648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B7648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B7648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B7648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B7648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B7648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B7648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B7648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B7648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B7648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B7648"/>
    <w:rPr>
      <w:rFonts w:ascii="Perpetua Std" w:hAnsi="Perpetua Std"/>
    </w:rPr>
  </w:style>
  <w:style w:type="paragraph" w:styleId="NoSpacing">
    <w:name w:val="No Spacing"/>
    <w:qFormat/>
    <w:rsid w:val="00EB7648"/>
    <w:rPr>
      <w:rFonts w:ascii="Perpetua" w:hAnsi="Perpetua"/>
    </w:rPr>
  </w:style>
  <w:style w:type="paragraph" w:customStyle="1" w:styleId="PCA">
    <w:name w:val="PCA"/>
    <w:rsid w:val="00EB7648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B7648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B7648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675B7A"/>
  </w:style>
  <w:style w:type="character" w:customStyle="1" w:styleId="EndnoteTextChar">
    <w:name w:val="Endnote Text Char"/>
    <w:basedOn w:val="DefaultParagraphFont"/>
    <w:link w:val="EndnoteText"/>
    <w:semiHidden/>
    <w:rsid w:val="00675B7A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67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B7648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B764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B7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B764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B7648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B7648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B7648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B7648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B7648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B7648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B7648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B7648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B7648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B7648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B7648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B7648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B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6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B7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B7648"/>
    <w:pPr>
      <w:spacing w:before="144"/>
      <w:jc w:val="both"/>
    </w:pPr>
    <w:rPr>
      <w:noProof/>
    </w:rPr>
  </w:style>
  <w:style w:type="paragraph" w:customStyle="1" w:styleId="PD">
    <w:name w:val="PD"/>
    <w:rsid w:val="00EB7648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B7648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B7648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B7648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B7648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B7648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B7648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B7648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B7648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B7648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B7648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B7648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B7648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B7648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B7648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B7648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B7648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B7648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B7648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B7648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B7648"/>
    <w:rPr>
      <w:rFonts w:ascii="Perpetua Std" w:hAnsi="Perpetua Std"/>
    </w:rPr>
  </w:style>
  <w:style w:type="paragraph" w:styleId="NoSpacing">
    <w:name w:val="No Spacing"/>
    <w:qFormat/>
    <w:rsid w:val="00EB7648"/>
    <w:rPr>
      <w:rFonts w:ascii="Perpetua" w:hAnsi="Perpetua"/>
    </w:rPr>
  </w:style>
  <w:style w:type="paragraph" w:customStyle="1" w:styleId="PCA">
    <w:name w:val="PCA"/>
    <w:rsid w:val="00EB7648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B7648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B7648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675B7A"/>
  </w:style>
  <w:style w:type="character" w:customStyle="1" w:styleId="EndnoteTextChar">
    <w:name w:val="Endnote Text Char"/>
    <w:basedOn w:val="DefaultParagraphFont"/>
    <w:link w:val="EndnoteText"/>
    <w:semiHidden/>
    <w:rsid w:val="00675B7A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67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0815-9F8B-475A-8FED-FFB27ED6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8513. What is the dependency exemption for qualifying children? When is a taxpayer eligible to claim this dependency exemption?</vt:lpstr>
    </vt:vector>
  </TitlesOfParts>
  <Company>Summit Business Media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8513. What is the dependency exemption for qualifying children? When is a taxpayer eligible to claim this dependency exemption?</dc:title>
  <dc:creator>Alexis Long</dc:creator>
  <cp:lastModifiedBy>rcline</cp:lastModifiedBy>
  <cp:revision>2</cp:revision>
  <cp:lastPrinted>2014-08-12T18:12:00Z</cp:lastPrinted>
  <dcterms:created xsi:type="dcterms:W3CDTF">2014-08-20T14:38:00Z</dcterms:created>
  <dcterms:modified xsi:type="dcterms:W3CDTF">2014-08-20T14:38:00Z</dcterms:modified>
</cp:coreProperties>
</file>