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2" w:rsidRDefault="00665B52" w:rsidP="007865B2">
      <w:pPr>
        <w:pStyle w:val="PA"/>
        <w:suppressAutoHyphens/>
      </w:pPr>
    </w:p>
    <w:p w:rsidR="00665B52" w:rsidRPr="00665B52" w:rsidRDefault="00A74484" w:rsidP="007865B2">
      <w:pPr>
        <w:pStyle w:val="PA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8510.  Is a</w:t>
      </w:r>
      <w:r w:rsidR="00665B52" w:rsidRPr="00665B52">
        <w:rPr>
          <w:b/>
          <w:sz w:val="28"/>
          <w:szCs w:val="28"/>
        </w:rPr>
        <w:t xml:space="preserve"> taxpayer’s discharge of indebtedness </w:t>
      </w:r>
      <w:r>
        <w:rPr>
          <w:b/>
          <w:sz w:val="28"/>
          <w:szCs w:val="28"/>
        </w:rPr>
        <w:t>taxable?</w:t>
      </w:r>
    </w:p>
    <w:p w:rsidR="00427B74" w:rsidRPr="00532B64" w:rsidRDefault="00A74484" w:rsidP="007865B2">
      <w:pPr>
        <w:pStyle w:val="PA"/>
        <w:suppressAutoHyphens/>
      </w:pPr>
      <w:r>
        <w:t>If a creditor of a taxpayer disc</w:t>
      </w:r>
      <w:r w:rsidR="00343519">
        <w:t>harges all or part of a</w:t>
      </w:r>
      <w:r>
        <w:t xml:space="preserve"> debt for no consideration, the amount of debt discharged is potentially taxable to the taxpayer.</w:t>
      </w:r>
      <w:r w:rsidR="007865B2" w:rsidRPr="00532B64">
        <w:rPr>
          <w:vertAlign w:val="superscript"/>
        </w:rPr>
        <w:footnoteReference w:id="1"/>
      </w:r>
      <w:r w:rsidR="007865B2" w:rsidRPr="00532B64">
        <w:t xml:space="preserve"> However, </w:t>
      </w:r>
      <w:r>
        <w:t xml:space="preserve">such </w:t>
      </w:r>
      <w:r w:rsidR="007865B2" w:rsidRPr="00532B64">
        <w:t>debt discharge is excluded from gross income</w:t>
      </w:r>
      <w:r>
        <w:t xml:space="preserve">; and, thus not taxable, </w:t>
      </w:r>
      <w:r w:rsidR="007865B2" w:rsidRPr="00532B64">
        <w:t xml:space="preserve">if the discharge: (1) occurs in a </w:t>
      </w:r>
      <w:r>
        <w:t>bankruptcy</w:t>
      </w:r>
      <w:r w:rsidR="007865B2" w:rsidRPr="00532B64">
        <w:t>; (2) occurs when the taxpayer is insolvent</w:t>
      </w:r>
      <w:r>
        <w:t xml:space="preserve"> and </w:t>
      </w:r>
      <w:r w:rsidR="00BB0419">
        <w:t xml:space="preserve">the discharge </w:t>
      </w:r>
      <w:r>
        <w:t>does not render the taxpayer solvent</w:t>
      </w:r>
      <w:r w:rsidR="007865B2" w:rsidRPr="00532B64">
        <w:t>; (3) the indebtedness discharged is “qualified farm indebtedness</w:t>
      </w:r>
      <w:r w:rsidR="009702EF">
        <w:t>;</w:t>
      </w:r>
      <w:r w:rsidR="007865B2" w:rsidRPr="00532B64">
        <w:t>”</w:t>
      </w:r>
      <w:r w:rsidR="007865B2" w:rsidRPr="00532B64">
        <w:rPr>
          <w:vertAlign w:val="superscript"/>
        </w:rPr>
        <w:footnoteReference w:id="2"/>
      </w:r>
      <w:r w:rsidR="007865B2" w:rsidRPr="00532B64">
        <w:t xml:space="preserve"> (4) in the case of a taxpayer other than a C corporation, the indebtedness discharged is “qualified real property business indebtedness</w:t>
      </w:r>
      <w:r w:rsidR="009702EF">
        <w:t>;</w:t>
      </w:r>
      <w:r w:rsidR="007865B2" w:rsidRPr="00532B64">
        <w:t>” or (5) the indebtedness discharged is “qualified principal residence indebtedness” (see “Mortgage Forgiveness Debt Relief Act of 2007,” below) that is discharged before January 1, 2014.</w:t>
      </w:r>
      <w:r w:rsidR="007865B2" w:rsidRPr="00532B64">
        <w:rPr>
          <w:vertAlign w:val="superscript"/>
        </w:rPr>
        <w:footnoteReference w:id="3"/>
      </w:r>
      <w:r w:rsidR="00BB0419">
        <w:t xml:space="preserve">  So unless Congress reinstates the exclusion for the discharge of “qualified principal residence indebtedness,” it would not apply. </w:t>
      </w:r>
    </w:p>
    <w:p w:rsidR="00A74484" w:rsidRDefault="00BB0419" w:rsidP="007865B2">
      <w:pPr>
        <w:pStyle w:val="PA"/>
        <w:suppressAutoHyphens/>
      </w:pPr>
      <w:r>
        <w:t>Importantly, as stated above, “discharge of debt income” is triggere</w:t>
      </w:r>
      <w:r w:rsidR="00343519">
        <w:t>d when a debt is forgiven for no</w:t>
      </w:r>
      <w:r>
        <w:t xml:space="preserve"> consideration.  So, if any consideration is involved, it would </w:t>
      </w:r>
      <w:r w:rsidR="00A74484">
        <w:t xml:space="preserve">not </w:t>
      </w:r>
      <w:r>
        <w:t xml:space="preserve">be </w:t>
      </w:r>
      <w:r w:rsidR="00A74484">
        <w:t xml:space="preserve">considered discharge of indebtedness income.  </w:t>
      </w:r>
      <w:r>
        <w:t xml:space="preserve">Significantly, under those circumstances, the so-called discharge is completely taxable as none of the above exclusions would apply.  </w:t>
      </w:r>
    </w:p>
    <w:p w:rsidR="003B1DF7" w:rsidRPr="00532B64" w:rsidRDefault="00343519" w:rsidP="007865B2">
      <w:pPr>
        <w:pStyle w:val="PA"/>
        <w:suppressAutoHyphens/>
      </w:pPr>
      <w:r>
        <w:t xml:space="preserve">Example: </w:t>
      </w:r>
      <w:r w:rsidR="00A74484">
        <w:t xml:space="preserve"> </w:t>
      </w:r>
      <w:r w:rsidR="00481FFA">
        <w:t xml:space="preserve">Asher borrows $10,000 from his employer.  Instead of repaying the loan, his employer forgives the debt after Asher works 200 hours of overtime.  </w:t>
      </w:r>
      <w:r w:rsidR="00BB0419">
        <w:t xml:space="preserve">In other words, it is as if the employer paid Asher $10,000 for his services; which, Asher, in turn </w:t>
      </w:r>
      <w:r w:rsidR="00F23AED">
        <w:t>used to repay the loan.  Thu</w:t>
      </w:r>
      <w:r w:rsidR="00E85EA8">
        <w:t>s, the discharge of the loan is</w:t>
      </w:r>
      <w:r w:rsidR="00F23AED">
        <w:t xml:space="preserve"> essentially compensation for services, or taxable wage income (not discharge of debt income).  </w:t>
      </w:r>
    </w:p>
    <w:p w:rsidR="00427B74" w:rsidRPr="00532B64" w:rsidRDefault="00F23AED" w:rsidP="007865B2">
      <w:pPr>
        <w:pStyle w:val="PA"/>
        <w:suppressAutoHyphens/>
      </w:pPr>
      <w:r>
        <w:t xml:space="preserve">In some cases, even though consideration is involved, the discharge of debt may not necessarily be </w:t>
      </w:r>
      <w:r w:rsidR="00774AB4">
        <w:t>taxable</w:t>
      </w:r>
      <w:r w:rsidR="00343519">
        <w:t>.  For example, suppose</w:t>
      </w:r>
      <w:r>
        <w:t xml:space="preserve"> a shareholder of a corporation loans $10,000 to the c</w:t>
      </w:r>
      <w:r w:rsidR="00343519">
        <w:t>orporation.  Subsequently, the shareholder</w:t>
      </w:r>
      <w:r>
        <w:t xml:space="preserve"> forgives the loan for no co</w:t>
      </w:r>
      <w:r w:rsidR="00343519">
        <w:t>nsideration.  Because the loan comes from someone with</w:t>
      </w:r>
      <w:r>
        <w:t xml:space="preserve"> shareholder status, the proceeds of the forgiven loan that remain in the corporation </w:t>
      </w:r>
      <w:r w:rsidR="00343519">
        <w:t>are</w:t>
      </w:r>
      <w:r>
        <w:t xml:space="preserve"> essentially a capital contribution to the corporation.  It is as if the corp</w:t>
      </w:r>
      <w:r w:rsidR="00343519">
        <w:t>oration repaid the loan to the shareholder</w:t>
      </w:r>
      <w:r>
        <w:t>, who, in turn, made a capital contribution</w:t>
      </w:r>
      <w:r w:rsidR="00343519">
        <w:t xml:space="preserve"> to the corporation.  C</w:t>
      </w:r>
      <w:bookmarkStart w:id="0" w:name="_GoBack"/>
      <w:bookmarkEnd w:id="0"/>
      <w:r>
        <w:t>ontributions to a corporation are not taxable to the corporation</w:t>
      </w:r>
      <w:r w:rsidR="00774AB4">
        <w:t>.  So in this case, discharge of debt that is the equivalent of a capital contribution does not trigger taxable income.</w:t>
      </w:r>
      <w:r w:rsidR="007865B2" w:rsidRPr="00532B64">
        <w:rPr>
          <w:vertAlign w:val="superscript"/>
        </w:rPr>
        <w:footnoteReference w:id="4"/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AB" w:rsidRDefault="003E6DAB" w:rsidP="006F074C">
      <w:r>
        <w:separator/>
      </w:r>
    </w:p>
  </w:endnote>
  <w:endnote w:type="continuationSeparator" w:id="0">
    <w:p w:rsidR="003E6DAB" w:rsidRDefault="003E6DAB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AB" w:rsidRDefault="003E6DAB" w:rsidP="006F074C">
      <w:r>
        <w:separator/>
      </w:r>
    </w:p>
  </w:footnote>
  <w:footnote w:type="continuationSeparator" w:id="0">
    <w:p w:rsidR="003E6DAB" w:rsidRDefault="003E6DAB" w:rsidP="006F074C">
      <w:r>
        <w:continuationSeparator/>
      </w:r>
    </w:p>
  </w:footnote>
  <w:footnote w:id="1">
    <w:p w:rsidR="00D73FC0" w:rsidRPr="001909AB" w:rsidRDefault="00D73FC0" w:rsidP="00FE5D9D">
      <w:pPr>
        <w:pStyle w:val="PQ"/>
      </w:pPr>
      <w:r w:rsidRPr="001909AB">
        <w:footnoteRef/>
      </w:r>
      <w:r w:rsidR="00F16B3F">
        <w:t>.</w:t>
      </w:r>
      <w:r w:rsidR="00F16B3F">
        <w:tab/>
      </w:r>
      <w:r w:rsidR="00FE5D9D" w:rsidRPr="001909AB">
        <w:t>IRC Sec. 61(a</w:t>
      </w:r>
      <w:proofErr w:type="gramStart"/>
      <w:r w:rsidR="00FE5D9D" w:rsidRPr="001909AB">
        <w:t>)(</w:t>
      </w:r>
      <w:proofErr w:type="gramEnd"/>
      <w:r w:rsidR="00FE5D9D" w:rsidRPr="001909AB">
        <w:t>12).</w:t>
      </w:r>
    </w:p>
  </w:footnote>
  <w:footnote w:id="2">
    <w:p w:rsidR="00D73FC0" w:rsidRPr="001909AB" w:rsidRDefault="00D73FC0" w:rsidP="00FE5D9D">
      <w:pPr>
        <w:pStyle w:val="PQ"/>
      </w:pPr>
      <w:r w:rsidRPr="001909AB">
        <w:footnoteRef/>
      </w:r>
      <w:r w:rsidR="00F16B3F">
        <w:t>.</w:t>
      </w:r>
      <w:r w:rsidR="00F16B3F">
        <w:tab/>
      </w:r>
      <w:r w:rsidR="00FE5D9D" w:rsidRPr="001909AB">
        <w:t>See IRC Section 108(g</w:t>
      </w:r>
      <w:proofErr w:type="gramStart"/>
      <w:r w:rsidR="00FE5D9D" w:rsidRPr="001909AB">
        <w:t>)(</w:t>
      </w:r>
      <w:proofErr w:type="gramEnd"/>
      <w:r w:rsidR="00FE5D9D" w:rsidRPr="001909AB">
        <w:t>2)</w:t>
      </w:r>
      <w:r w:rsidR="00FE5D9D">
        <w:t>, as amended by ATRA</w:t>
      </w:r>
      <w:r w:rsidR="00FE5D9D" w:rsidRPr="001909AB">
        <w:t>.</w:t>
      </w:r>
    </w:p>
  </w:footnote>
  <w:footnote w:id="3">
    <w:p w:rsidR="00D73FC0" w:rsidRPr="001909AB" w:rsidRDefault="00D73FC0" w:rsidP="00FE5D9D">
      <w:pPr>
        <w:pStyle w:val="PQ"/>
      </w:pPr>
      <w:r w:rsidRPr="001909AB">
        <w:footnoteRef/>
      </w:r>
      <w:r w:rsidR="00F16B3F">
        <w:t>.</w:t>
      </w:r>
      <w:r w:rsidR="00F16B3F">
        <w:tab/>
      </w:r>
      <w:r w:rsidR="00FE5D9D" w:rsidRPr="001909AB">
        <w:t>IRC Sections 108(c)(3), 108(a)(1)(A), 108(a)(1)(B), 108(a)(1)(C), 108(a)(1)(D); IRC Sec. 108(a)(1)(E).</w:t>
      </w:r>
    </w:p>
  </w:footnote>
  <w:footnote w:id="4">
    <w:p w:rsidR="00D73FC0" w:rsidRPr="001909AB" w:rsidRDefault="00D73FC0" w:rsidP="00FE5D9D">
      <w:pPr>
        <w:pStyle w:val="PQ"/>
      </w:pPr>
      <w:r w:rsidRPr="001909AB">
        <w:footnoteRef/>
      </w:r>
      <w:r w:rsidR="00F16B3F">
        <w:t>.</w:t>
      </w:r>
      <w:r w:rsidR="00F16B3F">
        <w:tab/>
      </w:r>
      <w:r w:rsidR="00FE5D9D" w:rsidRPr="001909AB">
        <w:t>Treas. Reg. §1.61-12(a).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018A"/>
    <w:rsid w:val="00083567"/>
    <w:rsid w:val="00083A7F"/>
    <w:rsid w:val="000925AB"/>
    <w:rsid w:val="00097038"/>
    <w:rsid w:val="000A2B66"/>
    <w:rsid w:val="000A6CAB"/>
    <w:rsid w:val="000B6372"/>
    <w:rsid w:val="000D258D"/>
    <w:rsid w:val="000D6146"/>
    <w:rsid w:val="000E6BBB"/>
    <w:rsid w:val="000F6087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654D5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43519"/>
    <w:rsid w:val="00355BC4"/>
    <w:rsid w:val="00360557"/>
    <w:rsid w:val="00377919"/>
    <w:rsid w:val="003B1DF7"/>
    <w:rsid w:val="003B450F"/>
    <w:rsid w:val="003B65D8"/>
    <w:rsid w:val="003C1548"/>
    <w:rsid w:val="003E6DAB"/>
    <w:rsid w:val="003F00D7"/>
    <w:rsid w:val="003F05E5"/>
    <w:rsid w:val="00406770"/>
    <w:rsid w:val="00427B74"/>
    <w:rsid w:val="00435B94"/>
    <w:rsid w:val="00456493"/>
    <w:rsid w:val="00474C65"/>
    <w:rsid w:val="00481FFA"/>
    <w:rsid w:val="00484642"/>
    <w:rsid w:val="00487A39"/>
    <w:rsid w:val="004A3C2C"/>
    <w:rsid w:val="004B65F8"/>
    <w:rsid w:val="004C5F26"/>
    <w:rsid w:val="004E7836"/>
    <w:rsid w:val="00501B90"/>
    <w:rsid w:val="00511E10"/>
    <w:rsid w:val="00521FCB"/>
    <w:rsid w:val="00532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64BF0"/>
    <w:rsid w:val="00665B52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74AB4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02EF"/>
    <w:rsid w:val="0097483E"/>
    <w:rsid w:val="009938E4"/>
    <w:rsid w:val="009C73DD"/>
    <w:rsid w:val="009F75A1"/>
    <w:rsid w:val="00A02AF1"/>
    <w:rsid w:val="00A03817"/>
    <w:rsid w:val="00A05FEA"/>
    <w:rsid w:val="00A2685C"/>
    <w:rsid w:val="00A268AC"/>
    <w:rsid w:val="00A26B7A"/>
    <w:rsid w:val="00A44BAD"/>
    <w:rsid w:val="00A46971"/>
    <w:rsid w:val="00A74484"/>
    <w:rsid w:val="00A82E6D"/>
    <w:rsid w:val="00A8368F"/>
    <w:rsid w:val="00A879E3"/>
    <w:rsid w:val="00B15D08"/>
    <w:rsid w:val="00B47F6C"/>
    <w:rsid w:val="00B97105"/>
    <w:rsid w:val="00BA22F5"/>
    <w:rsid w:val="00BB0419"/>
    <w:rsid w:val="00BC19F7"/>
    <w:rsid w:val="00BC5792"/>
    <w:rsid w:val="00BC6F51"/>
    <w:rsid w:val="00BE317F"/>
    <w:rsid w:val="00C15AF0"/>
    <w:rsid w:val="00C1615A"/>
    <w:rsid w:val="00C3032D"/>
    <w:rsid w:val="00C360BE"/>
    <w:rsid w:val="00C64FEC"/>
    <w:rsid w:val="00C7768E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8579E"/>
    <w:rsid w:val="00E85EA8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23AED"/>
    <w:rsid w:val="00F66D50"/>
    <w:rsid w:val="00F93C18"/>
    <w:rsid w:val="00F9612B"/>
    <w:rsid w:val="00F96BEC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9702EF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9702E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702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702E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9702EF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9702EF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9702EF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9702EF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9702EF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9702EF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9702EF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9702EF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9702EF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9702EF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9702EF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9702EF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97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02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9702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9702EF"/>
    <w:pPr>
      <w:spacing w:before="144"/>
      <w:jc w:val="both"/>
    </w:pPr>
    <w:rPr>
      <w:noProof/>
    </w:rPr>
  </w:style>
  <w:style w:type="paragraph" w:customStyle="1" w:styleId="PD">
    <w:name w:val="PD"/>
    <w:rsid w:val="009702EF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9702EF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9702EF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9702EF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9702EF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9702EF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9702EF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9702EF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9702EF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9702EF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9702EF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9702EF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9702EF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9702EF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9702EF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9702EF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9702EF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9702EF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9702EF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9702EF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9702EF"/>
    <w:rPr>
      <w:rFonts w:ascii="Perpetua Std" w:hAnsi="Perpetua Std"/>
    </w:rPr>
  </w:style>
  <w:style w:type="paragraph" w:styleId="NoSpacing">
    <w:name w:val="No Spacing"/>
    <w:qFormat/>
    <w:rsid w:val="009702EF"/>
    <w:rPr>
      <w:rFonts w:ascii="Perpetua" w:hAnsi="Perpetua"/>
    </w:rPr>
  </w:style>
  <w:style w:type="paragraph" w:customStyle="1" w:styleId="PCA">
    <w:name w:val="PCA"/>
    <w:rsid w:val="009702EF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9702EF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9702EF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9702EF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9702E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702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702E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9702EF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9702EF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9702EF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9702EF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9702EF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9702EF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9702EF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9702EF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9702EF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9702EF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9702EF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9702EF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97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02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9702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9702EF"/>
    <w:pPr>
      <w:spacing w:before="144"/>
      <w:jc w:val="both"/>
    </w:pPr>
    <w:rPr>
      <w:noProof/>
    </w:rPr>
  </w:style>
  <w:style w:type="paragraph" w:customStyle="1" w:styleId="PD">
    <w:name w:val="PD"/>
    <w:rsid w:val="009702EF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9702EF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9702EF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9702EF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9702EF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9702EF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9702EF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9702EF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9702EF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9702EF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9702EF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9702EF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9702EF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9702EF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9702EF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9702EF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9702EF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9702EF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9702EF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9702EF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9702EF"/>
    <w:rPr>
      <w:rFonts w:ascii="Perpetua Std" w:hAnsi="Perpetua Std"/>
    </w:rPr>
  </w:style>
  <w:style w:type="paragraph" w:styleId="NoSpacing">
    <w:name w:val="No Spacing"/>
    <w:qFormat/>
    <w:rsid w:val="009702EF"/>
    <w:rPr>
      <w:rFonts w:ascii="Perpetua" w:hAnsi="Perpetua"/>
    </w:rPr>
  </w:style>
  <w:style w:type="paragraph" w:customStyle="1" w:styleId="PCA">
    <w:name w:val="PCA"/>
    <w:rsid w:val="009702EF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9702EF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9702EF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8510. Does a taxpayer’s discharge of indebtedness result in the realization of gross income?</vt:lpstr>
    </vt:vector>
  </TitlesOfParts>
  <Company>Summit Business Media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8510. Does a taxpayer’s discharge of indebtedness result in the realization of gross income?</dc:title>
  <dc:creator>Alexis Long</dc:creator>
  <cp:lastModifiedBy>rcline</cp:lastModifiedBy>
  <cp:revision>2</cp:revision>
  <dcterms:created xsi:type="dcterms:W3CDTF">2014-08-20T14:22:00Z</dcterms:created>
  <dcterms:modified xsi:type="dcterms:W3CDTF">2014-08-20T14:22:00Z</dcterms:modified>
</cp:coreProperties>
</file>