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A7" w:rsidRPr="000752A7" w:rsidRDefault="000752A7" w:rsidP="007D6D13">
      <w:pPr>
        <w:pStyle w:val="PA"/>
        <w:suppressAutoHyphens/>
        <w:rPr>
          <w:b/>
          <w:color w:val="auto"/>
          <w:szCs w:val="24"/>
        </w:rPr>
      </w:pPr>
      <w:r w:rsidRPr="000752A7">
        <w:rPr>
          <w:b/>
          <w:color w:val="auto"/>
          <w:szCs w:val="24"/>
        </w:rPr>
        <w:t>8509.  What is adjusted gross income?</w:t>
      </w:r>
    </w:p>
    <w:p w:rsidR="00360557" w:rsidRPr="00532B64" w:rsidRDefault="00360557" w:rsidP="007D6D13">
      <w:pPr>
        <w:pStyle w:val="PA"/>
        <w:suppressAutoHyphens/>
        <w:rPr>
          <w:szCs w:val="24"/>
        </w:rPr>
      </w:pPr>
      <w:r w:rsidRPr="00532B64">
        <w:rPr>
          <w:color w:val="auto"/>
          <w:szCs w:val="24"/>
        </w:rPr>
        <w:t xml:space="preserve">Adjusted gross income </w:t>
      </w:r>
      <w:r w:rsidRPr="00532B64">
        <w:rPr>
          <w:szCs w:val="24"/>
        </w:rPr>
        <w:t xml:space="preserve">is broadly </w:t>
      </w:r>
      <w:r w:rsidRPr="00532B64">
        <w:rPr>
          <w:color w:val="auto"/>
          <w:szCs w:val="24"/>
        </w:rPr>
        <w:t>defined</w:t>
      </w:r>
      <w:r w:rsidRPr="00532B64">
        <w:rPr>
          <w:szCs w:val="24"/>
        </w:rPr>
        <w:t xml:space="preserve"> as gross income minus certain </w:t>
      </w:r>
      <w:r w:rsidR="00DA1D11">
        <w:rPr>
          <w:szCs w:val="24"/>
        </w:rPr>
        <w:t xml:space="preserve">specifically deductible items allowed by the Code.  Deductions from gross income also referred to as above the line deductions are the most </w:t>
      </w:r>
      <w:r w:rsidR="00480546">
        <w:rPr>
          <w:szCs w:val="24"/>
        </w:rPr>
        <w:t xml:space="preserve">tax beneficial </w:t>
      </w:r>
      <w:r w:rsidR="00DA1D11">
        <w:rPr>
          <w:szCs w:val="24"/>
        </w:rPr>
        <w:t xml:space="preserve">type of deductions because they tend to be dollar per dollar with fewer limitations than what are known as below-the-line or itemized deductions.  </w:t>
      </w:r>
      <w:r w:rsidR="00C8413D">
        <w:rPr>
          <w:szCs w:val="24"/>
        </w:rPr>
        <w:t xml:space="preserve">Additionally, as a measuring rod </w:t>
      </w:r>
      <w:r w:rsidR="003C1548" w:rsidRPr="00532B64">
        <w:rPr>
          <w:szCs w:val="24"/>
        </w:rPr>
        <w:t>a</w:t>
      </w:r>
      <w:r w:rsidRPr="00532B64">
        <w:rPr>
          <w:szCs w:val="24"/>
        </w:rPr>
        <w:t xml:space="preserve">djusted gross income is important because </w:t>
      </w:r>
      <w:r w:rsidR="00DA1D11">
        <w:rPr>
          <w:szCs w:val="24"/>
        </w:rPr>
        <w:t xml:space="preserve">many thresholds upon which </w:t>
      </w:r>
      <w:r w:rsidR="00480546">
        <w:rPr>
          <w:szCs w:val="24"/>
        </w:rPr>
        <w:t>tax ben</w:t>
      </w:r>
      <w:r w:rsidR="00421EAB">
        <w:rPr>
          <w:szCs w:val="24"/>
        </w:rPr>
        <w:t>efits phase out or taxes</w:t>
      </w:r>
      <w:r w:rsidR="00C8413D">
        <w:rPr>
          <w:szCs w:val="24"/>
        </w:rPr>
        <w:t xml:space="preserve"> ph</w:t>
      </w:r>
      <w:r w:rsidR="00421EAB">
        <w:rPr>
          <w:szCs w:val="24"/>
        </w:rPr>
        <w:t xml:space="preserve">ase in are directly tied to adjusted gross income </w:t>
      </w:r>
      <w:r w:rsidR="00480546">
        <w:rPr>
          <w:szCs w:val="24"/>
        </w:rPr>
        <w:t>(</w:t>
      </w:r>
      <w:r w:rsidRPr="00532B64">
        <w:rPr>
          <w:szCs w:val="24"/>
        </w:rPr>
        <w:t xml:space="preserve">for example, </w:t>
      </w:r>
      <w:r w:rsidR="00480546">
        <w:rPr>
          <w:szCs w:val="24"/>
        </w:rPr>
        <w:t>subject to the</w:t>
      </w:r>
      <w:r w:rsidR="00C8413D">
        <w:rPr>
          <w:szCs w:val="24"/>
        </w:rPr>
        <w:t xml:space="preserve"> taxpayer being able to itemize</w:t>
      </w:r>
      <w:r w:rsidR="00480546">
        <w:rPr>
          <w:szCs w:val="24"/>
        </w:rPr>
        <w:t xml:space="preserve">, medical expenses are deductible only to the extent that they exceed 10% of adjusted gross income </w:t>
      </w:r>
      <w:r w:rsidRPr="00532B64">
        <w:rPr>
          <w:szCs w:val="24"/>
        </w:rPr>
        <w:t>for the tax year).</w:t>
      </w:r>
    </w:p>
    <w:p w:rsidR="001244E9" w:rsidRPr="00532B64" w:rsidRDefault="00360557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t xml:space="preserve"> </w:t>
      </w:r>
      <w:r w:rsidR="00C8413D">
        <w:rPr>
          <w:szCs w:val="24"/>
        </w:rPr>
        <w:t xml:space="preserve">The Code specifically designates which deductions are subtracted from adjusted gross income as above the line deductions.  </w:t>
      </w:r>
      <w:r w:rsidR="00421EAB">
        <w:rPr>
          <w:szCs w:val="24"/>
        </w:rPr>
        <w:t>Following is a list of deductions permitted by the Code:</w:t>
      </w:r>
      <w:r w:rsidR="007D6D13" w:rsidRPr="00532B64">
        <w:rPr>
          <w:szCs w:val="24"/>
        </w:rPr>
        <w:t xml:space="preserve">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expenses directly incurred in carrying on a trade, business or profession (not as an employee – see </w:t>
      </w:r>
      <w:r w:rsidR="000465CA" w:rsidRPr="00532B64">
        <w:t>Q 85</w:t>
      </w:r>
      <w:r w:rsidR="00521FCB" w:rsidRPr="00532B64">
        <w:t>18</w:t>
      </w:r>
      <w:r w:rsidRPr="00532B64">
        <w:t xml:space="preserve">);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allowed for contributions made by a self-employed individual to a qualified pension, annuity, or profit sharing plan, or a simplified employee pension or SIMPLE IRA plan;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>certain reimbursed expenses of an employee</w:t>
      </w:r>
      <w:r w:rsidR="00421EAB">
        <w:t xml:space="preserve"> in connection with</w:t>
      </w:r>
      <w:r w:rsidRPr="00532B64">
        <w:t xml:space="preserve"> employment, provided the reimbursement is included in gross income (if the employee accounts to his employer and reimbursement does not exceed exp</w:t>
      </w:r>
      <w:r w:rsidR="00421EAB">
        <w:t>enses, reporting is not required</w:t>
      </w:r>
      <w:bookmarkStart w:id="0" w:name="_GoBack"/>
      <w:bookmarkEnd w:id="0"/>
      <w:r w:rsidRPr="00532B64">
        <w:t xml:space="preserve">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deductions related to property held for the production of rents and royalties (within limits);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deductions for depreciation and depletion by a life tenant, an income beneficiary of property held in trust, or an heir, legatee or devisee of an estate; </w:t>
      </w:r>
    </w:p>
    <w:p w:rsidR="001244E9" w:rsidRPr="00532B64" w:rsidRDefault="006C6B16" w:rsidP="000752A7">
      <w:pPr>
        <w:pStyle w:val="PC"/>
        <w:numPr>
          <w:ilvl w:val="0"/>
          <w:numId w:val="34"/>
        </w:numPr>
      </w:pPr>
      <w:r>
        <w:t>d</w:t>
      </w:r>
      <w:r w:rsidR="007D6D13" w:rsidRPr="00532B64">
        <w:t xml:space="preserve">eductions for losses from the sale or exchange of property 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allowed for amounts paid in cash by an eligible individual to a traditional individual retirement account (IRA), or individual retirement annuity;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allowed for amounts forfeited as penalties because of premature withdrawal of funds from time savings accounts;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alimony payments made to the taxpayer’s spouse;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certain reforestation expenses;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certain jury duty pay remitted to the taxpayer’s employer;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lastRenderedPageBreak/>
        <w:t xml:space="preserve">moving expenses permitted by IRC Sec. 217;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>the deduction for Archer Medical Savings Accounts under IRC Section 220(</w:t>
      </w:r>
      <w:proofErr w:type="spellStart"/>
      <w:r w:rsidRPr="00532B64">
        <w:t>i</w:t>
      </w:r>
      <w:proofErr w:type="spellEnd"/>
      <w:r w:rsidRPr="00532B64">
        <w:t xml:space="preserve">);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for interest on education loans;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for qualified tuition and related expenses;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for contributions (within limits) to Health Savings Accounts; </w:t>
      </w:r>
    </w:p>
    <w:p w:rsidR="001244E9" w:rsidRPr="00532B64" w:rsidRDefault="007D6D13" w:rsidP="000752A7">
      <w:pPr>
        <w:pStyle w:val="PC"/>
        <w:numPr>
          <w:ilvl w:val="0"/>
          <w:numId w:val="34"/>
        </w:numPr>
      </w:pPr>
      <w:r w:rsidRPr="00532B64">
        <w:t xml:space="preserve">the deduction for attorneys’ fees involving discrimination suits; and </w:t>
      </w:r>
    </w:p>
    <w:p w:rsidR="00427B74" w:rsidRPr="00532B64" w:rsidRDefault="007D6D13" w:rsidP="000752A7">
      <w:pPr>
        <w:pStyle w:val="PC"/>
        <w:numPr>
          <w:ilvl w:val="0"/>
          <w:numId w:val="34"/>
        </w:numPr>
      </w:pPr>
      <w:proofErr w:type="gramStart"/>
      <w:r w:rsidRPr="00532B64">
        <w:t>the</w:t>
      </w:r>
      <w:proofErr w:type="gramEnd"/>
      <w:r w:rsidRPr="00532B64">
        <w:t xml:space="preserve"> deduction for certain expenses of elementary and secondary school teachers up to $250 (made retroactively effective for 2012 and 2013 by </w:t>
      </w:r>
      <w:r w:rsidR="00360557" w:rsidRPr="00532B64">
        <w:t>the American Taxpayer Relief Act of 2012</w:t>
      </w:r>
      <w:r w:rsidR="006468D6">
        <w:t>, this provision has yet to be extended for 2014 and beyond</w:t>
      </w:r>
      <w:r w:rsidRPr="00532B64">
        <w:t>).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8F" w:rsidRDefault="008B4E8F" w:rsidP="006F074C">
      <w:r>
        <w:separator/>
      </w:r>
    </w:p>
  </w:endnote>
  <w:endnote w:type="continuationSeparator" w:id="0">
    <w:p w:rsidR="008B4E8F" w:rsidRDefault="008B4E8F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8F" w:rsidRDefault="008B4E8F" w:rsidP="006F074C">
      <w:r>
        <w:separator/>
      </w:r>
    </w:p>
  </w:footnote>
  <w:footnote w:type="continuationSeparator" w:id="0">
    <w:p w:rsidR="008B4E8F" w:rsidRDefault="008B4E8F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36016FD"/>
    <w:multiLevelType w:val="hybridMultilevel"/>
    <w:tmpl w:val="0BA29AD8"/>
    <w:lvl w:ilvl="0" w:tplc="1A243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6F44B9"/>
    <w:multiLevelType w:val="hybridMultilevel"/>
    <w:tmpl w:val="6D60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383A3841"/>
    <w:multiLevelType w:val="hybridMultilevel"/>
    <w:tmpl w:val="8DBAA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3E8129D"/>
    <w:multiLevelType w:val="hybridMultilevel"/>
    <w:tmpl w:val="8EC81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8"/>
  </w:num>
  <w:num w:numId="5">
    <w:abstractNumId w:val="10"/>
  </w:num>
  <w:num w:numId="6">
    <w:abstractNumId w:val="21"/>
  </w:num>
  <w:num w:numId="7">
    <w:abstractNumId w:val="24"/>
  </w:num>
  <w:num w:numId="8">
    <w:abstractNumId w:val="7"/>
  </w:num>
  <w:num w:numId="9">
    <w:abstractNumId w:val="1"/>
  </w:num>
  <w:num w:numId="10">
    <w:abstractNumId w:val="17"/>
  </w:num>
  <w:num w:numId="11">
    <w:abstractNumId w:val="23"/>
  </w:num>
  <w:num w:numId="12">
    <w:abstractNumId w:val="30"/>
  </w:num>
  <w:num w:numId="13">
    <w:abstractNumId w:val="6"/>
  </w:num>
  <w:num w:numId="14">
    <w:abstractNumId w:val="25"/>
  </w:num>
  <w:num w:numId="15">
    <w:abstractNumId w:val="9"/>
  </w:num>
  <w:num w:numId="16">
    <w:abstractNumId w:val="8"/>
  </w:num>
  <w:num w:numId="17">
    <w:abstractNumId w:val="13"/>
  </w:num>
  <w:num w:numId="18">
    <w:abstractNumId w:val="20"/>
  </w:num>
  <w:num w:numId="19">
    <w:abstractNumId w:val="12"/>
  </w:num>
  <w:num w:numId="20">
    <w:abstractNumId w:val="27"/>
  </w:num>
  <w:num w:numId="21">
    <w:abstractNumId w:val="2"/>
  </w:num>
  <w:num w:numId="22">
    <w:abstractNumId w:val="15"/>
  </w:num>
  <w:num w:numId="23">
    <w:abstractNumId w:val="32"/>
  </w:num>
  <w:num w:numId="24">
    <w:abstractNumId w:val="14"/>
  </w:num>
  <w:num w:numId="25">
    <w:abstractNumId w:val="22"/>
  </w:num>
  <w:num w:numId="26">
    <w:abstractNumId w:val="4"/>
  </w:num>
  <w:num w:numId="27">
    <w:abstractNumId w:val="5"/>
  </w:num>
  <w:num w:numId="28">
    <w:abstractNumId w:val="29"/>
  </w:num>
  <w:num w:numId="29">
    <w:abstractNumId w:val="31"/>
  </w:num>
  <w:num w:numId="30">
    <w:abstractNumId w:val="19"/>
  </w:num>
  <w:num w:numId="31">
    <w:abstractNumId w:val="26"/>
  </w:num>
  <w:num w:numId="32">
    <w:abstractNumId w:val="3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752A7"/>
    <w:rsid w:val="00083567"/>
    <w:rsid w:val="000925AB"/>
    <w:rsid w:val="00097038"/>
    <w:rsid w:val="0009795E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21EAB"/>
    <w:rsid w:val="00427B74"/>
    <w:rsid w:val="00430D4D"/>
    <w:rsid w:val="00435B94"/>
    <w:rsid w:val="00456493"/>
    <w:rsid w:val="00474C65"/>
    <w:rsid w:val="00480546"/>
    <w:rsid w:val="00484642"/>
    <w:rsid w:val="00487A39"/>
    <w:rsid w:val="004C5EFF"/>
    <w:rsid w:val="004C5F26"/>
    <w:rsid w:val="004D178B"/>
    <w:rsid w:val="004E7836"/>
    <w:rsid w:val="00501B90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468D6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42E4"/>
    <w:rsid w:val="008B16D5"/>
    <w:rsid w:val="008B4E8F"/>
    <w:rsid w:val="008C2D90"/>
    <w:rsid w:val="008C3018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483E"/>
    <w:rsid w:val="009938E4"/>
    <w:rsid w:val="009C73DD"/>
    <w:rsid w:val="009E4EA6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A7780"/>
    <w:rsid w:val="00B15D08"/>
    <w:rsid w:val="00B47F6C"/>
    <w:rsid w:val="00B81C31"/>
    <w:rsid w:val="00B97105"/>
    <w:rsid w:val="00BA22F5"/>
    <w:rsid w:val="00BC19F7"/>
    <w:rsid w:val="00BC5792"/>
    <w:rsid w:val="00BC6F51"/>
    <w:rsid w:val="00BE317F"/>
    <w:rsid w:val="00C15AF0"/>
    <w:rsid w:val="00C1615A"/>
    <w:rsid w:val="00C3032D"/>
    <w:rsid w:val="00C360BE"/>
    <w:rsid w:val="00C36576"/>
    <w:rsid w:val="00C55AB6"/>
    <w:rsid w:val="00C62E3B"/>
    <w:rsid w:val="00C64FEC"/>
    <w:rsid w:val="00C7768E"/>
    <w:rsid w:val="00C8413D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A1D11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4544B"/>
    <w:rsid w:val="00E57EB0"/>
    <w:rsid w:val="00E61C65"/>
    <w:rsid w:val="00E67D60"/>
    <w:rsid w:val="00E70D9A"/>
    <w:rsid w:val="00E8579E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6D50"/>
    <w:rsid w:val="00F96BEC"/>
    <w:rsid w:val="00FA3657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C5EFF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C5EF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5EF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C5EF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C5EFF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C5EFF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C5EFF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C5EFF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C5EFF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C5EFF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C5EFF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C5EFF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C5EFF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C5EFF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C5EFF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C5EFF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C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5E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C5E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C5EFF"/>
    <w:pPr>
      <w:spacing w:before="144"/>
      <w:jc w:val="both"/>
    </w:pPr>
    <w:rPr>
      <w:noProof/>
    </w:rPr>
  </w:style>
  <w:style w:type="paragraph" w:customStyle="1" w:styleId="PD">
    <w:name w:val="PD"/>
    <w:rsid w:val="004C5EFF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C5EFF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C5EFF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C5EFF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C5EFF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C5EFF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C5EFF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C5EFF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C5EFF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C5EFF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C5EFF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C5EFF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C5EFF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C5EFF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C5EFF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C5EFF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C5EFF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C5EFF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C5EFF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C5EFF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C5EFF"/>
    <w:rPr>
      <w:rFonts w:ascii="Perpetua Std" w:hAnsi="Perpetua Std"/>
    </w:rPr>
  </w:style>
  <w:style w:type="paragraph" w:styleId="NoSpacing">
    <w:name w:val="No Spacing"/>
    <w:qFormat/>
    <w:rsid w:val="004C5EFF"/>
    <w:rPr>
      <w:rFonts w:ascii="Perpetua" w:hAnsi="Perpetua"/>
    </w:rPr>
  </w:style>
  <w:style w:type="paragraph" w:customStyle="1" w:styleId="PCA">
    <w:name w:val="PCA"/>
    <w:rsid w:val="004C5EFF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C5EFF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C5EFF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C5EFF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C5EF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5EF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C5EF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C5EFF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C5EFF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C5EFF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C5EFF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C5EFF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C5EFF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C5EFF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C5EFF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C5EFF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C5EFF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C5EFF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C5EFF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C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5E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C5E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C5EFF"/>
    <w:pPr>
      <w:spacing w:before="144"/>
      <w:jc w:val="both"/>
    </w:pPr>
    <w:rPr>
      <w:noProof/>
    </w:rPr>
  </w:style>
  <w:style w:type="paragraph" w:customStyle="1" w:styleId="PD">
    <w:name w:val="PD"/>
    <w:rsid w:val="004C5EFF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C5EFF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C5EFF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C5EFF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C5EFF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C5EFF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C5EFF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C5EFF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C5EFF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C5EFF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C5EFF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C5EFF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C5EFF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C5EFF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C5EFF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C5EFF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C5EFF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C5EFF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C5EFF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C5EFF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C5EFF"/>
    <w:rPr>
      <w:rFonts w:ascii="Perpetua Std" w:hAnsi="Perpetua Std"/>
    </w:rPr>
  </w:style>
  <w:style w:type="paragraph" w:styleId="NoSpacing">
    <w:name w:val="No Spacing"/>
    <w:qFormat/>
    <w:rsid w:val="004C5EFF"/>
    <w:rPr>
      <w:rFonts w:ascii="Perpetua" w:hAnsi="Perpetua"/>
    </w:rPr>
  </w:style>
  <w:style w:type="paragraph" w:customStyle="1" w:styleId="PCA">
    <w:name w:val="PCA"/>
    <w:rsid w:val="004C5EFF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C5EFF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C5EFF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8509. What is adjusted gross income?</vt:lpstr>
    </vt:vector>
  </TitlesOfParts>
  <Company>Summit Business Media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8509. What is adjusted gross income?</dc:title>
  <dc:creator>Alexis Long</dc:creator>
  <cp:lastModifiedBy>rcline</cp:lastModifiedBy>
  <cp:revision>2</cp:revision>
  <dcterms:created xsi:type="dcterms:W3CDTF">2014-08-20T14:14:00Z</dcterms:created>
  <dcterms:modified xsi:type="dcterms:W3CDTF">2014-08-20T14:14:00Z</dcterms:modified>
</cp:coreProperties>
</file>