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74" w:rsidRDefault="007865B2" w:rsidP="00D73FC0">
      <w:pPr>
        <w:pStyle w:val="HB"/>
      </w:pPr>
      <w:r w:rsidRPr="00532B64">
        <w:t>W</w:t>
      </w:r>
      <w:r w:rsidR="00D73FC0" w:rsidRPr="00532B64">
        <w:t>hat Is Income</w:t>
      </w:r>
      <w:r w:rsidRPr="00532B64">
        <w:t>?</w:t>
      </w:r>
    </w:p>
    <w:p w:rsidR="006B31CA" w:rsidRDefault="006B31CA" w:rsidP="00D73FC0">
      <w:pPr>
        <w:pStyle w:val="HB"/>
      </w:pPr>
    </w:p>
    <w:p w:rsidR="006B31CA" w:rsidRPr="006B31CA" w:rsidRDefault="006B31CA" w:rsidP="006B31CA">
      <w:pPr>
        <w:pStyle w:val="HB"/>
        <w:jc w:val="left"/>
        <w:rPr>
          <w:sz w:val="24"/>
          <w:szCs w:val="24"/>
        </w:rPr>
      </w:pPr>
      <w:r>
        <w:t xml:space="preserve">    </w:t>
      </w:r>
      <w:r w:rsidRPr="006B31CA">
        <w:rPr>
          <w:sz w:val="24"/>
          <w:szCs w:val="24"/>
        </w:rPr>
        <w:t>8508.  What is gross income?</w:t>
      </w:r>
    </w:p>
    <w:p w:rsidR="00957231" w:rsidRPr="00532B64" w:rsidRDefault="00574A48" w:rsidP="00957231">
      <w:pPr>
        <w:pStyle w:val="PA"/>
        <w:suppressAutoHyphens/>
      </w:pPr>
      <w:r>
        <w:t xml:space="preserve">Gross income is the starting point in the computation of taxable income upon which individuals are subject to income tax.  </w:t>
      </w:r>
      <w:r w:rsidR="00957231" w:rsidRPr="00532B64">
        <w:t xml:space="preserve">Gross income </w:t>
      </w:r>
      <w:r w:rsidR="000A2B66" w:rsidRPr="00532B64">
        <w:t xml:space="preserve">is a broad concept that </w:t>
      </w:r>
      <w:r w:rsidR="00957231" w:rsidRPr="00532B64">
        <w:t xml:space="preserve">includes all income (whether derived from labor or capital) </w:t>
      </w:r>
      <w:r>
        <w:rPr>
          <w:i/>
          <w:iCs/>
        </w:rPr>
        <w:t xml:space="preserve">excluding </w:t>
      </w:r>
      <w:r w:rsidR="00957231" w:rsidRPr="00532B64">
        <w:t xml:space="preserve">those items that are </w:t>
      </w:r>
      <w:r w:rsidR="00E258E0">
        <w:t xml:space="preserve">specifically excluded; and, thus, not taxable. For example, </w:t>
      </w:r>
      <w:r w:rsidR="00957231" w:rsidRPr="00532B64">
        <w:t>gross income includes salary, fees, commissions, business profits, interest and dividends, rents, alimony received, and gains from the sale of property–but not the mere return of capital</w:t>
      </w:r>
      <w:r>
        <w:t xml:space="preserve"> expended by the taxpayer to purchase or improve the property</w:t>
      </w:r>
      <w:r w:rsidR="00957231" w:rsidRPr="00532B64">
        <w:t>.</w:t>
      </w:r>
      <w:r w:rsidR="00957231" w:rsidRPr="00532B64">
        <w:rPr>
          <w:rStyle w:val="FootnoteReference"/>
        </w:rPr>
        <w:footnoteReference w:id="1"/>
      </w:r>
      <w:r w:rsidR="00957231" w:rsidRPr="00532B64">
        <w:t xml:space="preserve"> </w:t>
      </w:r>
    </w:p>
    <w:p w:rsidR="001223C5" w:rsidRDefault="00360557" w:rsidP="00957231">
      <w:pPr>
        <w:pStyle w:val="PA"/>
        <w:suppressAutoHyphens/>
      </w:pPr>
      <w:r w:rsidRPr="00532B64">
        <w:t>The following</w:t>
      </w:r>
      <w:r w:rsidR="00957231" w:rsidRPr="00532B64">
        <w:t xml:space="preserve"> </w:t>
      </w:r>
      <w:r w:rsidR="00574A48">
        <w:t xml:space="preserve">is </w:t>
      </w:r>
      <w:r w:rsidR="00B66046">
        <w:t xml:space="preserve">a </w:t>
      </w:r>
      <w:r w:rsidRPr="00532B64">
        <w:t xml:space="preserve">non-exhaustive list of </w:t>
      </w:r>
      <w:r w:rsidR="00957231" w:rsidRPr="00532B64">
        <w:t xml:space="preserve">items </w:t>
      </w:r>
      <w:r w:rsidR="00574A48">
        <w:t xml:space="preserve">that are </w:t>
      </w:r>
      <w:r w:rsidR="00957231" w:rsidRPr="00532B64">
        <w:rPr>
          <w:i/>
          <w:iCs/>
        </w:rPr>
        <w:t>excluded</w:t>
      </w:r>
      <w:r w:rsidR="00957231" w:rsidRPr="00532B64">
        <w:t xml:space="preserve"> from gross income and received tax-free by an individual taxpayer: </w:t>
      </w:r>
    </w:p>
    <w:p w:rsidR="001223C5" w:rsidRDefault="00957231" w:rsidP="006B31CA">
      <w:pPr>
        <w:pStyle w:val="PA"/>
        <w:numPr>
          <w:ilvl w:val="0"/>
          <w:numId w:val="31"/>
        </w:numPr>
        <w:suppressAutoHyphens/>
      </w:pPr>
      <w:r w:rsidRPr="00532B64">
        <w:t>gifts and inheritances;</w:t>
      </w:r>
      <w:r w:rsidRPr="00532B64">
        <w:rPr>
          <w:vertAlign w:val="superscript"/>
        </w:rPr>
        <w:footnoteReference w:id="2"/>
      </w:r>
      <w:r w:rsidRPr="00532B64">
        <w:t xml:space="preserve"> </w:t>
      </w:r>
    </w:p>
    <w:p w:rsidR="001223C5" w:rsidRDefault="00957231" w:rsidP="006B31CA">
      <w:pPr>
        <w:pStyle w:val="PA"/>
        <w:numPr>
          <w:ilvl w:val="0"/>
          <w:numId w:val="31"/>
        </w:numPr>
        <w:suppressAutoHyphens/>
      </w:pPr>
      <w:r w:rsidRPr="00532B64">
        <w:t xml:space="preserve">gain (within limits) from the sale of a personal residence (see </w:t>
      </w:r>
      <w:r w:rsidR="000465CA" w:rsidRPr="00532B64">
        <w:t>Q 85</w:t>
      </w:r>
      <w:r w:rsidR="00C7768E" w:rsidRPr="00532B64">
        <w:t>65</w:t>
      </w:r>
      <w:r w:rsidRPr="00532B64">
        <w:t xml:space="preserve">); </w:t>
      </w:r>
    </w:p>
    <w:p w:rsidR="001223C5" w:rsidRDefault="00957231" w:rsidP="006B31CA">
      <w:pPr>
        <w:pStyle w:val="PA"/>
        <w:numPr>
          <w:ilvl w:val="0"/>
          <w:numId w:val="31"/>
        </w:numPr>
        <w:suppressAutoHyphens/>
      </w:pPr>
      <w:r w:rsidRPr="00532B64">
        <w:t>50</w:t>
      </w:r>
      <w:r w:rsidR="00360557" w:rsidRPr="00532B64">
        <w:t xml:space="preserve"> percent</w:t>
      </w:r>
      <w:r w:rsidRPr="00532B64">
        <w:t xml:space="preserve"> of gain (within limits) from the sale of certain qualified small business stock held for more than five years (see </w:t>
      </w:r>
      <w:r w:rsidR="000465CA" w:rsidRPr="00532B64">
        <w:t>Q 85</w:t>
      </w:r>
      <w:r w:rsidR="00C7768E" w:rsidRPr="00532B64">
        <w:t>46</w:t>
      </w:r>
      <w:r w:rsidRPr="00532B64">
        <w:t xml:space="preserve">); </w:t>
      </w:r>
    </w:p>
    <w:p w:rsidR="001223C5" w:rsidRDefault="00957231" w:rsidP="006B31CA">
      <w:pPr>
        <w:pStyle w:val="PA"/>
        <w:numPr>
          <w:ilvl w:val="0"/>
          <w:numId w:val="31"/>
        </w:numPr>
        <w:suppressAutoHyphens/>
      </w:pPr>
      <w:r w:rsidRPr="00532B64">
        <w:t xml:space="preserve">interest on many bonds of a state, city or other political subdivision; </w:t>
      </w:r>
    </w:p>
    <w:p w:rsidR="001223C5" w:rsidRDefault="00957231" w:rsidP="006B31CA">
      <w:pPr>
        <w:pStyle w:val="PA"/>
        <w:numPr>
          <w:ilvl w:val="0"/>
          <w:numId w:val="31"/>
        </w:numPr>
        <w:suppressAutoHyphens/>
      </w:pPr>
      <w:r w:rsidRPr="00532B64">
        <w:t xml:space="preserve">Social Security and railroad retirement benefits (within limits–see </w:t>
      </w:r>
      <w:r w:rsidR="000465CA" w:rsidRPr="00532B64">
        <w:t>Q 85</w:t>
      </w:r>
      <w:r w:rsidR="003C1548" w:rsidRPr="00532B64">
        <w:t>32</w:t>
      </w:r>
      <w:r w:rsidR="00427B74" w:rsidRPr="00532B64">
        <w:t xml:space="preserve"> to </w:t>
      </w:r>
      <w:r w:rsidR="000465CA" w:rsidRPr="00532B64">
        <w:t>Q 85</w:t>
      </w:r>
      <w:r w:rsidR="003C1548" w:rsidRPr="00532B64">
        <w:t>34</w:t>
      </w:r>
      <w:r w:rsidRPr="00532B64">
        <w:t>); veterans’ benefits (but retirement pay is taxable);</w:t>
      </w:r>
      <w:r w:rsidRPr="00532B64">
        <w:rPr>
          <w:vertAlign w:val="superscript"/>
        </w:rPr>
        <w:footnoteReference w:id="3"/>
      </w:r>
      <w:r w:rsidRPr="00532B64">
        <w:t xml:space="preserve"> </w:t>
      </w:r>
    </w:p>
    <w:p w:rsidR="001223C5" w:rsidRDefault="00957231" w:rsidP="006B31CA">
      <w:pPr>
        <w:pStyle w:val="PA"/>
        <w:numPr>
          <w:ilvl w:val="0"/>
          <w:numId w:val="31"/>
        </w:numPr>
        <w:suppressAutoHyphens/>
      </w:pPr>
      <w:r w:rsidRPr="00532B64">
        <w:t>Workers’ Compensation Act payments (within limits);</w:t>
      </w:r>
      <w:r w:rsidRPr="00532B64">
        <w:rPr>
          <w:vertAlign w:val="superscript"/>
        </w:rPr>
        <w:footnoteReference w:id="4"/>
      </w:r>
      <w:r w:rsidRPr="00532B64">
        <w:t xml:space="preserve"> </w:t>
      </w:r>
    </w:p>
    <w:p w:rsidR="001223C5" w:rsidRDefault="00957231" w:rsidP="006B31CA">
      <w:pPr>
        <w:pStyle w:val="PA"/>
        <w:numPr>
          <w:ilvl w:val="0"/>
          <w:numId w:val="31"/>
        </w:numPr>
        <w:suppressAutoHyphens/>
      </w:pPr>
      <w:r w:rsidRPr="00532B64">
        <w:t>death proceeds of life insurance and, as to death proceeds of insurance on the life of an insured who died before October 23, 1986, up to $1,000 annually of interest received under a life income or installment option by a surviving spouse;</w:t>
      </w:r>
      <w:r w:rsidRPr="00532B64">
        <w:rPr>
          <w:vertAlign w:val="superscript"/>
        </w:rPr>
        <w:footnoteReference w:id="5"/>
      </w:r>
      <w:r w:rsidRPr="00532B64">
        <w:t xml:space="preserve"> </w:t>
      </w:r>
    </w:p>
    <w:p w:rsidR="001223C5" w:rsidRDefault="00957231" w:rsidP="006B31CA">
      <w:pPr>
        <w:pStyle w:val="PA"/>
        <w:numPr>
          <w:ilvl w:val="0"/>
          <w:numId w:val="31"/>
        </w:numPr>
        <w:suppressAutoHyphens/>
      </w:pPr>
      <w:r w:rsidRPr="00532B64">
        <w:t>amounts paid or expenses incurred by an employer for qualified adoption expenses in connection with the adoption of a child by an employee if the amounts are furnished pursuant to an adoption assistance program;</w:t>
      </w:r>
      <w:r w:rsidRPr="00532B64">
        <w:rPr>
          <w:vertAlign w:val="superscript"/>
        </w:rPr>
        <w:footnoteReference w:id="6"/>
      </w:r>
      <w:r w:rsidRPr="00532B64">
        <w:t xml:space="preserve"> </w:t>
      </w:r>
    </w:p>
    <w:p w:rsidR="001223C5" w:rsidRDefault="00957231" w:rsidP="006B31CA">
      <w:pPr>
        <w:pStyle w:val="PA"/>
        <w:numPr>
          <w:ilvl w:val="0"/>
          <w:numId w:val="31"/>
        </w:numPr>
        <w:suppressAutoHyphens/>
      </w:pPr>
      <w:r w:rsidRPr="00532B64">
        <w:lastRenderedPageBreak/>
        <w:t>contributions to a “Medicare Advantage MSA” by the Department of Health and Human Services;</w:t>
      </w:r>
      <w:r w:rsidRPr="00532B64">
        <w:rPr>
          <w:vertAlign w:val="superscript"/>
        </w:rPr>
        <w:footnoteReference w:id="7"/>
      </w:r>
      <w:r w:rsidRPr="00532B64">
        <w:t xml:space="preserve"> </w:t>
      </w:r>
    </w:p>
    <w:p w:rsidR="001223C5" w:rsidRDefault="00957231" w:rsidP="006B31CA">
      <w:pPr>
        <w:pStyle w:val="PA"/>
        <w:numPr>
          <w:ilvl w:val="0"/>
          <w:numId w:val="31"/>
        </w:numPr>
        <w:suppressAutoHyphens/>
      </w:pPr>
      <w:r w:rsidRPr="00532B64">
        <w:t xml:space="preserve">exempt-interest </w:t>
      </w:r>
      <w:r w:rsidR="003C1548" w:rsidRPr="00532B64">
        <w:t>dividends from mutual funds</w:t>
      </w:r>
      <w:r w:rsidRPr="00532B64">
        <w:t xml:space="preserve">; </w:t>
      </w:r>
    </w:p>
    <w:p w:rsidR="001223C5" w:rsidRDefault="00957231" w:rsidP="006B31CA">
      <w:pPr>
        <w:pStyle w:val="PA"/>
        <w:numPr>
          <w:ilvl w:val="0"/>
          <w:numId w:val="31"/>
        </w:numPr>
        <w:suppressAutoHyphens/>
      </w:pPr>
      <w:r w:rsidRPr="00532B64">
        <w:t>interest on certain U.S. savings bonds purchased after 1989 and used to pay higher education expenses (within limits</w:t>
      </w:r>
      <w:r w:rsidR="009003A2" w:rsidRPr="00532B64">
        <w:t>)</w:t>
      </w:r>
      <w:r w:rsidRPr="00532B64">
        <w:t>;</w:t>
      </w:r>
      <w:r w:rsidRPr="00532B64">
        <w:rPr>
          <w:vertAlign w:val="superscript"/>
        </w:rPr>
        <w:footnoteReference w:id="8"/>
      </w:r>
      <w:r w:rsidRPr="00532B64">
        <w:t xml:space="preserve"> </w:t>
      </w:r>
    </w:p>
    <w:p w:rsidR="001223C5" w:rsidRDefault="00957231" w:rsidP="006B31CA">
      <w:pPr>
        <w:pStyle w:val="PA"/>
        <w:numPr>
          <w:ilvl w:val="0"/>
          <w:numId w:val="31"/>
        </w:numPr>
        <w:suppressAutoHyphens/>
      </w:pPr>
      <w:r w:rsidRPr="00532B64">
        <w:t>contributions paid by an employer to Health Savings Accounts</w:t>
      </w:r>
      <w:r w:rsidR="00360557" w:rsidRPr="00532B64">
        <w:t xml:space="preserve"> </w:t>
      </w:r>
      <w:r w:rsidRPr="00532B64">
        <w:t>;</w:t>
      </w:r>
      <w:r w:rsidRPr="00532B64">
        <w:rPr>
          <w:vertAlign w:val="superscript"/>
        </w:rPr>
        <w:footnoteReference w:id="9"/>
      </w:r>
      <w:r w:rsidRPr="00532B64">
        <w:t xml:space="preserve"> </w:t>
      </w:r>
    </w:p>
    <w:p w:rsidR="001223C5" w:rsidRDefault="00957231" w:rsidP="006B31CA">
      <w:pPr>
        <w:pStyle w:val="PA"/>
        <w:numPr>
          <w:ilvl w:val="0"/>
          <w:numId w:val="31"/>
        </w:numPr>
        <w:suppressAutoHyphens/>
      </w:pPr>
      <w:r w:rsidRPr="00532B64">
        <w:t>distributions from Health Savings Accounts</w:t>
      </w:r>
      <w:r w:rsidR="00B66046">
        <w:t xml:space="preserve"> (HSAs) </w:t>
      </w:r>
      <w:bookmarkStart w:id="0" w:name="_GoBack"/>
      <w:bookmarkEnd w:id="0"/>
      <w:r w:rsidRPr="00532B64">
        <w:t xml:space="preserve"> used to pay qualified medical expenses;</w:t>
      </w:r>
      <w:r w:rsidRPr="00532B64">
        <w:rPr>
          <w:vertAlign w:val="superscript"/>
        </w:rPr>
        <w:footnoteReference w:id="10"/>
      </w:r>
      <w:r w:rsidRPr="00532B64">
        <w:t xml:space="preserve"> </w:t>
      </w:r>
      <w:r w:rsidR="001223C5">
        <w:t>and</w:t>
      </w:r>
    </w:p>
    <w:p w:rsidR="001223C5" w:rsidRDefault="00957231" w:rsidP="006B31CA">
      <w:pPr>
        <w:pStyle w:val="PA"/>
        <w:numPr>
          <w:ilvl w:val="0"/>
          <w:numId w:val="31"/>
        </w:numPr>
        <w:suppressAutoHyphens/>
      </w:pPr>
      <w:proofErr w:type="gramStart"/>
      <w:r w:rsidRPr="00532B64">
        <w:t>federal</w:t>
      </w:r>
      <w:proofErr w:type="gramEnd"/>
      <w:r w:rsidRPr="00532B64">
        <w:t xml:space="preserve"> subsidies for prescription drug plans.</w:t>
      </w:r>
      <w:r w:rsidRPr="00532B64">
        <w:rPr>
          <w:vertAlign w:val="superscript"/>
        </w:rPr>
        <w:footnoteReference w:id="11"/>
      </w:r>
      <w:r w:rsidRPr="00532B64">
        <w:t xml:space="preserve"> </w:t>
      </w:r>
    </w:p>
    <w:p w:rsidR="004E7836" w:rsidRPr="004E7836" w:rsidRDefault="004E7836" w:rsidP="004E7836"/>
    <w:sectPr w:rsidR="004E7836" w:rsidRPr="004E7836" w:rsidSect="00271A21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43" w:rsidRDefault="00334D43" w:rsidP="006F074C">
      <w:r>
        <w:separator/>
      </w:r>
    </w:p>
  </w:endnote>
  <w:endnote w:type="continuationSeparator" w:id="0">
    <w:p w:rsidR="00334D43" w:rsidRDefault="00334D43" w:rsidP="006F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43" w:rsidRDefault="00334D43" w:rsidP="006F074C">
      <w:r>
        <w:separator/>
      </w:r>
    </w:p>
  </w:footnote>
  <w:footnote w:type="continuationSeparator" w:id="0">
    <w:p w:rsidR="00334D43" w:rsidRDefault="00334D43" w:rsidP="006F074C">
      <w:r>
        <w:continuationSeparator/>
      </w:r>
    </w:p>
  </w:footnote>
  <w:footnote w:id="1">
    <w:p w:rsidR="00D73FC0" w:rsidRDefault="00D73FC0" w:rsidP="00FE5D9D">
      <w:pPr>
        <w:pStyle w:val="PQ"/>
      </w:pPr>
      <w:r w:rsidRPr="00F16B3F">
        <w:rPr>
          <w:rStyle w:val="FootnoteReference"/>
          <w:vertAlign w:val="baseline"/>
        </w:rPr>
        <w:footnoteRef/>
      </w:r>
      <w:r w:rsidR="00F16B3F">
        <w:t>.</w:t>
      </w:r>
      <w:r w:rsidR="00F16B3F">
        <w:tab/>
      </w:r>
      <w:r w:rsidR="00FE5D9D" w:rsidRPr="00505813">
        <w:t xml:space="preserve">IRC Sec. </w:t>
      </w:r>
      <w:proofErr w:type="gramStart"/>
      <w:r w:rsidR="00FE5D9D" w:rsidRPr="00505813">
        <w:t>61(a</w:t>
      </w:r>
      <w:proofErr w:type="gramEnd"/>
      <w:r w:rsidR="00FE5D9D" w:rsidRPr="00505813">
        <w:t>).</w:t>
      </w:r>
    </w:p>
  </w:footnote>
  <w:footnote w:id="2">
    <w:p w:rsidR="00D73FC0" w:rsidRPr="00A313FD" w:rsidRDefault="00D73FC0" w:rsidP="00FE5D9D">
      <w:pPr>
        <w:pStyle w:val="PQ"/>
      </w:pPr>
      <w:r w:rsidRPr="00A313FD">
        <w:footnoteRef/>
      </w:r>
      <w:r w:rsidR="00F16B3F">
        <w:t>.</w:t>
      </w:r>
      <w:r w:rsidR="00F16B3F">
        <w:tab/>
      </w:r>
      <w:r w:rsidR="00FE5D9D" w:rsidRPr="00A313FD">
        <w:t>IRC Sec. 102.</w:t>
      </w:r>
    </w:p>
  </w:footnote>
  <w:footnote w:id="3">
    <w:p w:rsidR="00D73FC0" w:rsidRPr="00A313FD" w:rsidRDefault="00D73FC0" w:rsidP="00FE5D9D">
      <w:pPr>
        <w:pStyle w:val="PQ"/>
      </w:pPr>
      <w:r w:rsidRPr="00A313FD">
        <w:footnoteRef/>
      </w:r>
      <w:r w:rsidR="00F16B3F">
        <w:t>.</w:t>
      </w:r>
      <w:r w:rsidR="00F16B3F">
        <w:tab/>
      </w:r>
      <w:r w:rsidR="00FE5D9D" w:rsidRPr="00A313FD">
        <w:t>IRC Sec. 104(a</w:t>
      </w:r>
      <w:proofErr w:type="gramStart"/>
      <w:r w:rsidR="00FE5D9D" w:rsidRPr="00A313FD">
        <w:t>)(</w:t>
      </w:r>
      <w:proofErr w:type="gramEnd"/>
      <w:r w:rsidR="00FE5D9D" w:rsidRPr="00A313FD">
        <w:t>4).</w:t>
      </w:r>
    </w:p>
  </w:footnote>
  <w:footnote w:id="4">
    <w:p w:rsidR="00D73FC0" w:rsidRPr="00A313FD" w:rsidRDefault="00D73FC0" w:rsidP="00FE5D9D">
      <w:pPr>
        <w:pStyle w:val="PQ"/>
      </w:pPr>
      <w:r w:rsidRPr="00A313FD">
        <w:footnoteRef/>
      </w:r>
      <w:r w:rsidR="00F16B3F">
        <w:t>.</w:t>
      </w:r>
      <w:r w:rsidR="00F16B3F">
        <w:tab/>
      </w:r>
      <w:r w:rsidR="00FE5D9D" w:rsidRPr="00A313FD">
        <w:t>IRC Sec. 104(a</w:t>
      </w:r>
      <w:proofErr w:type="gramStart"/>
      <w:r w:rsidR="00FE5D9D" w:rsidRPr="00A313FD">
        <w:t>)(</w:t>
      </w:r>
      <w:proofErr w:type="gramEnd"/>
      <w:r w:rsidR="00FE5D9D" w:rsidRPr="00A313FD">
        <w:t>1).</w:t>
      </w:r>
    </w:p>
  </w:footnote>
  <w:footnote w:id="5">
    <w:p w:rsidR="00D73FC0" w:rsidRPr="00A313FD" w:rsidRDefault="00D73FC0" w:rsidP="00FE5D9D">
      <w:pPr>
        <w:pStyle w:val="PQ"/>
      </w:pPr>
      <w:r w:rsidRPr="00A313FD">
        <w:footnoteRef/>
      </w:r>
      <w:r w:rsidR="00F16B3F">
        <w:t>.</w:t>
      </w:r>
      <w:r w:rsidR="00F16B3F">
        <w:tab/>
      </w:r>
      <w:r w:rsidR="00FE5D9D" w:rsidRPr="00A313FD">
        <w:t>IRC Secs. 101(a), 101(d).</w:t>
      </w:r>
    </w:p>
  </w:footnote>
  <w:footnote w:id="6">
    <w:p w:rsidR="00D73FC0" w:rsidRPr="00A313FD" w:rsidRDefault="00D73FC0" w:rsidP="00FE5D9D">
      <w:pPr>
        <w:pStyle w:val="PQ"/>
      </w:pPr>
      <w:r w:rsidRPr="00A313FD">
        <w:footnoteRef/>
      </w:r>
      <w:r w:rsidR="00F16B3F">
        <w:t>.</w:t>
      </w:r>
      <w:r w:rsidR="00F16B3F">
        <w:tab/>
      </w:r>
      <w:r w:rsidR="00FE5D9D" w:rsidRPr="00A313FD">
        <w:t>IRC Sec. 137.</w:t>
      </w:r>
    </w:p>
  </w:footnote>
  <w:footnote w:id="7">
    <w:p w:rsidR="00D73FC0" w:rsidRPr="00A313FD" w:rsidRDefault="00D73FC0" w:rsidP="00FE5D9D">
      <w:pPr>
        <w:pStyle w:val="PQ"/>
      </w:pPr>
      <w:r w:rsidRPr="00A313FD">
        <w:footnoteRef/>
      </w:r>
      <w:r w:rsidR="00F16B3F">
        <w:t>.</w:t>
      </w:r>
      <w:r w:rsidR="00F16B3F">
        <w:tab/>
      </w:r>
      <w:r w:rsidR="00FE5D9D" w:rsidRPr="00A313FD">
        <w:t>IRC Sec. 138.</w:t>
      </w:r>
    </w:p>
  </w:footnote>
  <w:footnote w:id="8">
    <w:p w:rsidR="00D73FC0" w:rsidRPr="00A313FD" w:rsidRDefault="00D73FC0" w:rsidP="00FE5D9D">
      <w:pPr>
        <w:pStyle w:val="PQ"/>
      </w:pPr>
      <w:r w:rsidRPr="00A313FD">
        <w:footnoteRef/>
      </w:r>
      <w:r w:rsidR="00F16B3F">
        <w:t>.</w:t>
      </w:r>
      <w:r w:rsidR="00F16B3F">
        <w:tab/>
      </w:r>
      <w:r w:rsidR="00FE5D9D" w:rsidRPr="00A313FD">
        <w:t>See IRC Sec. 135.</w:t>
      </w:r>
    </w:p>
  </w:footnote>
  <w:footnote w:id="9">
    <w:p w:rsidR="00D73FC0" w:rsidRPr="00A313FD" w:rsidRDefault="00D73FC0" w:rsidP="00FE5D9D">
      <w:pPr>
        <w:pStyle w:val="PQ"/>
      </w:pPr>
      <w:r w:rsidRPr="00A313FD">
        <w:footnoteRef/>
      </w:r>
      <w:r w:rsidR="00F16B3F">
        <w:t>.</w:t>
      </w:r>
      <w:r w:rsidR="00F16B3F">
        <w:tab/>
      </w:r>
      <w:r w:rsidR="00FE5D9D" w:rsidRPr="00A313FD">
        <w:t>IRC Sec. 106(d).</w:t>
      </w:r>
    </w:p>
  </w:footnote>
  <w:footnote w:id="10">
    <w:p w:rsidR="00D73FC0" w:rsidRPr="00A313FD" w:rsidRDefault="00D73FC0" w:rsidP="00FE5D9D">
      <w:pPr>
        <w:pStyle w:val="PQ"/>
      </w:pPr>
      <w:r w:rsidRPr="00A313FD">
        <w:footnoteRef/>
      </w:r>
      <w:r w:rsidR="00F16B3F">
        <w:t>.</w:t>
      </w:r>
      <w:r w:rsidR="00F16B3F">
        <w:tab/>
      </w:r>
      <w:r w:rsidR="00FE5D9D" w:rsidRPr="00A313FD">
        <w:t>IRC Sec. 223(f)(1).</w:t>
      </w:r>
    </w:p>
  </w:footnote>
  <w:footnote w:id="11">
    <w:p w:rsidR="00D73FC0" w:rsidRDefault="00D73FC0" w:rsidP="00FE5D9D">
      <w:pPr>
        <w:pStyle w:val="PQ"/>
      </w:pPr>
      <w:r w:rsidRPr="00A313FD">
        <w:footnoteRef/>
      </w:r>
      <w:r w:rsidR="00F16B3F">
        <w:t>.</w:t>
      </w:r>
      <w:r w:rsidR="00F16B3F">
        <w:tab/>
      </w:r>
      <w:r w:rsidR="00FE5D9D" w:rsidRPr="00A313FD">
        <w:t>IRC Sec. 139A.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7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1B65D04"/>
    <w:multiLevelType w:val="hybridMultilevel"/>
    <w:tmpl w:val="5EC0565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34B156E"/>
    <w:multiLevelType w:val="hybridMultilevel"/>
    <w:tmpl w:val="8532461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152CDE"/>
    <w:multiLevelType w:val="hybridMultilevel"/>
    <w:tmpl w:val="16CE55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0F072E76"/>
    <w:multiLevelType w:val="hybridMultilevel"/>
    <w:tmpl w:val="BFF468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32237DC"/>
    <w:multiLevelType w:val="hybridMultilevel"/>
    <w:tmpl w:val="ED42B8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4763935"/>
    <w:multiLevelType w:val="hybridMultilevel"/>
    <w:tmpl w:val="AD063F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6311D34"/>
    <w:multiLevelType w:val="hybridMultilevel"/>
    <w:tmpl w:val="3A401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75B1591"/>
    <w:multiLevelType w:val="hybridMultilevel"/>
    <w:tmpl w:val="87483F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ABB0CF0"/>
    <w:multiLevelType w:val="hybridMultilevel"/>
    <w:tmpl w:val="88D830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38893208"/>
    <w:multiLevelType w:val="hybridMultilevel"/>
    <w:tmpl w:val="914C9F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AB6625A"/>
    <w:multiLevelType w:val="hybridMultilevel"/>
    <w:tmpl w:val="CEB2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BE334A"/>
    <w:multiLevelType w:val="hybridMultilevel"/>
    <w:tmpl w:val="D98E95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2084466"/>
    <w:multiLevelType w:val="hybridMultilevel"/>
    <w:tmpl w:val="5C18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4DC48F3"/>
    <w:multiLevelType w:val="hybridMultilevel"/>
    <w:tmpl w:val="20CEF1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DCD4640"/>
    <w:multiLevelType w:val="hybridMultilevel"/>
    <w:tmpl w:val="D84A26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3E765D5"/>
    <w:multiLevelType w:val="hybridMultilevel"/>
    <w:tmpl w:val="E3A6E1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5">
    <w:nsid w:val="6A546E28"/>
    <w:multiLevelType w:val="hybridMultilevel"/>
    <w:tmpl w:val="8814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686C85"/>
    <w:multiLevelType w:val="hybridMultilevel"/>
    <w:tmpl w:val="B7E8C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0">
    <w:nsid w:val="7F257861"/>
    <w:multiLevelType w:val="hybridMultilevel"/>
    <w:tmpl w:val="1AA0EC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0"/>
  </w:num>
  <w:num w:numId="3">
    <w:abstractNumId w:val="25"/>
  </w:num>
  <w:num w:numId="4">
    <w:abstractNumId w:val="16"/>
  </w:num>
  <w:num w:numId="5">
    <w:abstractNumId w:val="10"/>
  </w:num>
  <w:num w:numId="6">
    <w:abstractNumId w:val="19"/>
  </w:num>
  <w:num w:numId="7">
    <w:abstractNumId w:val="22"/>
  </w:num>
  <w:num w:numId="8">
    <w:abstractNumId w:val="7"/>
  </w:num>
  <w:num w:numId="9">
    <w:abstractNumId w:val="1"/>
  </w:num>
  <w:num w:numId="10">
    <w:abstractNumId w:val="15"/>
  </w:num>
  <w:num w:numId="11">
    <w:abstractNumId w:val="21"/>
  </w:num>
  <w:num w:numId="12">
    <w:abstractNumId w:val="27"/>
  </w:num>
  <w:num w:numId="13">
    <w:abstractNumId w:val="6"/>
  </w:num>
  <w:num w:numId="14">
    <w:abstractNumId w:val="23"/>
  </w:num>
  <w:num w:numId="15">
    <w:abstractNumId w:val="9"/>
  </w:num>
  <w:num w:numId="16">
    <w:abstractNumId w:val="8"/>
  </w:num>
  <w:num w:numId="17">
    <w:abstractNumId w:val="12"/>
  </w:num>
  <w:num w:numId="18">
    <w:abstractNumId w:val="18"/>
  </w:num>
  <w:num w:numId="19">
    <w:abstractNumId w:val="11"/>
  </w:num>
  <w:num w:numId="20">
    <w:abstractNumId w:val="24"/>
  </w:num>
  <w:num w:numId="21">
    <w:abstractNumId w:val="2"/>
  </w:num>
  <w:num w:numId="22">
    <w:abstractNumId w:val="14"/>
  </w:num>
  <w:num w:numId="23">
    <w:abstractNumId w:val="29"/>
  </w:num>
  <w:num w:numId="24">
    <w:abstractNumId w:val="13"/>
  </w:num>
  <w:num w:numId="25">
    <w:abstractNumId w:val="20"/>
  </w:num>
  <w:num w:numId="26">
    <w:abstractNumId w:val="4"/>
  </w:num>
  <w:num w:numId="27">
    <w:abstractNumId w:val="5"/>
  </w:num>
  <w:num w:numId="28">
    <w:abstractNumId w:val="26"/>
  </w:num>
  <w:num w:numId="29">
    <w:abstractNumId w:val="28"/>
  </w:num>
  <w:num w:numId="30">
    <w:abstractNumId w:val="1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FB"/>
    <w:rsid w:val="00007B43"/>
    <w:rsid w:val="0001174C"/>
    <w:rsid w:val="000201D4"/>
    <w:rsid w:val="00037960"/>
    <w:rsid w:val="00043906"/>
    <w:rsid w:val="000465CA"/>
    <w:rsid w:val="00083567"/>
    <w:rsid w:val="000925AB"/>
    <w:rsid w:val="00097038"/>
    <w:rsid w:val="000A2B66"/>
    <w:rsid w:val="000A6CAB"/>
    <w:rsid w:val="000B6372"/>
    <w:rsid w:val="000D258D"/>
    <w:rsid w:val="000D6146"/>
    <w:rsid w:val="000E6BBB"/>
    <w:rsid w:val="00114F5B"/>
    <w:rsid w:val="00116205"/>
    <w:rsid w:val="001223C5"/>
    <w:rsid w:val="001244E9"/>
    <w:rsid w:val="00141FAB"/>
    <w:rsid w:val="00143E93"/>
    <w:rsid w:val="0017741C"/>
    <w:rsid w:val="00197132"/>
    <w:rsid w:val="0019748C"/>
    <w:rsid w:val="001A2727"/>
    <w:rsid w:val="001D0595"/>
    <w:rsid w:val="001E1AC3"/>
    <w:rsid w:val="001F52F4"/>
    <w:rsid w:val="002000C6"/>
    <w:rsid w:val="00202A9B"/>
    <w:rsid w:val="00202F50"/>
    <w:rsid w:val="002040BD"/>
    <w:rsid w:val="00212ED8"/>
    <w:rsid w:val="00242C92"/>
    <w:rsid w:val="00243A4C"/>
    <w:rsid w:val="00264FD9"/>
    <w:rsid w:val="00271A21"/>
    <w:rsid w:val="00287277"/>
    <w:rsid w:val="002B58F5"/>
    <w:rsid w:val="002E46AF"/>
    <w:rsid w:val="002E4BFB"/>
    <w:rsid w:val="002F6745"/>
    <w:rsid w:val="00310C38"/>
    <w:rsid w:val="0032167A"/>
    <w:rsid w:val="00323E1D"/>
    <w:rsid w:val="00327BDB"/>
    <w:rsid w:val="00334D43"/>
    <w:rsid w:val="00355BC4"/>
    <w:rsid w:val="00360557"/>
    <w:rsid w:val="00377919"/>
    <w:rsid w:val="003B1DF7"/>
    <w:rsid w:val="003B450F"/>
    <w:rsid w:val="003B65D8"/>
    <w:rsid w:val="003C1548"/>
    <w:rsid w:val="003F00D7"/>
    <w:rsid w:val="003F05E5"/>
    <w:rsid w:val="00427B74"/>
    <w:rsid w:val="00435B94"/>
    <w:rsid w:val="00456493"/>
    <w:rsid w:val="00474C65"/>
    <w:rsid w:val="00484642"/>
    <w:rsid w:val="00487A39"/>
    <w:rsid w:val="004C5F26"/>
    <w:rsid w:val="004E7836"/>
    <w:rsid w:val="004F5EFD"/>
    <w:rsid w:val="00501B90"/>
    <w:rsid w:val="00511E10"/>
    <w:rsid w:val="00521FCB"/>
    <w:rsid w:val="00532B64"/>
    <w:rsid w:val="005611F2"/>
    <w:rsid w:val="00565698"/>
    <w:rsid w:val="0056737A"/>
    <w:rsid w:val="00574A48"/>
    <w:rsid w:val="00590D68"/>
    <w:rsid w:val="005A7B2C"/>
    <w:rsid w:val="005B0930"/>
    <w:rsid w:val="005B53F2"/>
    <w:rsid w:val="005C64AC"/>
    <w:rsid w:val="005E18C8"/>
    <w:rsid w:val="005E1E5E"/>
    <w:rsid w:val="005E1F03"/>
    <w:rsid w:val="005E3CAD"/>
    <w:rsid w:val="006152E6"/>
    <w:rsid w:val="0061599B"/>
    <w:rsid w:val="00664BF0"/>
    <w:rsid w:val="00667AE6"/>
    <w:rsid w:val="0068069B"/>
    <w:rsid w:val="00695FA3"/>
    <w:rsid w:val="006B1DE0"/>
    <w:rsid w:val="006B31CA"/>
    <w:rsid w:val="006C1680"/>
    <w:rsid w:val="006C6B16"/>
    <w:rsid w:val="006D650C"/>
    <w:rsid w:val="006E0E1D"/>
    <w:rsid w:val="006E34CD"/>
    <w:rsid w:val="006F074C"/>
    <w:rsid w:val="006F6DD8"/>
    <w:rsid w:val="00704D91"/>
    <w:rsid w:val="00714B51"/>
    <w:rsid w:val="00723223"/>
    <w:rsid w:val="00725A6D"/>
    <w:rsid w:val="007343A3"/>
    <w:rsid w:val="007865B2"/>
    <w:rsid w:val="00786F5E"/>
    <w:rsid w:val="00794370"/>
    <w:rsid w:val="00794B30"/>
    <w:rsid w:val="007B5A4F"/>
    <w:rsid w:val="007D39E8"/>
    <w:rsid w:val="007D6D13"/>
    <w:rsid w:val="007D7748"/>
    <w:rsid w:val="007F353C"/>
    <w:rsid w:val="0080472F"/>
    <w:rsid w:val="00804FC2"/>
    <w:rsid w:val="008316E9"/>
    <w:rsid w:val="00835C56"/>
    <w:rsid w:val="00844B76"/>
    <w:rsid w:val="00856D92"/>
    <w:rsid w:val="008864E6"/>
    <w:rsid w:val="008A42E4"/>
    <w:rsid w:val="008B16D5"/>
    <w:rsid w:val="008C2D90"/>
    <w:rsid w:val="008D4B69"/>
    <w:rsid w:val="008E11EC"/>
    <w:rsid w:val="008E4CF6"/>
    <w:rsid w:val="008F7667"/>
    <w:rsid w:val="009003A2"/>
    <w:rsid w:val="00920178"/>
    <w:rsid w:val="0095488D"/>
    <w:rsid w:val="00957231"/>
    <w:rsid w:val="009626DD"/>
    <w:rsid w:val="0097483E"/>
    <w:rsid w:val="009938E4"/>
    <w:rsid w:val="009C73DD"/>
    <w:rsid w:val="009F75A1"/>
    <w:rsid w:val="00A01B05"/>
    <w:rsid w:val="00A02AF1"/>
    <w:rsid w:val="00A03817"/>
    <w:rsid w:val="00A05FEA"/>
    <w:rsid w:val="00A2685C"/>
    <w:rsid w:val="00A268AC"/>
    <w:rsid w:val="00A44BAD"/>
    <w:rsid w:val="00A46971"/>
    <w:rsid w:val="00A82E6D"/>
    <w:rsid w:val="00B15D08"/>
    <w:rsid w:val="00B47F6C"/>
    <w:rsid w:val="00B66046"/>
    <w:rsid w:val="00B97105"/>
    <w:rsid w:val="00BA22F5"/>
    <w:rsid w:val="00BC19F7"/>
    <w:rsid w:val="00BC5792"/>
    <w:rsid w:val="00BC6F51"/>
    <w:rsid w:val="00BE2211"/>
    <w:rsid w:val="00BE317F"/>
    <w:rsid w:val="00BE5AEC"/>
    <w:rsid w:val="00C15AF0"/>
    <w:rsid w:val="00C1615A"/>
    <w:rsid w:val="00C3032D"/>
    <w:rsid w:val="00C360BE"/>
    <w:rsid w:val="00C64FEC"/>
    <w:rsid w:val="00C7768E"/>
    <w:rsid w:val="00CB0AF1"/>
    <w:rsid w:val="00CD22F0"/>
    <w:rsid w:val="00CF5092"/>
    <w:rsid w:val="00D0195D"/>
    <w:rsid w:val="00D418E3"/>
    <w:rsid w:val="00D433AD"/>
    <w:rsid w:val="00D51611"/>
    <w:rsid w:val="00D72E05"/>
    <w:rsid w:val="00D73FC0"/>
    <w:rsid w:val="00D81626"/>
    <w:rsid w:val="00DC02E2"/>
    <w:rsid w:val="00DC0B50"/>
    <w:rsid w:val="00DD22D9"/>
    <w:rsid w:val="00DD68C3"/>
    <w:rsid w:val="00DE67F6"/>
    <w:rsid w:val="00DF4691"/>
    <w:rsid w:val="00DF78BD"/>
    <w:rsid w:val="00E20C72"/>
    <w:rsid w:val="00E23001"/>
    <w:rsid w:val="00E258E0"/>
    <w:rsid w:val="00E260EE"/>
    <w:rsid w:val="00E34083"/>
    <w:rsid w:val="00E345E3"/>
    <w:rsid w:val="00E57EB0"/>
    <w:rsid w:val="00E67D60"/>
    <w:rsid w:val="00E70D9A"/>
    <w:rsid w:val="00E8579E"/>
    <w:rsid w:val="00EA0B82"/>
    <w:rsid w:val="00EA34AB"/>
    <w:rsid w:val="00EA727D"/>
    <w:rsid w:val="00EB0911"/>
    <w:rsid w:val="00EB2D4F"/>
    <w:rsid w:val="00EB47DD"/>
    <w:rsid w:val="00EC085E"/>
    <w:rsid w:val="00EC3390"/>
    <w:rsid w:val="00EC6008"/>
    <w:rsid w:val="00ED2B32"/>
    <w:rsid w:val="00EE366E"/>
    <w:rsid w:val="00EE4324"/>
    <w:rsid w:val="00F16B3F"/>
    <w:rsid w:val="00F66D50"/>
    <w:rsid w:val="00F96BEC"/>
    <w:rsid w:val="00FC74E6"/>
    <w:rsid w:val="00FD7359"/>
    <w:rsid w:val="00FD7753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143E93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143E9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43E9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43E9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143E93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143E93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143E93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143E93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143E93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143E93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143E93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143E93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143E93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143E93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143E93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143E93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143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43E9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143E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143E93"/>
    <w:pPr>
      <w:spacing w:before="144"/>
      <w:jc w:val="both"/>
    </w:pPr>
    <w:rPr>
      <w:noProof/>
    </w:rPr>
  </w:style>
  <w:style w:type="paragraph" w:customStyle="1" w:styleId="PD">
    <w:name w:val="PD"/>
    <w:rsid w:val="00143E93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143E93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143E93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143E93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143E93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143E93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143E93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143E93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143E93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143E93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143E93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143E93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143E93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143E93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143E93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143E93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143E93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143E93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143E93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143E93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143E93"/>
    <w:rPr>
      <w:rFonts w:ascii="Perpetua Std" w:hAnsi="Perpetua Std"/>
    </w:rPr>
  </w:style>
  <w:style w:type="paragraph" w:styleId="NoSpacing">
    <w:name w:val="No Spacing"/>
    <w:qFormat/>
    <w:rsid w:val="00143E93"/>
    <w:rPr>
      <w:rFonts w:ascii="Perpetua" w:hAnsi="Perpetua"/>
    </w:rPr>
  </w:style>
  <w:style w:type="paragraph" w:customStyle="1" w:styleId="PCA">
    <w:name w:val="PCA"/>
    <w:rsid w:val="00143E93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143E93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143E93"/>
    <w:rPr>
      <w:rFonts w:ascii="Perpetua Std" w:eastAsia="MS Mincho" w:hAnsi="Perpetua St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143E93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143E9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43E9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43E9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143E93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143E93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143E93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143E93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143E93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143E93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143E93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143E93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143E93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143E93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143E93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143E93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143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43E9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143E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143E93"/>
    <w:pPr>
      <w:spacing w:before="144"/>
      <w:jc w:val="both"/>
    </w:pPr>
    <w:rPr>
      <w:noProof/>
    </w:rPr>
  </w:style>
  <w:style w:type="paragraph" w:customStyle="1" w:styleId="PD">
    <w:name w:val="PD"/>
    <w:rsid w:val="00143E93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143E93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143E93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143E93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143E93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143E93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143E93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143E93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143E93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143E93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143E93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143E93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143E93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143E93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143E93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143E93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143E93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143E93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143E93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143E93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143E93"/>
    <w:rPr>
      <w:rFonts w:ascii="Perpetua Std" w:hAnsi="Perpetua Std"/>
    </w:rPr>
  </w:style>
  <w:style w:type="paragraph" w:styleId="NoSpacing">
    <w:name w:val="No Spacing"/>
    <w:qFormat/>
    <w:rsid w:val="00143E93"/>
    <w:rPr>
      <w:rFonts w:ascii="Perpetua" w:hAnsi="Perpetua"/>
    </w:rPr>
  </w:style>
  <w:style w:type="paragraph" w:customStyle="1" w:styleId="PCA">
    <w:name w:val="PCA"/>
    <w:rsid w:val="00143E93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143E93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143E93"/>
    <w:rPr>
      <w:rFonts w:ascii="Perpetua Std" w:eastAsia="MS Mincho" w:hAnsi="Perpetua St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8508. What is gross income?</vt:lpstr>
    </vt:vector>
  </TitlesOfParts>
  <Company>Summit Business Media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8508. What is gross income?</dc:title>
  <dc:creator>Alexis Long</dc:creator>
  <cp:lastModifiedBy>rcline</cp:lastModifiedBy>
  <cp:revision>2</cp:revision>
  <dcterms:created xsi:type="dcterms:W3CDTF">2014-08-20T14:02:00Z</dcterms:created>
  <dcterms:modified xsi:type="dcterms:W3CDTF">2014-08-20T14:02:00Z</dcterms:modified>
</cp:coreProperties>
</file>