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0A" w:rsidRDefault="0034070A" w:rsidP="00C3032D">
      <w:pPr>
        <w:pStyle w:val="PA"/>
        <w:suppressAutoHyphens/>
        <w:rPr>
          <w:szCs w:val="24"/>
        </w:rPr>
      </w:pPr>
    </w:p>
    <w:p w:rsidR="0034070A" w:rsidRPr="0034070A" w:rsidRDefault="004A2F1B" w:rsidP="00C3032D">
      <w:pPr>
        <w:pStyle w:val="PA"/>
        <w:suppressAutoHyphens/>
        <w:rPr>
          <w:b/>
          <w:sz w:val="28"/>
          <w:szCs w:val="28"/>
        </w:rPr>
      </w:pPr>
      <w:r>
        <w:rPr>
          <w:b/>
          <w:sz w:val="28"/>
          <w:szCs w:val="28"/>
        </w:rPr>
        <w:t>8507</w:t>
      </w:r>
      <w:r w:rsidR="0034070A" w:rsidRPr="0034070A">
        <w:rPr>
          <w:b/>
          <w:sz w:val="28"/>
          <w:szCs w:val="28"/>
        </w:rPr>
        <w:t xml:space="preserve">.  </w:t>
      </w:r>
      <w:r w:rsidR="00A3054F">
        <w:rPr>
          <w:b/>
          <w:sz w:val="28"/>
          <w:szCs w:val="28"/>
        </w:rPr>
        <w:t>Why are</w:t>
      </w:r>
      <w:r w:rsidR="0034463F">
        <w:rPr>
          <w:b/>
          <w:sz w:val="28"/>
          <w:szCs w:val="28"/>
        </w:rPr>
        <w:t xml:space="preserve"> many tax provisions</w:t>
      </w:r>
      <w:r w:rsidR="00A3054F">
        <w:rPr>
          <w:b/>
          <w:sz w:val="28"/>
          <w:szCs w:val="28"/>
        </w:rPr>
        <w:t xml:space="preserve"> </w:t>
      </w:r>
      <w:r w:rsidR="0034070A" w:rsidRPr="0034070A">
        <w:rPr>
          <w:b/>
          <w:sz w:val="28"/>
          <w:szCs w:val="28"/>
        </w:rPr>
        <w:t>indexed for inflation each year?</w:t>
      </w:r>
    </w:p>
    <w:p w:rsidR="00A3054F" w:rsidRDefault="0034463F" w:rsidP="00A3054F">
      <w:pPr>
        <w:pStyle w:val="PA"/>
        <w:suppressAutoHyphens/>
        <w:rPr>
          <w:szCs w:val="24"/>
        </w:rPr>
      </w:pPr>
      <w:r>
        <w:rPr>
          <w:szCs w:val="24"/>
        </w:rPr>
        <w:t>Many tax provisions</w:t>
      </w:r>
      <w:r w:rsidR="00A3054F">
        <w:rPr>
          <w:szCs w:val="24"/>
        </w:rPr>
        <w:t xml:space="preserve"> are indexed annually for inflation so that increases in a taxpayer’s income that result solely from inflation does not push them in a higher tax bracket or over thresholds that would reduce or eliminate certain tax benefits.</w:t>
      </w:r>
    </w:p>
    <w:p w:rsidR="00782402" w:rsidRDefault="00782402" w:rsidP="00A3054F">
      <w:pPr>
        <w:pStyle w:val="PA"/>
        <w:suppressAutoHyphens/>
        <w:rPr>
          <w:szCs w:val="24"/>
        </w:rPr>
      </w:pPr>
      <w:r>
        <w:rPr>
          <w:szCs w:val="24"/>
        </w:rPr>
        <w:t>For example, Asher a single taxpayer earns $89,350 as the manager of a computer superstore.  Assume at that income level, Asher is at the very end of the 25% tax bracket.  At the end of the year, he receives a cost of living adjustment (another term for an adjustment for inflation) that increases his salary to $92,000.  If tax brackets were not indexed for inflation, Asher’s cost of living raise of $2,650 ($92,000 minus $89,350) would be taxed at 28%.  Yet, based on inflation, $92,000 of today’s dollars is the equivalent of $89,350 of yesterday’s dollars.  Thus, without indexing, Asher would experience a tax hike.  However, by adjusting the tax brackets by inflation, i.e., increasing the 25% bracket to $92,000, Asher’s tax liability essentially remains unchanged.</w:t>
      </w:r>
    </w:p>
    <w:p w:rsidR="00782402" w:rsidRDefault="00782402" w:rsidP="00A3054F">
      <w:pPr>
        <w:pStyle w:val="PA"/>
        <w:suppressAutoHyphens/>
        <w:rPr>
          <w:szCs w:val="24"/>
        </w:rPr>
      </w:pPr>
      <w:r>
        <w:rPr>
          <w:szCs w:val="24"/>
        </w:rPr>
        <w:t>The following are examples of tax sensitive items indexed for inflation:</w:t>
      </w:r>
    </w:p>
    <w:p w:rsidR="00782402" w:rsidRDefault="00782402" w:rsidP="00782402">
      <w:pPr>
        <w:pStyle w:val="PA"/>
        <w:numPr>
          <w:ilvl w:val="0"/>
          <w:numId w:val="31"/>
        </w:numPr>
        <w:suppressAutoHyphens/>
        <w:rPr>
          <w:szCs w:val="24"/>
        </w:rPr>
      </w:pPr>
      <w:r>
        <w:rPr>
          <w:szCs w:val="24"/>
        </w:rPr>
        <w:t>Individual income tax brackets</w:t>
      </w:r>
    </w:p>
    <w:p w:rsidR="00782402" w:rsidRDefault="00782402" w:rsidP="00782402">
      <w:pPr>
        <w:pStyle w:val="PA"/>
        <w:numPr>
          <w:ilvl w:val="0"/>
          <w:numId w:val="31"/>
        </w:numPr>
        <w:suppressAutoHyphens/>
        <w:rPr>
          <w:szCs w:val="24"/>
        </w:rPr>
      </w:pPr>
      <w:r>
        <w:rPr>
          <w:szCs w:val="24"/>
        </w:rPr>
        <w:t>Basic standard deduction</w:t>
      </w:r>
    </w:p>
    <w:p w:rsidR="003D164B" w:rsidRPr="003D164B" w:rsidRDefault="003D164B" w:rsidP="003D164B">
      <w:pPr>
        <w:numPr>
          <w:ilvl w:val="0"/>
          <w:numId w:val="31"/>
        </w:numPr>
        <w:rPr>
          <w:sz w:val="24"/>
          <w:szCs w:val="24"/>
        </w:rPr>
      </w:pPr>
      <w:r>
        <w:rPr>
          <w:sz w:val="24"/>
          <w:szCs w:val="24"/>
        </w:rPr>
        <w:t>Additional standard deduction (taxpayers 65 or older)</w:t>
      </w:r>
    </w:p>
    <w:p w:rsidR="003D164B" w:rsidRPr="003D164B" w:rsidRDefault="003D164B" w:rsidP="003D164B">
      <w:pPr>
        <w:ind w:left="1008"/>
      </w:pPr>
    </w:p>
    <w:p w:rsidR="00782402" w:rsidRDefault="008002C8" w:rsidP="00782402">
      <w:pPr>
        <w:pStyle w:val="PA"/>
        <w:numPr>
          <w:ilvl w:val="0"/>
          <w:numId w:val="31"/>
        </w:numPr>
        <w:suppressAutoHyphens/>
        <w:rPr>
          <w:szCs w:val="24"/>
        </w:rPr>
      </w:pPr>
      <w:r>
        <w:rPr>
          <w:szCs w:val="24"/>
        </w:rPr>
        <w:t>E</w:t>
      </w:r>
      <w:r w:rsidR="00782402">
        <w:rPr>
          <w:szCs w:val="24"/>
        </w:rPr>
        <w:t>xemption</w:t>
      </w:r>
      <w:r>
        <w:rPr>
          <w:szCs w:val="24"/>
        </w:rPr>
        <w:t>s</w:t>
      </w:r>
    </w:p>
    <w:p w:rsidR="008002C8" w:rsidRDefault="008002C8" w:rsidP="00782402">
      <w:pPr>
        <w:pStyle w:val="PA"/>
        <w:numPr>
          <w:ilvl w:val="0"/>
          <w:numId w:val="31"/>
        </w:numPr>
        <w:suppressAutoHyphens/>
        <w:rPr>
          <w:szCs w:val="24"/>
        </w:rPr>
      </w:pPr>
      <w:r>
        <w:rPr>
          <w:szCs w:val="24"/>
        </w:rPr>
        <w:t>Alternative minimum tax exemption amount</w:t>
      </w:r>
    </w:p>
    <w:p w:rsidR="008002C8" w:rsidRDefault="008002C8" w:rsidP="00782402">
      <w:pPr>
        <w:pStyle w:val="PA"/>
        <w:numPr>
          <w:ilvl w:val="0"/>
          <w:numId w:val="31"/>
        </w:numPr>
        <w:suppressAutoHyphens/>
        <w:rPr>
          <w:szCs w:val="24"/>
        </w:rPr>
      </w:pPr>
      <w:r>
        <w:rPr>
          <w:szCs w:val="24"/>
        </w:rPr>
        <w:t>Maximum earned income credit</w:t>
      </w:r>
      <w:r w:rsidR="00782402">
        <w:rPr>
          <w:szCs w:val="24"/>
        </w:rPr>
        <w:t xml:space="preserve"> </w:t>
      </w:r>
    </w:p>
    <w:p w:rsidR="008002C8" w:rsidRDefault="008002C8" w:rsidP="00782402">
      <w:pPr>
        <w:pStyle w:val="PA"/>
        <w:numPr>
          <w:ilvl w:val="0"/>
          <w:numId w:val="31"/>
        </w:numPr>
        <w:suppressAutoHyphens/>
        <w:rPr>
          <w:szCs w:val="24"/>
        </w:rPr>
      </w:pPr>
      <w:r>
        <w:rPr>
          <w:szCs w:val="24"/>
        </w:rPr>
        <w:t>Overall limitation on itemized deductions</w:t>
      </w:r>
    </w:p>
    <w:p w:rsidR="003D164B" w:rsidRDefault="008002C8" w:rsidP="00782402">
      <w:pPr>
        <w:pStyle w:val="PA"/>
        <w:numPr>
          <w:ilvl w:val="0"/>
          <w:numId w:val="31"/>
        </w:numPr>
        <w:suppressAutoHyphens/>
        <w:rPr>
          <w:szCs w:val="24"/>
        </w:rPr>
      </w:pPr>
      <w:r>
        <w:rPr>
          <w:szCs w:val="24"/>
        </w:rPr>
        <w:t>Education credits</w:t>
      </w:r>
      <w:r w:rsidR="003D164B">
        <w:rPr>
          <w:szCs w:val="24"/>
        </w:rPr>
        <w:t xml:space="preserve"> (Hope Scholarship, American Opportunity and Lifetime Learning Credits)</w:t>
      </w:r>
    </w:p>
    <w:p w:rsidR="003D164B" w:rsidRDefault="003D164B" w:rsidP="00782402">
      <w:pPr>
        <w:pStyle w:val="PA"/>
        <w:numPr>
          <w:ilvl w:val="0"/>
          <w:numId w:val="31"/>
        </w:numPr>
        <w:suppressAutoHyphens/>
        <w:rPr>
          <w:szCs w:val="24"/>
        </w:rPr>
      </w:pPr>
      <w:r>
        <w:rPr>
          <w:szCs w:val="24"/>
        </w:rPr>
        <w:t>Adoption credit</w:t>
      </w:r>
    </w:p>
    <w:p w:rsidR="003D164B" w:rsidRDefault="003D164B" w:rsidP="00782402">
      <w:pPr>
        <w:pStyle w:val="PA"/>
        <w:numPr>
          <w:ilvl w:val="0"/>
          <w:numId w:val="31"/>
        </w:numPr>
        <w:suppressAutoHyphens/>
        <w:rPr>
          <w:szCs w:val="24"/>
        </w:rPr>
      </w:pPr>
      <w:r>
        <w:rPr>
          <w:szCs w:val="24"/>
        </w:rPr>
        <w:t>Child tax credit</w:t>
      </w:r>
    </w:p>
    <w:p w:rsidR="003D164B" w:rsidRDefault="00782402" w:rsidP="00782402">
      <w:pPr>
        <w:pStyle w:val="PA"/>
        <w:numPr>
          <w:ilvl w:val="0"/>
          <w:numId w:val="31"/>
        </w:numPr>
        <w:suppressAutoHyphens/>
        <w:rPr>
          <w:szCs w:val="24"/>
        </w:rPr>
      </w:pPr>
      <w:r>
        <w:rPr>
          <w:szCs w:val="24"/>
        </w:rPr>
        <w:t xml:space="preserve"> </w:t>
      </w:r>
      <w:r w:rsidR="003D164B">
        <w:rPr>
          <w:szCs w:val="24"/>
        </w:rPr>
        <w:t>Low income housing credit</w:t>
      </w:r>
    </w:p>
    <w:p w:rsidR="003D164B" w:rsidRDefault="003D164B" w:rsidP="00782402">
      <w:pPr>
        <w:pStyle w:val="PA"/>
        <w:numPr>
          <w:ilvl w:val="0"/>
          <w:numId w:val="31"/>
        </w:numPr>
        <w:suppressAutoHyphens/>
        <w:rPr>
          <w:szCs w:val="24"/>
        </w:rPr>
      </w:pPr>
      <w:r>
        <w:rPr>
          <w:szCs w:val="24"/>
        </w:rPr>
        <w:t>Phase out of exemptions</w:t>
      </w:r>
    </w:p>
    <w:p w:rsidR="003D164B" w:rsidRDefault="003D164B" w:rsidP="00782402">
      <w:pPr>
        <w:pStyle w:val="PA"/>
        <w:numPr>
          <w:ilvl w:val="0"/>
          <w:numId w:val="31"/>
        </w:numPr>
        <w:suppressAutoHyphens/>
        <w:rPr>
          <w:szCs w:val="24"/>
        </w:rPr>
      </w:pPr>
      <w:r>
        <w:rPr>
          <w:szCs w:val="24"/>
        </w:rPr>
        <w:t>Deductibility of interest on education loans</w:t>
      </w:r>
      <w:r>
        <w:rPr>
          <w:rStyle w:val="EndnoteReference"/>
          <w:szCs w:val="24"/>
        </w:rPr>
        <w:endnoteReference w:id="1"/>
      </w:r>
    </w:p>
    <w:p w:rsidR="003D164B" w:rsidRPr="003D164B" w:rsidRDefault="008572FD" w:rsidP="00C3032D">
      <w:pPr>
        <w:pStyle w:val="PA"/>
        <w:suppressAutoHyphens/>
        <w:rPr>
          <w:b/>
          <w:szCs w:val="24"/>
        </w:rPr>
      </w:pPr>
      <w:r>
        <w:rPr>
          <w:b/>
          <w:szCs w:val="24"/>
        </w:rPr>
        <w:lastRenderedPageBreak/>
        <w:t xml:space="preserve">8507.02 </w:t>
      </w:r>
      <w:r w:rsidR="003D164B">
        <w:rPr>
          <w:b/>
          <w:szCs w:val="24"/>
        </w:rPr>
        <w:t xml:space="preserve">What </w:t>
      </w:r>
      <w:r>
        <w:rPr>
          <w:b/>
          <w:szCs w:val="24"/>
        </w:rPr>
        <w:t>indexing factor does the IRS use to make the adjustments for inflation?</w:t>
      </w:r>
    </w:p>
    <w:p w:rsidR="00101954" w:rsidRPr="00101954" w:rsidRDefault="00C3032D" w:rsidP="00101954">
      <w:pPr>
        <w:pStyle w:val="PA"/>
        <w:suppressAutoHyphens/>
      </w:pPr>
      <w:r w:rsidRPr="00532B64">
        <w:rPr>
          <w:szCs w:val="24"/>
        </w:rPr>
        <w:t xml:space="preserve">The indexing factor (referred to in the IRC as the cost-of-living adjustment) is the percentage by which the Consumer Price Index (CPI) for the </w:t>
      </w:r>
      <w:r w:rsidRPr="00532B64">
        <w:rPr>
          <w:iCs/>
          <w:szCs w:val="24"/>
        </w:rPr>
        <w:t>prior</w:t>
      </w:r>
      <w:r w:rsidRPr="00532B64">
        <w:rPr>
          <w:szCs w:val="24"/>
        </w:rPr>
        <w:t xml:space="preserve"> calendar year exceeds the CPI for a year designated as a reference point in each respective IRC Section. In all cases, the CPI is the average Consumer Price Index as of the close of the 12-month period ending on August 31 of the calendar year.</w:t>
      </w:r>
      <w:r w:rsidR="008572FD">
        <w:rPr>
          <w:rStyle w:val="EndnoteReference"/>
          <w:szCs w:val="24"/>
        </w:rPr>
        <w:endnoteReference w:id="2"/>
      </w:r>
      <w:r w:rsidRPr="00532B64">
        <w:rPr>
          <w:szCs w:val="24"/>
        </w:rPr>
        <w:t xml:space="preserve"> Thus, for example, in calculating the new tax rate schedules, the minimum and maximum dollar amounts for each rate bracket (except as described below) are increased by the applicable cost-of-living adjustment. The rates (percentages) themselves are not adjusted</w:t>
      </w:r>
      <w:r w:rsidR="000A2B66" w:rsidRPr="00532B64">
        <w:rPr>
          <w:szCs w:val="24"/>
        </w:rPr>
        <w:t xml:space="preserve"> automatically for inflation</w:t>
      </w:r>
      <w:r w:rsidRPr="00532B64">
        <w:rPr>
          <w:szCs w:val="24"/>
        </w:rPr>
        <w:t>. This method of increase explained above, however, does not apply to the phase</w:t>
      </w:r>
      <w:r w:rsidR="00092402">
        <w:rPr>
          <w:szCs w:val="24"/>
        </w:rPr>
        <w:t xml:space="preserve"> </w:t>
      </w:r>
      <w:r w:rsidRPr="00532B64">
        <w:rPr>
          <w:szCs w:val="24"/>
        </w:rPr>
        <w:t xml:space="preserve">out of </w:t>
      </w:r>
      <w:r w:rsidR="00BC19F7" w:rsidRPr="00532B64">
        <w:rPr>
          <w:szCs w:val="24"/>
        </w:rPr>
        <w:t xml:space="preserve">the marriage penalty in the 15 percent </w:t>
      </w:r>
      <w:r w:rsidRPr="00532B64">
        <w:rPr>
          <w:szCs w:val="24"/>
        </w:rPr>
        <w:t>bracket.</w:t>
      </w:r>
      <w:r w:rsidR="008572FD">
        <w:rPr>
          <w:rStyle w:val="EndnoteReference"/>
          <w:szCs w:val="24"/>
        </w:rPr>
        <w:endnoteReference w:id="3"/>
      </w:r>
    </w:p>
    <w:p w:rsidR="00427B74" w:rsidRPr="00532B64" w:rsidRDefault="00C3032D" w:rsidP="00C3032D">
      <w:pPr>
        <w:pStyle w:val="PA"/>
        <w:suppressAutoHyphens/>
        <w:rPr>
          <w:szCs w:val="24"/>
        </w:rPr>
      </w:pPr>
      <w:r w:rsidRPr="00532B64">
        <w:rPr>
          <w:szCs w:val="24"/>
        </w:rPr>
        <w:t>The Secretary of the Treasury has until December 15 of each calendar year to publish new tax rate schedules (for joint returns, separate returns, single returns, head of household returns and for returns by estates and trusts) that will be effective for taxable years beginning in the subsequent calendar year.</w:t>
      </w:r>
      <w:r w:rsidR="00101954">
        <w:rPr>
          <w:rStyle w:val="EndnoteReference"/>
          <w:szCs w:val="24"/>
        </w:rPr>
        <w:endnoteReference w:id="4"/>
      </w:r>
      <w:r w:rsidR="003C1548" w:rsidRPr="00532B64">
        <w:rPr>
          <w:szCs w:val="24"/>
        </w:rPr>
        <w:t xml:space="preserve"> </w:t>
      </w:r>
      <w:r w:rsidR="0034463F">
        <w:rPr>
          <w:szCs w:val="24"/>
        </w:rPr>
        <w:t xml:space="preserve"> As a practical matter the new numbers for the following tax year are often available as early as October of the preceding year.  </w:t>
      </w:r>
      <w:bookmarkStart w:id="0" w:name="_GoBack"/>
      <w:bookmarkEnd w:id="0"/>
      <w:r w:rsidR="003C1548" w:rsidRPr="00532B64">
        <w:rPr>
          <w:szCs w:val="24"/>
        </w:rPr>
        <w:t>For a schedule of current tax rates, s</w:t>
      </w:r>
      <w:r w:rsidRPr="00532B64">
        <w:rPr>
          <w:szCs w:val="24"/>
        </w:rPr>
        <w:t>ee</w:t>
      </w:r>
      <w:r w:rsidR="00BC19F7" w:rsidRPr="00532B64">
        <w:rPr>
          <w:szCs w:val="24"/>
        </w:rPr>
        <w:t xml:space="preserve"> </w:t>
      </w:r>
      <w:r w:rsidR="000465CA" w:rsidRPr="00532B64">
        <w:rPr>
          <w:szCs w:val="24"/>
        </w:rPr>
        <w:t>Q 850</w:t>
      </w:r>
      <w:r w:rsidR="003C1548" w:rsidRPr="00532B64">
        <w:rPr>
          <w:szCs w:val="24"/>
        </w:rPr>
        <w:t>6.</w:t>
      </w:r>
      <w:r w:rsidR="00427B74" w:rsidRPr="00532B64">
        <w:rPr>
          <w:szCs w:val="24"/>
        </w:rPr>
        <w:t xml:space="preserve"> </w:t>
      </w:r>
    </w:p>
    <w:p w:rsidR="004E7836" w:rsidRPr="004E7836" w:rsidRDefault="004E7836" w:rsidP="004E7836"/>
    <w:sectPr w:rsidR="004E7836" w:rsidRPr="004E7836" w:rsidSect="00271A21">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B0" w:rsidRDefault="00EA1BB0" w:rsidP="006F074C">
      <w:r>
        <w:separator/>
      </w:r>
    </w:p>
  </w:endnote>
  <w:endnote w:type="continuationSeparator" w:id="0">
    <w:p w:rsidR="00EA1BB0" w:rsidRDefault="00EA1BB0" w:rsidP="006F074C">
      <w:r>
        <w:continuationSeparator/>
      </w:r>
    </w:p>
  </w:endnote>
  <w:endnote w:id="1">
    <w:p w:rsidR="003D164B" w:rsidRPr="003D164B" w:rsidRDefault="003D164B">
      <w:pPr>
        <w:pStyle w:val="EndnoteText"/>
        <w:rPr>
          <w:sz w:val="16"/>
          <w:szCs w:val="16"/>
        </w:rPr>
      </w:pPr>
      <w:r>
        <w:rPr>
          <w:rStyle w:val="EndnoteReference"/>
        </w:rPr>
        <w:endnoteRef/>
      </w:r>
      <w:r>
        <w:t xml:space="preserve"> </w:t>
      </w:r>
      <w:r>
        <w:rPr>
          <w:sz w:val="16"/>
          <w:szCs w:val="16"/>
        </w:rPr>
        <w:t>Rev. Proc. 2013-35, 2013-47 IRB 537,</w:t>
      </w:r>
    </w:p>
  </w:endnote>
  <w:endnote w:id="2">
    <w:p w:rsidR="008572FD" w:rsidRPr="008572FD" w:rsidRDefault="008572FD">
      <w:pPr>
        <w:pStyle w:val="EndnoteText"/>
        <w:rPr>
          <w:sz w:val="16"/>
          <w:szCs w:val="16"/>
        </w:rPr>
      </w:pPr>
      <w:r>
        <w:rPr>
          <w:rStyle w:val="EndnoteReference"/>
        </w:rPr>
        <w:endnoteRef/>
      </w:r>
      <w:r>
        <w:t xml:space="preserve"> </w:t>
      </w:r>
      <w:r w:rsidRPr="008572FD">
        <w:rPr>
          <w:sz w:val="16"/>
          <w:szCs w:val="16"/>
        </w:rPr>
        <w:t xml:space="preserve">IRC </w:t>
      </w:r>
      <w:proofErr w:type="spellStart"/>
      <w:r w:rsidRPr="008572FD">
        <w:rPr>
          <w:sz w:val="16"/>
          <w:szCs w:val="16"/>
        </w:rPr>
        <w:t>Secs</w:t>
      </w:r>
      <w:proofErr w:type="spellEnd"/>
      <w:r w:rsidRPr="008572FD">
        <w:rPr>
          <w:sz w:val="16"/>
          <w:szCs w:val="16"/>
        </w:rPr>
        <w:t>. 1(f</w:t>
      </w:r>
      <w:proofErr w:type="gramStart"/>
      <w:r w:rsidRPr="008572FD">
        <w:rPr>
          <w:sz w:val="16"/>
          <w:szCs w:val="16"/>
        </w:rPr>
        <w:t>)(</w:t>
      </w:r>
      <w:proofErr w:type="gramEnd"/>
      <w:r w:rsidRPr="008572FD">
        <w:rPr>
          <w:sz w:val="16"/>
          <w:szCs w:val="16"/>
        </w:rPr>
        <w:t>3), 1(f)(4).</w:t>
      </w:r>
    </w:p>
  </w:endnote>
  <w:endnote w:id="3">
    <w:p w:rsidR="008572FD" w:rsidRDefault="008572FD">
      <w:pPr>
        <w:pStyle w:val="EndnoteText"/>
      </w:pPr>
      <w:r>
        <w:rPr>
          <w:rStyle w:val="EndnoteReference"/>
        </w:rPr>
        <w:endnoteRef/>
      </w:r>
      <w:r>
        <w:t xml:space="preserve"> </w:t>
      </w:r>
      <w:r w:rsidR="00101954" w:rsidRPr="00101954">
        <w:rPr>
          <w:sz w:val="16"/>
          <w:szCs w:val="16"/>
        </w:rPr>
        <w:t>IRC Sec. 1(f</w:t>
      </w:r>
      <w:proofErr w:type="gramStart"/>
      <w:r w:rsidR="00101954" w:rsidRPr="00101954">
        <w:rPr>
          <w:sz w:val="16"/>
          <w:szCs w:val="16"/>
        </w:rPr>
        <w:t>)(</w:t>
      </w:r>
      <w:proofErr w:type="gramEnd"/>
      <w:r w:rsidR="00101954" w:rsidRPr="00101954">
        <w:rPr>
          <w:sz w:val="16"/>
          <w:szCs w:val="16"/>
        </w:rPr>
        <w:t>2).</w:t>
      </w:r>
    </w:p>
  </w:endnote>
  <w:endnote w:id="4">
    <w:p w:rsidR="00101954" w:rsidRDefault="00101954">
      <w:pPr>
        <w:pStyle w:val="EndnoteText"/>
      </w:pPr>
      <w:r>
        <w:rPr>
          <w:rStyle w:val="EndnoteReference"/>
        </w:rPr>
        <w:endnoteRef/>
      </w:r>
      <w:r>
        <w:t xml:space="preserve"> </w:t>
      </w:r>
      <w:r w:rsidRPr="00101954">
        <w:rPr>
          <w:sz w:val="16"/>
          <w:szCs w:val="16"/>
        </w:rPr>
        <w:t>IRC Sec. 1(f</w:t>
      </w:r>
      <w:proofErr w:type="gramStart"/>
      <w:r w:rsidRPr="00101954">
        <w:rPr>
          <w:sz w:val="16"/>
          <w:szCs w:val="16"/>
        </w:rPr>
        <w:t>)(</w:t>
      </w:r>
      <w:proofErr w:type="gramEnd"/>
      <w:r w:rsidRPr="00101954">
        <w:rPr>
          <w:sz w:val="16"/>
          <w:szCs w:val="16"/>
        </w:rPr>
        <w: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B0" w:rsidRDefault="00EA1BB0" w:rsidP="006F074C">
      <w:r>
        <w:separator/>
      </w:r>
    </w:p>
  </w:footnote>
  <w:footnote w:type="continuationSeparator" w:id="0">
    <w:p w:rsidR="00EA1BB0" w:rsidRDefault="00EA1BB0" w:rsidP="006F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E0B66D0"/>
    <w:multiLevelType w:val="hybridMultilevel"/>
    <w:tmpl w:val="59EC16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B2CBE"/>
    <w:multiLevelType w:val="singleLevel"/>
    <w:tmpl w:val="0409000F"/>
    <w:lvl w:ilvl="0">
      <w:start w:val="1"/>
      <w:numFmt w:val="decimal"/>
      <w:lvlText w:val="%1."/>
      <w:lvlJc w:val="left"/>
      <w:pPr>
        <w:tabs>
          <w:tab w:val="num" w:pos="360"/>
        </w:tabs>
        <w:ind w:left="360" w:hanging="360"/>
      </w:pPr>
    </w:lvl>
  </w:abstractNum>
  <w:abstractNum w:abstractNumId="21">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0"/>
  </w:num>
  <w:num w:numId="3">
    <w:abstractNumId w:val="25"/>
  </w:num>
  <w:num w:numId="4">
    <w:abstractNumId w:val="16"/>
  </w:num>
  <w:num w:numId="5">
    <w:abstractNumId w:val="10"/>
  </w:num>
  <w:num w:numId="6">
    <w:abstractNumId w:val="19"/>
  </w:num>
  <w:num w:numId="7">
    <w:abstractNumId w:val="22"/>
  </w:num>
  <w:num w:numId="8">
    <w:abstractNumId w:val="7"/>
  </w:num>
  <w:num w:numId="9">
    <w:abstractNumId w:val="1"/>
  </w:num>
  <w:num w:numId="10">
    <w:abstractNumId w:val="15"/>
  </w:num>
  <w:num w:numId="11">
    <w:abstractNumId w:val="21"/>
  </w:num>
  <w:num w:numId="12">
    <w:abstractNumId w:val="27"/>
  </w:num>
  <w:num w:numId="13">
    <w:abstractNumId w:val="5"/>
  </w:num>
  <w:num w:numId="14">
    <w:abstractNumId w:val="23"/>
  </w:num>
  <w:num w:numId="15">
    <w:abstractNumId w:val="9"/>
  </w:num>
  <w:num w:numId="16">
    <w:abstractNumId w:val="8"/>
  </w:num>
  <w:num w:numId="17">
    <w:abstractNumId w:val="12"/>
  </w:num>
  <w:num w:numId="18">
    <w:abstractNumId w:val="18"/>
  </w:num>
  <w:num w:numId="19">
    <w:abstractNumId w:val="11"/>
  </w:num>
  <w:num w:numId="20">
    <w:abstractNumId w:val="24"/>
  </w:num>
  <w:num w:numId="21">
    <w:abstractNumId w:val="2"/>
  </w:num>
  <w:num w:numId="22">
    <w:abstractNumId w:val="14"/>
  </w:num>
  <w:num w:numId="23">
    <w:abstractNumId w:val="29"/>
  </w:num>
  <w:num w:numId="24">
    <w:abstractNumId w:val="13"/>
  </w:num>
  <w:num w:numId="25">
    <w:abstractNumId w:val="20"/>
  </w:num>
  <w:num w:numId="26">
    <w:abstractNumId w:val="3"/>
  </w:num>
  <w:num w:numId="27">
    <w:abstractNumId w:val="4"/>
  </w:num>
  <w:num w:numId="28">
    <w:abstractNumId w:val="26"/>
  </w:num>
  <w:num w:numId="29">
    <w:abstractNumId w:val="28"/>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4AFE"/>
    <w:rsid w:val="00007B43"/>
    <w:rsid w:val="0001174C"/>
    <w:rsid w:val="000201D4"/>
    <w:rsid w:val="00037960"/>
    <w:rsid w:val="00043906"/>
    <w:rsid w:val="000465CA"/>
    <w:rsid w:val="00083567"/>
    <w:rsid w:val="00092402"/>
    <w:rsid w:val="000925AB"/>
    <w:rsid w:val="00097038"/>
    <w:rsid w:val="000A2B66"/>
    <w:rsid w:val="000A6CAB"/>
    <w:rsid w:val="000B6372"/>
    <w:rsid w:val="000D258D"/>
    <w:rsid w:val="000D6146"/>
    <w:rsid w:val="000E6BBB"/>
    <w:rsid w:val="00101954"/>
    <w:rsid w:val="00114F5B"/>
    <w:rsid w:val="00116205"/>
    <w:rsid w:val="001244E9"/>
    <w:rsid w:val="00141FAB"/>
    <w:rsid w:val="0017741C"/>
    <w:rsid w:val="00197132"/>
    <w:rsid w:val="0019748C"/>
    <w:rsid w:val="001A2727"/>
    <w:rsid w:val="001D0595"/>
    <w:rsid w:val="001E00FD"/>
    <w:rsid w:val="001E1AC3"/>
    <w:rsid w:val="001F52F4"/>
    <w:rsid w:val="002000C6"/>
    <w:rsid w:val="00202A9B"/>
    <w:rsid w:val="00202F50"/>
    <w:rsid w:val="002040BD"/>
    <w:rsid w:val="00212ED8"/>
    <w:rsid w:val="00221CAC"/>
    <w:rsid w:val="00221F87"/>
    <w:rsid w:val="00242C92"/>
    <w:rsid w:val="00243A4C"/>
    <w:rsid w:val="00264FD9"/>
    <w:rsid w:val="00271A21"/>
    <w:rsid w:val="00287277"/>
    <w:rsid w:val="002B58F5"/>
    <w:rsid w:val="002E46AF"/>
    <w:rsid w:val="002E4BFB"/>
    <w:rsid w:val="002F6745"/>
    <w:rsid w:val="00310C38"/>
    <w:rsid w:val="0032167A"/>
    <w:rsid w:val="00323E1D"/>
    <w:rsid w:val="00327BDB"/>
    <w:rsid w:val="0034070A"/>
    <w:rsid w:val="0034463F"/>
    <w:rsid w:val="00355BC4"/>
    <w:rsid w:val="00360557"/>
    <w:rsid w:val="00377919"/>
    <w:rsid w:val="003B1DF7"/>
    <w:rsid w:val="003B450F"/>
    <w:rsid w:val="003B65D8"/>
    <w:rsid w:val="003C1548"/>
    <w:rsid w:val="003D164B"/>
    <w:rsid w:val="003F00D7"/>
    <w:rsid w:val="003F05E5"/>
    <w:rsid w:val="003F7760"/>
    <w:rsid w:val="00427B74"/>
    <w:rsid w:val="00435B94"/>
    <w:rsid w:val="00456493"/>
    <w:rsid w:val="00474C65"/>
    <w:rsid w:val="00484642"/>
    <w:rsid w:val="00487A39"/>
    <w:rsid w:val="004A2F1B"/>
    <w:rsid w:val="004C5F26"/>
    <w:rsid w:val="004E7836"/>
    <w:rsid w:val="00501B90"/>
    <w:rsid w:val="00511E10"/>
    <w:rsid w:val="00521FCB"/>
    <w:rsid w:val="00532B64"/>
    <w:rsid w:val="005611F2"/>
    <w:rsid w:val="00565698"/>
    <w:rsid w:val="0056737A"/>
    <w:rsid w:val="00590D68"/>
    <w:rsid w:val="005A7B2C"/>
    <w:rsid w:val="005B0930"/>
    <w:rsid w:val="005B53F2"/>
    <w:rsid w:val="005C64AC"/>
    <w:rsid w:val="005E18C8"/>
    <w:rsid w:val="005E1E5E"/>
    <w:rsid w:val="005E3CAD"/>
    <w:rsid w:val="006152E6"/>
    <w:rsid w:val="0061599B"/>
    <w:rsid w:val="00664BF0"/>
    <w:rsid w:val="00667AE6"/>
    <w:rsid w:val="0068069B"/>
    <w:rsid w:val="00695FA3"/>
    <w:rsid w:val="006B1DE0"/>
    <w:rsid w:val="006C1680"/>
    <w:rsid w:val="006C6B16"/>
    <w:rsid w:val="006D650C"/>
    <w:rsid w:val="006E0E1D"/>
    <w:rsid w:val="006E34CD"/>
    <w:rsid w:val="006F074C"/>
    <w:rsid w:val="00704D91"/>
    <w:rsid w:val="00723223"/>
    <w:rsid w:val="00725A6D"/>
    <w:rsid w:val="007343A3"/>
    <w:rsid w:val="00782402"/>
    <w:rsid w:val="007865B2"/>
    <w:rsid w:val="00786F5E"/>
    <w:rsid w:val="00794370"/>
    <w:rsid w:val="007B5A4F"/>
    <w:rsid w:val="007C60E2"/>
    <w:rsid w:val="007D39E8"/>
    <w:rsid w:val="007D6D13"/>
    <w:rsid w:val="007D7748"/>
    <w:rsid w:val="008002C8"/>
    <w:rsid w:val="0080472F"/>
    <w:rsid w:val="00804FC2"/>
    <w:rsid w:val="008316E9"/>
    <w:rsid w:val="00835C56"/>
    <w:rsid w:val="00844B76"/>
    <w:rsid w:val="008572FD"/>
    <w:rsid w:val="008864E6"/>
    <w:rsid w:val="008A42E4"/>
    <w:rsid w:val="008B16D5"/>
    <w:rsid w:val="008C2D90"/>
    <w:rsid w:val="008D4B69"/>
    <w:rsid w:val="008E11EC"/>
    <w:rsid w:val="008E4CF6"/>
    <w:rsid w:val="008F7667"/>
    <w:rsid w:val="009003A2"/>
    <w:rsid w:val="00920178"/>
    <w:rsid w:val="0095488D"/>
    <w:rsid w:val="00957231"/>
    <w:rsid w:val="009626DD"/>
    <w:rsid w:val="0097483E"/>
    <w:rsid w:val="009938E4"/>
    <w:rsid w:val="009C73DD"/>
    <w:rsid w:val="009F75A1"/>
    <w:rsid w:val="00A02AF1"/>
    <w:rsid w:val="00A03817"/>
    <w:rsid w:val="00A05FEA"/>
    <w:rsid w:val="00A2685C"/>
    <w:rsid w:val="00A268AC"/>
    <w:rsid w:val="00A3054F"/>
    <w:rsid w:val="00A44BAD"/>
    <w:rsid w:val="00A46971"/>
    <w:rsid w:val="00A82E6D"/>
    <w:rsid w:val="00AA4672"/>
    <w:rsid w:val="00AA4A89"/>
    <w:rsid w:val="00B15D08"/>
    <w:rsid w:val="00B174A5"/>
    <w:rsid w:val="00B47F6C"/>
    <w:rsid w:val="00B97105"/>
    <w:rsid w:val="00BA22F5"/>
    <w:rsid w:val="00BC19F7"/>
    <w:rsid w:val="00BC5792"/>
    <w:rsid w:val="00BC6F51"/>
    <w:rsid w:val="00BE317F"/>
    <w:rsid w:val="00C15AF0"/>
    <w:rsid w:val="00C1615A"/>
    <w:rsid w:val="00C3032D"/>
    <w:rsid w:val="00C360BE"/>
    <w:rsid w:val="00C62C18"/>
    <w:rsid w:val="00C64FEC"/>
    <w:rsid w:val="00C7768E"/>
    <w:rsid w:val="00CB0AF1"/>
    <w:rsid w:val="00CD22F0"/>
    <w:rsid w:val="00CF5092"/>
    <w:rsid w:val="00D0195D"/>
    <w:rsid w:val="00D418E3"/>
    <w:rsid w:val="00D51611"/>
    <w:rsid w:val="00D639C0"/>
    <w:rsid w:val="00D72E05"/>
    <w:rsid w:val="00D73FC0"/>
    <w:rsid w:val="00D81626"/>
    <w:rsid w:val="00DC02E2"/>
    <w:rsid w:val="00DC0B50"/>
    <w:rsid w:val="00DD22D9"/>
    <w:rsid w:val="00DD68C3"/>
    <w:rsid w:val="00DE67F6"/>
    <w:rsid w:val="00DF4691"/>
    <w:rsid w:val="00DF78BD"/>
    <w:rsid w:val="00E20C72"/>
    <w:rsid w:val="00E23001"/>
    <w:rsid w:val="00E260EE"/>
    <w:rsid w:val="00E31759"/>
    <w:rsid w:val="00E34083"/>
    <w:rsid w:val="00E345E3"/>
    <w:rsid w:val="00E57EB0"/>
    <w:rsid w:val="00E67D60"/>
    <w:rsid w:val="00E70D9A"/>
    <w:rsid w:val="00E8579E"/>
    <w:rsid w:val="00EA0B82"/>
    <w:rsid w:val="00EA1BB0"/>
    <w:rsid w:val="00EA727D"/>
    <w:rsid w:val="00EB0911"/>
    <w:rsid w:val="00EB2D4F"/>
    <w:rsid w:val="00EB47DD"/>
    <w:rsid w:val="00EC085E"/>
    <w:rsid w:val="00EC6008"/>
    <w:rsid w:val="00ED2B32"/>
    <w:rsid w:val="00EE366E"/>
    <w:rsid w:val="00EE4324"/>
    <w:rsid w:val="00F16B3F"/>
    <w:rsid w:val="00F32612"/>
    <w:rsid w:val="00F61B91"/>
    <w:rsid w:val="00F66D50"/>
    <w:rsid w:val="00F96BEC"/>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7C60E2"/>
    <w:rPr>
      <w:rFonts w:ascii="Perpetua Std" w:hAnsi="Perpetua Std"/>
    </w:rPr>
  </w:style>
  <w:style w:type="paragraph" w:styleId="Heading1">
    <w:name w:val="heading 1"/>
    <w:basedOn w:val="Normal"/>
    <w:next w:val="Normal"/>
    <w:link w:val="Heading1Char"/>
    <w:qFormat/>
    <w:rsid w:val="007C60E2"/>
    <w:pPr>
      <w:keepNext/>
      <w:outlineLvl w:val="0"/>
    </w:pPr>
    <w:rPr>
      <w:b/>
    </w:rPr>
  </w:style>
  <w:style w:type="paragraph" w:styleId="Heading2">
    <w:name w:val="heading 2"/>
    <w:basedOn w:val="Normal"/>
    <w:next w:val="Normal"/>
    <w:link w:val="Heading2Char"/>
    <w:qFormat/>
    <w:rsid w:val="007C60E2"/>
    <w:pPr>
      <w:keepNext/>
      <w:spacing w:before="240" w:after="60"/>
      <w:outlineLvl w:val="1"/>
    </w:pPr>
    <w:rPr>
      <w:rFonts w:ascii="Arial" w:hAnsi="Arial"/>
      <w:b/>
      <w:i/>
      <w:sz w:val="24"/>
    </w:rPr>
  </w:style>
  <w:style w:type="paragraph" w:styleId="Heading3">
    <w:name w:val="heading 3"/>
    <w:basedOn w:val="Normal"/>
    <w:next w:val="Normal"/>
    <w:link w:val="Heading3Char"/>
    <w:qFormat/>
    <w:rsid w:val="007C60E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7C60E2"/>
    <w:pPr>
      <w:spacing w:after="240"/>
      <w:jc w:val="both"/>
    </w:pPr>
    <w:rPr>
      <w:rFonts w:ascii="Helvetica LT Std" w:hAnsi="Helvetica LT Std"/>
      <w:b/>
      <w:color w:val="000000"/>
      <w:sz w:val="26"/>
    </w:rPr>
  </w:style>
  <w:style w:type="paragraph" w:customStyle="1" w:styleId="PA">
    <w:name w:val="PA"/>
    <w:next w:val="Normal"/>
    <w:link w:val="PAChar"/>
    <w:rsid w:val="007C60E2"/>
    <w:pPr>
      <w:spacing w:after="240"/>
      <w:ind w:firstLine="288"/>
      <w:jc w:val="both"/>
    </w:pPr>
    <w:rPr>
      <w:rFonts w:ascii="Perpetua Std" w:hAnsi="Perpetua Std"/>
      <w:color w:val="000000"/>
      <w:sz w:val="24"/>
    </w:rPr>
  </w:style>
  <w:style w:type="character" w:customStyle="1" w:styleId="PAChar">
    <w:name w:val="PA Char"/>
    <w:link w:val="PA"/>
    <w:rsid w:val="007C60E2"/>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7C60E2"/>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7C60E2"/>
    <w:pPr>
      <w:tabs>
        <w:tab w:val="left" w:pos="720"/>
      </w:tabs>
      <w:spacing w:after="240"/>
      <w:ind w:left="720" w:hanging="360"/>
      <w:jc w:val="both"/>
    </w:pPr>
    <w:rPr>
      <w:rFonts w:ascii="Perpetua Std" w:hAnsi="Perpetua Std"/>
      <w:color w:val="000000"/>
      <w:sz w:val="24"/>
    </w:rPr>
  </w:style>
  <w:style w:type="paragraph" w:customStyle="1" w:styleId="HD">
    <w:name w:val="HD"/>
    <w:rsid w:val="007C60E2"/>
    <w:pPr>
      <w:suppressAutoHyphens/>
      <w:spacing w:before="120"/>
      <w:jc w:val="center"/>
    </w:pPr>
    <w:rPr>
      <w:rFonts w:ascii="Helvetica LT Std" w:hAnsi="Helvetica LT Std"/>
      <w:sz w:val="26"/>
      <w:szCs w:val="18"/>
    </w:rPr>
  </w:style>
  <w:style w:type="paragraph" w:customStyle="1" w:styleId="PN">
    <w:name w:val="PN"/>
    <w:rsid w:val="007C60E2"/>
    <w:pPr>
      <w:spacing w:after="240"/>
      <w:ind w:left="720" w:firstLine="288"/>
      <w:jc w:val="both"/>
    </w:pPr>
    <w:rPr>
      <w:rFonts w:ascii="Perpetua Std" w:eastAsia="MS Mincho" w:hAnsi="Perpetua Std"/>
      <w:color w:val="000000"/>
    </w:rPr>
  </w:style>
  <w:style w:type="paragraph" w:customStyle="1" w:styleId="PB">
    <w:name w:val="PB"/>
    <w:rsid w:val="007C60E2"/>
    <w:pPr>
      <w:spacing w:after="240"/>
      <w:jc w:val="both"/>
    </w:pPr>
    <w:rPr>
      <w:rFonts w:ascii="Perpetua Std" w:hAnsi="Perpetua Std"/>
      <w:color w:val="000000"/>
      <w:sz w:val="24"/>
    </w:rPr>
  </w:style>
  <w:style w:type="paragraph" w:customStyle="1" w:styleId="PQ">
    <w:name w:val="PQ"/>
    <w:link w:val="PQChar"/>
    <w:rsid w:val="007C60E2"/>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7C60E2"/>
    <w:rPr>
      <w:rFonts w:ascii="Adobe Caslon Pro" w:hAnsi="Adobe Caslon Pro"/>
      <w:color w:val="000000"/>
      <w:sz w:val="14"/>
    </w:rPr>
  </w:style>
  <w:style w:type="paragraph" w:customStyle="1" w:styleId="PF">
    <w:name w:val="PF"/>
    <w:rsid w:val="007C60E2"/>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7C60E2"/>
    <w:pPr>
      <w:spacing w:before="120" w:after="120"/>
      <w:jc w:val="center"/>
    </w:pPr>
    <w:rPr>
      <w:rFonts w:ascii="Helvetica LT Std" w:hAnsi="Helvetica LT Std"/>
      <w:sz w:val="24"/>
    </w:rPr>
  </w:style>
  <w:style w:type="table" w:styleId="TableGrid">
    <w:name w:val="Table Grid"/>
    <w:basedOn w:val="TableNormal"/>
    <w:rsid w:val="007C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7C60E2"/>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7C60E2"/>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7C60E2"/>
    <w:pPr>
      <w:spacing w:before="144"/>
      <w:jc w:val="both"/>
    </w:pPr>
    <w:rPr>
      <w:noProof/>
    </w:rPr>
  </w:style>
  <w:style w:type="paragraph" w:customStyle="1" w:styleId="PD">
    <w:name w:val="PD"/>
    <w:rsid w:val="007C60E2"/>
    <w:pPr>
      <w:spacing w:after="240"/>
      <w:ind w:left="720" w:firstLine="288"/>
      <w:jc w:val="both"/>
    </w:pPr>
    <w:rPr>
      <w:rFonts w:ascii="Perpetua Std" w:hAnsi="Perpetua Std"/>
      <w:color w:val="000000"/>
      <w:sz w:val="24"/>
    </w:rPr>
  </w:style>
  <w:style w:type="paragraph" w:customStyle="1" w:styleId="PE">
    <w:name w:val="PE"/>
    <w:rsid w:val="007C60E2"/>
    <w:pPr>
      <w:spacing w:after="240"/>
      <w:ind w:left="720"/>
      <w:jc w:val="both"/>
    </w:pPr>
    <w:rPr>
      <w:rFonts w:ascii="Perpetua Std" w:hAnsi="Perpetua Std"/>
      <w:color w:val="000000"/>
      <w:sz w:val="24"/>
    </w:rPr>
  </w:style>
  <w:style w:type="paragraph" w:customStyle="1" w:styleId="PG">
    <w:name w:val="PG"/>
    <w:rsid w:val="007C60E2"/>
    <w:pPr>
      <w:spacing w:after="240"/>
      <w:ind w:left="360"/>
      <w:jc w:val="both"/>
    </w:pPr>
    <w:rPr>
      <w:rFonts w:ascii="Perpetua Std" w:hAnsi="Perpetua Std"/>
      <w:color w:val="000000"/>
      <w:sz w:val="24"/>
    </w:rPr>
  </w:style>
  <w:style w:type="paragraph" w:customStyle="1" w:styleId="PH">
    <w:name w:val="PH"/>
    <w:rsid w:val="007C60E2"/>
    <w:pPr>
      <w:tabs>
        <w:tab w:val="left" w:pos="360"/>
      </w:tabs>
      <w:spacing w:after="240"/>
      <w:ind w:left="360" w:hanging="360"/>
      <w:jc w:val="both"/>
    </w:pPr>
    <w:rPr>
      <w:rFonts w:ascii="Perpetua Std" w:hAnsi="Perpetua Std"/>
      <w:color w:val="000000"/>
      <w:sz w:val="24"/>
    </w:rPr>
  </w:style>
  <w:style w:type="paragraph" w:customStyle="1" w:styleId="PI">
    <w:name w:val="PI"/>
    <w:rsid w:val="007C60E2"/>
    <w:pPr>
      <w:spacing w:after="240"/>
      <w:ind w:left="360" w:hanging="360"/>
      <w:jc w:val="both"/>
    </w:pPr>
    <w:rPr>
      <w:rFonts w:ascii="Perpetua Std" w:hAnsi="Perpetua Std"/>
      <w:color w:val="000000"/>
      <w:sz w:val="24"/>
    </w:rPr>
  </w:style>
  <w:style w:type="paragraph" w:customStyle="1" w:styleId="PK">
    <w:name w:val="PK"/>
    <w:rsid w:val="007C60E2"/>
    <w:pPr>
      <w:spacing w:after="240"/>
      <w:ind w:left="360" w:firstLine="288"/>
      <w:jc w:val="both"/>
    </w:pPr>
    <w:rPr>
      <w:rFonts w:ascii="Perpetua Std" w:hAnsi="Perpetua Std"/>
      <w:color w:val="000000"/>
      <w:sz w:val="24"/>
    </w:rPr>
  </w:style>
  <w:style w:type="paragraph" w:customStyle="1" w:styleId="PL">
    <w:name w:val="PL"/>
    <w:rsid w:val="007C60E2"/>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7C60E2"/>
    <w:pPr>
      <w:spacing w:after="240"/>
      <w:ind w:left="432" w:right="432" w:firstLine="432"/>
      <w:jc w:val="both"/>
    </w:pPr>
    <w:rPr>
      <w:rFonts w:ascii="Minion Pro" w:hAnsi="Minion Pro"/>
    </w:rPr>
  </w:style>
  <w:style w:type="paragraph" w:customStyle="1" w:styleId="TOC">
    <w:name w:val="TOC"/>
    <w:autoRedefine/>
    <w:rsid w:val="007C60E2"/>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7C60E2"/>
    <w:pPr>
      <w:tabs>
        <w:tab w:val="clear" w:pos="1440"/>
        <w:tab w:val="clear" w:pos="8640"/>
        <w:tab w:val="left" w:pos="240"/>
        <w:tab w:val="left" w:pos="480"/>
        <w:tab w:val="right" w:leader="dot" w:pos="4680"/>
      </w:tabs>
      <w:ind w:left="0" w:firstLine="0"/>
    </w:pPr>
    <w:rPr>
      <w:sz w:val="22"/>
    </w:rPr>
  </w:style>
  <w:style w:type="paragraph" w:customStyle="1" w:styleId="PP">
    <w:name w:val="PP"/>
    <w:rsid w:val="007C60E2"/>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7C60E2"/>
    <w:pPr>
      <w:spacing w:after="240"/>
      <w:jc w:val="center"/>
    </w:pPr>
    <w:rPr>
      <w:rFonts w:ascii="Helvetica LT Std" w:hAnsi="Helvetica LT Std"/>
      <w:b/>
      <w:caps/>
      <w:color w:val="000000"/>
      <w:sz w:val="36"/>
      <w:szCs w:val="32"/>
    </w:rPr>
  </w:style>
  <w:style w:type="paragraph" w:customStyle="1" w:styleId="HB">
    <w:name w:val="HB"/>
    <w:rsid w:val="007C60E2"/>
    <w:pPr>
      <w:spacing w:before="120" w:after="240"/>
      <w:jc w:val="center"/>
    </w:pPr>
    <w:rPr>
      <w:rFonts w:ascii="Helvetica LT Std" w:hAnsi="Helvetica LT Std"/>
      <w:b/>
      <w:color w:val="5F5F5F"/>
      <w:w w:val="105"/>
      <w:sz w:val="32"/>
    </w:rPr>
  </w:style>
  <w:style w:type="paragraph" w:customStyle="1" w:styleId="HC">
    <w:name w:val="HC"/>
    <w:autoRedefine/>
    <w:rsid w:val="007C60E2"/>
    <w:pPr>
      <w:tabs>
        <w:tab w:val="left" w:pos="284"/>
      </w:tabs>
      <w:spacing w:before="120" w:after="120"/>
      <w:jc w:val="center"/>
    </w:pPr>
    <w:rPr>
      <w:rFonts w:ascii="Helvetica LT Std" w:hAnsi="Helvetica LT Std"/>
      <w:b/>
      <w:color w:val="000000"/>
      <w:w w:val="110"/>
      <w:sz w:val="26"/>
    </w:rPr>
  </w:style>
  <w:style w:type="paragraph" w:customStyle="1" w:styleId="PR">
    <w:name w:val="PR"/>
    <w:rsid w:val="007C60E2"/>
    <w:pPr>
      <w:spacing w:after="240"/>
      <w:ind w:left="360" w:firstLine="288"/>
      <w:jc w:val="both"/>
    </w:pPr>
    <w:rPr>
      <w:rFonts w:ascii="Adobe Caslon Pro" w:hAnsi="Adobe Caslon Pro"/>
      <w:color w:val="000000"/>
      <w:sz w:val="14"/>
    </w:rPr>
  </w:style>
  <w:style w:type="paragraph" w:customStyle="1" w:styleId="PO">
    <w:name w:val="PO"/>
    <w:rsid w:val="007C60E2"/>
    <w:pPr>
      <w:spacing w:after="240"/>
      <w:jc w:val="both"/>
    </w:pPr>
    <w:rPr>
      <w:rFonts w:ascii="Perpetua Std" w:hAnsi="Perpetua Std"/>
      <w:color w:val="000000"/>
      <w:w w:val="95"/>
      <w:szCs w:val="16"/>
    </w:rPr>
  </w:style>
  <w:style w:type="paragraph" w:customStyle="1" w:styleId="GUIDEX">
    <w:name w:val="GUIDEX"/>
    <w:rsid w:val="007C60E2"/>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7C60E2"/>
    <w:pPr>
      <w:tabs>
        <w:tab w:val="clear" w:pos="240"/>
        <w:tab w:val="clear" w:pos="480"/>
        <w:tab w:val="clear" w:pos="720"/>
        <w:tab w:val="right" w:pos="4680"/>
      </w:tabs>
    </w:pPr>
  </w:style>
  <w:style w:type="paragraph" w:customStyle="1" w:styleId="PCB">
    <w:name w:val="PCB"/>
    <w:autoRedefine/>
    <w:rsid w:val="007C60E2"/>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7C60E2"/>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7C60E2"/>
    <w:rPr>
      <w:rFonts w:ascii="Perpetua Std" w:hAnsi="Perpetua Std"/>
    </w:rPr>
  </w:style>
  <w:style w:type="paragraph" w:styleId="NoSpacing">
    <w:name w:val="No Spacing"/>
    <w:qFormat/>
    <w:rsid w:val="007C60E2"/>
    <w:rPr>
      <w:rFonts w:ascii="Perpetua" w:hAnsi="Perpetua"/>
    </w:rPr>
  </w:style>
  <w:style w:type="paragraph" w:customStyle="1" w:styleId="PCA">
    <w:name w:val="PCA"/>
    <w:rsid w:val="007C60E2"/>
    <w:pPr>
      <w:numPr>
        <w:numId w:val="29"/>
      </w:numPr>
      <w:tabs>
        <w:tab w:val="left" w:pos="720"/>
      </w:tabs>
      <w:spacing w:after="240"/>
      <w:jc w:val="both"/>
    </w:pPr>
    <w:rPr>
      <w:rFonts w:ascii="Perpetua Std" w:hAnsi="Perpetua Std"/>
      <w:sz w:val="24"/>
    </w:rPr>
  </w:style>
  <w:style w:type="paragraph" w:customStyle="1" w:styleId="PHB">
    <w:name w:val="PHB"/>
    <w:rsid w:val="007C60E2"/>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7C60E2"/>
    <w:rPr>
      <w:rFonts w:ascii="Perpetua Std" w:eastAsia="MS Mincho" w:hAnsi="Perpetua Std"/>
      <w:color w:val="000000"/>
      <w:sz w:val="22"/>
    </w:rPr>
  </w:style>
  <w:style w:type="paragraph" w:styleId="EndnoteText">
    <w:name w:val="endnote text"/>
    <w:basedOn w:val="Normal"/>
    <w:link w:val="EndnoteTextChar"/>
    <w:semiHidden/>
    <w:unhideWhenUsed/>
    <w:rsid w:val="003D164B"/>
  </w:style>
  <w:style w:type="character" w:customStyle="1" w:styleId="EndnoteTextChar">
    <w:name w:val="Endnote Text Char"/>
    <w:basedOn w:val="DefaultParagraphFont"/>
    <w:link w:val="EndnoteText"/>
    <w:semiHidden/>
    <w:rsid w:val="003D164B"/>
    <w:rPr>
      <w:rFonts w:ascii="Perpetua Std" w:hAnsi="Perpetua Std"/>
    </w:rPr>
  </w:style>
  <w:style w:type="character" w:styleId="EndnoteReference">
    <w:name w:val="endnote reference"/>
    <w:basedOn w:val="DefaultParagraphFont"/>
    <w:semiHidden/>
    <w:unhideWhenUsed/>
    <w:rsid w:val="003D16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7C60E2"/>
    <w:rPr>
      <w:rFonts w:ascii="Perpetua Std" w:hAnsi="Perpetua Std"/>
    </w:rPr>
  </w:style>
  <w:style w:type="paragraph" w:styleId="Heading1">
    <w:name w:val="heading 1"/>
    <w:basedOn w:val="Normal"/>
    <w:next w:val="Normal"/>
    <w:link w:val="Heading1Char"/>
    <w:qFormat/>
    <w:rsid w:val="007C60E2"/>
    <w:pPr>
      <w:keepNext/>
      <w:outlineLvl w:val="0"/>
    </w:pPr>
    <w:rPr>
      <w:b/>
    </w:rPr>
  </w:style>
  <w:style w:type="paragraph" w:styleId="Heading2">
    <w:name w:val="heading 2"/>
    <w:basedOn w:val="Normal"/>
    <w:next w:val="Normal"/>
    <w:link w:val="Heading2Char"/>
    <w:qFormat/>
    <w:rsid w:val="007C60E2"/>
    <w:pPr>
      <w:keepNext/>
      <w:spacing w:before="240" w:after="60"/>
      <w:outlineLvl w:val="1"/>
    </w:pPr>
    <w:rPr>
      <w:rFonts w:ascii="Arial" w:hAnsi="Arial"/>
      <w:b/>
      <w:i/>
      <w:sz w:val="24"/>
    </w:rPr>
  </w:style>
  <w:style w:type="paragraph" w:styleId="Heading3">
    <w:name w:val="heading 3"/>
    <w:basedOn w:val="Normal"/>
    <w:next w:val="Normal"/>
    <w:link w:val="Heading3Char"/>
    <w:qFormat/>
    <w:rsid w:val="007C60E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7C60E2"/>
    <w:pPr>
      <w:spacing w:after="240"/>
      <w:jc w:val="both"/>
    </w:pPr>
    <w:rPr>
      <w:rFonts w:ascii="Helvetica LT Std" w:hAnsi="Helvetica LT Std"/>
      <w:b/>
      <w:color w:val="000000"/>
      <w:sz w:val="26"/>
    </w:rPr>
  </w:style>
  <w:style w:type="paragraph" w:customStyle="1" w:styleId="PA">
    <w:name w:val="PA"/>
    <w:next w:val="Normal"/>
    <w:link w:val="PAChar"/>
    <w:rsid w:val="007C60E2"/>
    <w:pPr>
      <w:spacing w:after="240"/>
      <w:ind w:firstLine="288"/>
      <w:jc w:val="both"/>
    </w:pPr>
    <w:rPr>
      <w:rFonts w:ascii="Perpetua Std" w:hAnsi="Perpetua Std"/>
      <w:color w:val="000000"/>
      <w:sz w:val="24"/>
    </w:rPr>
  </w:style>
  <w:style w:type="character" w:customStyle="1" w:styleId="PAChar">
    <w:name w:val="PA Char"/>
    <w:link w:val="PA"/>
    <w:rsid w:val="007C60E2"/>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7C60E2"/>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7C60E2"/>
    <w:pPr>
      <w:tabs>
        <w:tab w:val="left" w:pos="720"/>
      </w:tabs>
      <w:spacing w:after="240"/>
      <w:ind w:left="720" w:hanging="360"/>
      <w:jc w:val="both"/>
    </w:pPr>
    <w:rPr>
      <w:rFonts w:ascii="Perpetua Std" w:hAnsi="Perpetua Std"/>
      <w:color w:val="000000"/>
      <w:sz w:val="24"/>
    </w:rPr>
  </w:style>
  <w:style w:type="paragraph" w:customStyle="1" w:styleId="HD">
    <w:name w:val="HD"/>
    <w:rsid w:val="007C60E2"/>
    <w:pPr>
      <w:suppressAutoHyphens/>
      <w:spacing w:before="120"/>
      <w:jc w:val="center"/>
    </w:pPr>
    <w:rPr>
      <w:rFonts w:ascii="Helvetica LT Std" w:hAnsi="Helvetica LT Std"/>
      <w:sz w:val="26"/>
      <w:szCs w:val="18"/>
    </w:rPr>
  </w:style>
  <w:style w:type="paragraph" w:customStyle="1" w:styleId="PN">
    <w:name w:val="PN"/>
    <w:rsid w:val="007C60E2"/>
    <w:pPr>
      <w:spacing w:after="240"/>
      <w:ind w:left="720" w:firstLine="288"/>
      <w:jc w:val="both"/>
    </w:pPr>
    <w:rPr>
      <w:rFonts w:ascii="Perpetua Std" w:eastAsia="MS Mincho" w:hAnsi="Perpetua Std"/>
      <w:color w:val="000000"/>
    </w:rPr>
  </w:style>
  <w:style w:type="paragraph" w:customStyle="1" w:styleId="PB">
    <w:name w:val="PB"/>
    <w:rsid w:val="007C60E2"/>
    <w:pPr>
      <w:spacing w:after="240"/>
      <w:jc w:val="both"/>
    </w:pPr>
    <w:rPr>
      <w:rFonts w:ascii="Perpetua Std" w:hAnsi="Perpetua Std"/>
      <w:color w:val="000000"/>
      <w:sz w:val="24"/>
    </w:rPr>
  </w:style>
  <w:style w:type="paragraph" w:customStyle="1" w:styleId="PQ">
    <w:name w:val="PQ"/>
    <w:link w:val="PQChar"/>
    <w:rsid w:val="007C60E2"/>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7C60E2"/>
    <w:rPr>
      <w:rFonts w:ascii="Adobe Caslon Pro" w:hAnsi="Adobe Caslon Pro"/>
      <w:color w:val="000000"/>
      <w:sz w:val="14"/>
    </w:rPr>
  </w:style>
  <w:style w:type="paragraph" w:customStyle="1" w:styleId="PF">
    <w:name w:val="PF"/>
    <w:rsid w:val="007C60E2"/>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7C60E2"/>
    <w:pPr>
      <w:spacing w:before="120" w:after="120"/>
      <w:jc w:val="center"/>
    </w:pPr>
    <w:rPr>
      <w:rFonts w:ascii="Helvetica LT Std" w:hAnsi="Helvetica LT Std"/>
      <w:sz w:val="24"/>
    </w:rPr>
  </w:style>
  <w:style w:type="table" w:styleId="TableGrid">
    <w:name w:val="Table Grid"/>
    <w:basedOn w:val="TableNormal"/>
    <w:rsid w:val="007C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7C60E2"/>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7C60E2"/>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7C60E2"/>
    <w:pPr>
      <w:spacing w:before="144"/>
      <w:jc w:val="both"/>
    </w:pPr>
    <w:rPr>
      <w:noProof/>
    </w:rPr>
  </w:style>
  <w:style w:type="paragraph" w:customStyle="1" w:styleId="PD">
    <w:name w:val="PD"/>
    <w:rsid w:val="007C60E2"/>
    <w:pPr>
      <w:spacing w:after="240"/>
      <w:ind w:left="720" w:firstLine="288"/>
      <w:jc w:val="both"/>
    </w:pPr>
    <w:rPr>
      <w:rFonts w:ascii="Perpetua Std" w:hAnsi="Perpetua Std"/>
      <w:color w:val="000000"/>
      <w:sz w:val="24"/>
    </w:rPr>
  </w:style>
  <w:style w:type="paragraph" w:customStyle="1" w:styleId="PE">
    <w:name w:val="PE"/>
    <w:rsid w:val="007C60E2"/>
    <w:pPr>
      <w:spacing w:after="240"/>
      <w:ind w:left="720"/>
      <w:jc w:val="both"/>
    </w:pPr>
    <w:rPr>
      <w:rFonts w:ascii="Perpetua Std" w:hAnsi="Perpetua Std"/>
      <w:color w:val="000000"/>
      <w:sz w:val="24"/>
    </w:rPr>
  </w:style>
  <w:style w:type="paragraph" w:customStyle="1" w:styleId="PG">
    <w:name w:val="PG"/>
    <w:rsid w:val="007C60E2"/>
    <w:pPr>
      <w:spacing w:after="240"/>
      <w:ind w:left="360"/>
      <w:jc w:val="both"/>
    </w:pPr>
    <w:rPr>
      <w:rFonts w:ascii="Perpetua Std" w:hAnsi="Perpetua Std"/>
      <w:color w:val="000000"/>
      <w:sz w:val="24"/>
    </w:rPr>
  </w:style>
  <w:style w:type="paragraph" w:customStyle="1" w:styleId="PH">
    <w:name w:val="PH"/>
    <w:rsid w:val="007C60E2"/>
    <w:pPr>
      <w:tabs>
        <w:tab w:val="left" w:pos="360"/>
      </w:tabs>
      <w:spacing w:after="240"/>
      <w:ind w:left="360" w:hanging="360"/>
      <w:jc w:val="both"/>
    </w:pPr>
    <w:rPr>
      <w:rFonts w:ascii="Perpetua Std" w:hAnsi="Perpetua Std"/>
      <w:color w:val="000000"/>
      <w:sz w:val="24"/>
    </w:rPr>
  </w:style>
  <w:style w:type="paragraph" w:customStyle="1" w:styleId="PI">
    <w:name w:val="PI"/>
    <w:rsid w:val="007C60E2"/>
    <w:pPr>
      <w:spacing w:after="240"/>
      <w:ind w:left="360" w:hanging="360"/>
      <w:jc w:val="both"/>
    </w:pPr>
    <w:rPr>
      <w:rFonts w:ascii="Perpetua Std" w:hAnsi="Perpetua Std"/>
      <w:color w:val="000000"/>
      <w:sz w:val="24"/>
    </w:rPr>
  </w:style>
  <w:style w:type="paragraph" w:customStyle="1" w:styleId="PK">
    <w:name w:val="PK"/>
    <w:rsid w:val="007C60E2"/>
    <w:pPr>
      <w:spacing w:after="240"/>
      <w:ind w:left="360" w:firstLine="288"/>
      <w:jc w:val="both"/>
    </w:pPr>
    <w:rPr>
      <w:rFonts w:ascii="Perpetua Std" w:hAnsi="Perpetua Std"/>
      <w:color w:val="000000"/>
      <w:sz w:val="24"/>
    </w:rPr>
  </w:style>
  <w:style w:type="paragraph" w:customStyle="1" w:styleId="PL">
    <w:name w:val="PL"/>
    <w:rsid w:val="007C60E2"/>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7C60E2"/>
    <w:pPr>
      <w:spacing w:after="240"/>
      <w:ind w:left="432" w:right="432" w:firstLine="432"/>
      <w:jc w:val="both"/>
    </w:pPr>
    <w:rPr>
      <w:rFonts w:ascii="Minion Pro" w:hAnsi="Minion Pro"/>
    </w:rPr>
  </w:style>
  <w:style w:type="paragraph" w:customStyle="1" w:styleId="TOC">
    <w:name w:val="TOC"/>
    <w:autoRedefine/>
    <w:rsid w:val="007C60E2"/>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7C60E2"/>
    <w:pPr>
      <w:tabs>
        <w:tab w:val="clear" w:pos="1440"/>
        <w:tab w:val="clear" w:pos="8640"/>
        <w:tab w:val="left" w:pos="240"/>
        <w:tab w:val="left" w:pos="480"/>
        <w:tab w:val="right" w:leader="dot" w:pos="4680"/>
      </w:tabs>
      <w:ind w:left="0" w:firstLine="0"/>
    </w:pPr>
    <w:rPr>
      <w:sz w:val="22"/>
    </w:rPr>
  </w:style>
  <w:style w:type="paragraph" w:customStyle="1" w:styleId="PP">
    <w:name w:val="PP"/>
    <w:rsid w:val="007C60E2"/>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7C60E2"/>
    <w:pPr>
      <w:spacing w:after="240"/>
      <w:jc w:val="center"/>
    </w:pPr>
    <w:rPr>
      <w:rFonts w:ascii="Helvetica LT Std" w:hAnsi="Helvetica LT Std"/>
      <w:b/>
      <w:caps/>
      <w:color w:val="000000"/>
      <w:sz w:val="36"/>
      <w:szCs w:val="32"/>
    </w:rPr>
  </w:style>
  <w:style w:type="paragraph" w:customStyle="1" w:styleId="HB">
    <w:name w:val="HB"/>
    <w:rsid w:val="007C60E2"/>
    <w:pPr>
      <w:spacing w:before="120" w:after="240"/>
      <w:jc w:val="center"/>
    </w:pPr>
    <w:rPr>
      <w:rFonts w:ascii="Helvetica LT Std" w:hAnsi="Helvetica LT Std"/>
      <w:b/>
      <w:color w:val="5F5F5F"/>
      <w:w w:val="105"/>
      <w:sz w:val="32"/>
    </w:rPr>
  </w:style>
  <w:style w:type="paragraph" w:customStyle="1" w:styleId="HC">
    <w:name w:val="HC"/>
    <w:autoRedefine/>
    <w:rsid w:val="007C60E2"/>
    <w:pPr>
      <w:tabs>
        <w:tab w:val="left" w:pos="284"/>
      </w:tabs>
      <w:spacing w:before="120" w:after="120"/>
      <w:jc w:val="center"/>
    </w:pPr>
    <w:rPr>
      <w:rFonts w:ascii="Helvetica LT Std" w:hAnsi="Helvetica LT Std"/>
      <w:b/>
      <w:color w:val="000000"/>
      <w:w w:val="110"/>
      <w:sz w:val="26"/>
    </w:rPr>
  </w:style>
  <w:style w:type="paragraph" w:customStyle="1" w:styleId="PR">
    <w:name w:val="PR"/>
    <w:rsid w:val="007C60E2"/>
    <w:pPr>
      <w:spacing w:after="240"/>
      <w:ind w:left="360" w:firstLine="288"/>
      <w:jc w:val="both"/>
    </w:pPr>
    <w:rPr>
      <w:rFonts w:ascii="Adobe Caslon Pro" w:hAnsi="Adobe Caslon Pro"/>
      <w:color w:val="000000"/>
      <w:sz w:val="14"/>
    </w:rPr>
  </w:style>
  <w:style w:type="paragraph" w:customStyle="1" w:styleId="PO">
    <w:name w:val="PO"/>
    <w:rsid w:val="007C60E2"/>
    <w:pPr>
      <w:spacing w:after="240"/>
      <w:jc w:val="both"/>
    </w:pPr>
    <w:rPr>
      <w:rFonts w:ascii="Perpetua Std" w:hAnsi="Perpetua Std"/>
      <w:color w:val="000000"/>
      <w:w w:val="95"/>
      <w:szCs w:val="16"/>
    </w:rPr>
  </w:style>
  <w:style w:type="paragraph" w:customStyle="1" w:styleId="GUIDEX">
    <w:name w:val="GUIDEX"/>
    <w:rsid w:val="007C60E2"/>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7C60E2"/>
    <w:pPr>
      <w:tabs>
        <w:tab w:val="clear" w:pos="240"/>
        <w:tab w:val="clear" w:pos="480"/>
        <w:tab w:val="clear" w:pos="720"/>
        <w:tab w:val="right" w:pos="4680"/>
      </w:tabs>
    </w:pPr>
  </w:style>
  <w:style w:type="paragraph" w:customStyle="1" w:styleId="PCB">
    <w:name w:val="PCB"/>
    <w:autoRedefine/>
    <w:rsid w:val="007C60E2"/>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7C60E2"/>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7C60E2"/>
    <w:rPr>
      <w:rFonts w:ascii="Perpetua Std" w:hAnsi="Perpetua Std"/>
    </w:rPr>
  </w:style>
  <w:style w:type="paragraph" w:styleId="NoSpacing">
    <w:name w:val="No Spacing"/>
    <w:qFormat/>
    <w:rsid w:val="007C60E2"/>
    <w:rPr>
      <w:rFonts w:ascii="Perpetua" w:hAnsi="Perpetua"/>
    </w:rPr>
  </w:style>
  <w:style w:type="paragraph" w:customStyle="1" w:styleId="PCA">
    <w:name w:val="PCA"/>
    <w:rsid w:val="007C60E2"/>
    <w:pPr>
      <w:numPr>
        <w:numId w:val="29"/>
      </w:numPr>
      <w:tabs>
        <w:tab w:val="left" w:pos="720"/>
      </w:tabs>
      <w:spacing w:after="240"/>
      <w:jc w:val="both"/>
    </w:pPr>
    <w:rPr>
      <w:rFonts w:ascii="Perpetua Std" w:hAnsi="Perpetua Std"/>
      <w:sz w:val="24"/>
    </w:rPr>
  </w:style>
  <w:style w:type="paragraph" w:customStyle="1" w:styleId="PHB">
    <w:name w:val="PHB"/>
    <w:rsid w:val="007C60E2"/>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7C60E2"/>
    <w:rPr>
      <w:rFonts w:ascii="Perpetua Std" w:eastAsia="MS Mincho" w:hAnsi="Perpetua Std"/>
      <w:color w:val="000000"/>
      <w:sz w:val="22"/>
    </w:rPr>
  </w:style>
  <w:style w:type="paragraph" w:styleId="EndnoteText">
    <w:name w:val="endnote text"/>
    <w:basedOn w:val="Normal"/>
    <w:link w:val="EndnoteTextChar"/>
    <w:semiHidden/>
    <w:unhideWhenUsed/>
    <w:rsid w:val="003D164B"/>
  </w:style>
  <w:style w:type="character" w:customStyle="1" w:styleId="EndnoteTextChar">
    <w:name w:val="Endnote Text Char"/>
    <w:basedOn w:val="DefaultParagraphFont"/>
    <w:link w:val="EndnoteText"/>
    <w:semiHidden/>
    <w:rsid w:val="003D164B"/>
    <w:rPr>
      <w:rFonts w:ascii="Perpetua Std" w:hAnsi="Perpetua Std"/>
    </w:rPr>
  </w:style>
  <w:style w:type="character" w:styleId="EndnoteReference">
    <w:name w:val="endnote reference"/>
    <w:basedOn w:val="DefaultParagraphFont"/>
    <w:semiHidden/>
    <w:unhideWhenUsed/>
    <w:rsid w:val="003D1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9108-DBB7-4153-BBB2-DD4016BB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8507. How are taxes indexed for inflation each year?</vt:lpstr>
    </vt:vector>
  </TitlesOfParts>
  <Company>Summit Business Media</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8507. How are taxes indexed for inflation each year?</dc:title>
  <dc:creator>Alexis Long</dc:creator>
  <cp:lastModifiedBy>rcline</cp:lastModifiedBy>
  <cp:revision>2</cp:revision>
  <dcterms:created xsi:type="dcterms:W3CDTF">2014-08-20T13:58:00Z</dcterms:created>
  <dcterms:modified xsi:type="dcterms:W3CDTF">2014-08-20T13:58:00Z</dcterms:modified>
</cp:coreProperties>
</file>