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D9" w:rsidRPr="00227825" w:rsidRDefault="00FB42D9" w:rsidP="00957231">
      <w:pPr>
        <w:pStyle w:val="PA"/>
        <w:suppressAutoHyphens/>
        <w:spacing w:after="166"/>
        <w:rPr>
          <w:b/>
        </w:rPr>
      </w:pPr>
      <w:r w:rsidRPr="00227825">
        <w:rPr>
          <w:b/>
        </w:rPr>
        <w:t>8504.  What is a taxable year for individual income tax purposes?</w:t>
      </w:r>
    </w:p>
    <w:p w:rsidR="00FB42D9" w:rsidRDefault="00FB42D9" w:rsidP="00957231">
      <w:pPr>
        <w:pStyle w:val="PA"/>
        <w:suppressAutoHyphens/>
        <w:spacing w:after="166"/>
      </w:pPr>
    </w:p>
    <w:p w:rsidR="00427B74" w:rsidRPr="00532B64" w:rsidRDefault="00957231" w:rsidP="00957231">
      <w:pPr>
        <w:pStyle w:val="PA"/>
        <w:suppressAutoHyphens/>
        <w:spacing w:after="166"/>
      </w:pPr>
      <w:r w:rsidRPr="00532B64">
        <w:t xml:space="preserve">The basic </w:t>
      </w:r>
      <w:r w:rsidR="001D6120" w:rsidRPr="00FB42D9">
        <w:rPr>
          <w:iCs/>
        </w:rPr>
        <w:t>period</w:t>
      </w:r>
      <w:r w:rsidRPr="00532B64">
        <w:t xml:space="preserve"> for computing income tax liability is one year, known as the </w:t>
      </w:r>
      <w:r w:rsidRPr="00532B64">
        <w:rPr>
          <w:i/>
          <w:iCs/>
        </w:rPr>
        <w:t>taxable year</w:t>
      </w:r>
      <w:r w:rsidRPr="00532B64">
        <w:t>. The taxable year may be either (a) the calendar year or (b) a fiscal year. A “calendar year” is a period of 12 months ending on December 31. A “fiscal year” is a period of 12 months ending on the last day of a month other than December.</w:t>
      </w:r>
      <w:r w:rsidRPr="00532B64">
        <w:rPr>
          <w:vertAlign w:val="superscript"/>
        </w:rPr>
        <w:footnoteReference w:id="1"/>
      </w:r>
    </w:p>
    <w:p w:rsidR="00427B74" w:rsidRPr="00532B64" w:rsidRDefault="00472CB6" w:rsidP="00957231">
      <w:pPr>
        <w:pStyle w:val="PA"/>
        <w:suppressAutoHyphens/>
        <w:spacing w:after="166"/>
      </w:pPr>
      <w:r>
        <w:t>Although most individuals report tax liability on a calendar year, it is possible to use a fiscal year.  In any event, t</w:t>
      </w:r>
      <w:r w:rsidR="00957231" w:rsidRPr="00532B64">
        <w:t>he year used for reporting tax liability must generally correspond to the taxpayer’s accounting period.</w:t>
      </w:r>
      <w:r w:rsidR="00957231" w:rsidRPr="00532B64">
        <w:rPr>
          <w:vertAlign w:val="superscript"/>
        </w:rPr>
        <w:footnoteReference w:id="2"/>
      </w:r>
      <w:r w:rsidR="00957231" w:rsidRPr="00532B64">
        <w:t xml:space="preserve"> Thus, if the taxpayer keeps</w:t>
      </w:r>
      <w:r w:rsidR="00D72E05" w:rsidRPr="00532B64">
        <w:t xml:space="preserve"> books on a fiscal year basis the taxpayer cannot determine</w:t>
      </w:r>
      <w:r w:rsidR="00957231" w:rsidRPr="00532B64">
        <w:t xml:space="preserve"> tax liability on a calendar year basis.</w:t>
      </w:r>
      <w:r w:rsidR="00427B74" w:rsidRPr="00532B64">
        <w:t xml:space="preserve"> </w:t>
      </w:r>
      <w:r w:rsidR="00DC0B50" w:rsidRPr="00532B64">
        <w:t>I</w:t>
      </w:r>
      <w:r w:rsidR="00957231" w:rsidRPr="00532B64">
        <w:t>f the taxp</w:t>
      </w:r>
      <w:r w:rsidR="00D72E05" w:rsidRPr="00532B64">
        <w:t>ayer keeps no books,</w:t>
      </w:r>
      <w:r w:rsidR="00DC0B50" w:rsidRPr="00532B64">
        <w:t xml:space="preserve"> however,</w:t>
      </w:r>
      <w:r w:rsidR="00427B74" w:rsidRPr="00532B64">
        <w:t xml:space="preserve"> </w:t>
      </w:r>
      <w:r w:rsidR="00D72E05" w:rsidRPr="00532B64">
        <w:t>reporting</w:t>
      </w:r>
      <w:r w:rsidR="00957231" w:rsidRPr="00532B64">
        <w:t xml:space="preserve"> on a calendar year basis</w:t>
      </w:r>
      <w:r w:rsidR="00D72E05" w:rsidRPr="00532B64">
        <w:t xml:space="preserve"> is require</w:t>
      </w:r>
      <w:r w:rsidR="00DC0B50" w:rsidRPr="00532B64">
        <w:t>d</w:t>
      </w:r>
      <w:r w:rsidR="00957231" w:rsidRPr="00532B64">
        <w:t>.</w:t>
      </w:r>
      <w:r w:rsidR="00957231" w:rsidRPr="00532B64">
        <w:rPr>
          <w:vertAlign w:val="superscript"/>
        </w:rPr>
        <w:footnoteReference w:id="3"/>
      </w:r>
      <w:r w:rsidR="00957231" w:rsidRPr="00532B64">
        <w:t xml:space="preserve"> </w:t>
      </w:r>
      <w:r w:rsidR="00D72E05" w:rsidRPr="00532B64">
        <w:t>Once the taxpayer has chosen a tax year, it</w:t>
      </w:r>
      <w:r w:rsidR="00957231" w:rsidRPr="00532B64">
        <w:t xml:space="preserve"> cannot</w:t>
      </w:r>
      <w:r w:rsidR="00D72E05" w:rsidRPr="00532B64">
        <w:t xml:space="preserve"> be</w:t>
      </w:r>
      <w:r w:rsidR="00957231" w:rsidRPr="00532B64">
        <w:t xml:space="preserve"> </w:t>
      </w:r>
      <w:r w:rsidR="00D72E05" w:rsidRPr="00532B64">
        <w:t>changed without</w:t>
      </w:r>
      <w:r w:rsidR="00957231" w:rsidRPr="00532B64">
        <w:t xml:space="preserve"> the permission of the Internal Revenue Service.</w:t>
      </w:r>
      <w:r w:rsidR="00957231" w:rsidRPr="00532B64">
        <w:rPr>
          <w:vertAlign w:val="superscript"/>
        </w:rPr>
        <w:footnoteReference w:id="4"/>
      </w:r>
      <w:r w:rsidR="00957231" w:rsidRPr="00532B64">
        <w:t xml:space="preserve"> A principal partner cannot change to a taxable year other than that of the p</w:t>
      </w:r>
      <w:r w:rsidR="00D72E05" w:rsidRPr="00532B64">
        <w:t>artnership unless the principal partner</w:t>
      </w:r>
      <w:r w:rsidR="00957231" w:rsidRPr="00532B64">
        <w:t xml:space="preserve"> establishes, to the satisfaction of the IRS, a business purpose for doing so.</w:t>
      </w:r>
      <w:r w:rsidR="00957231" w:rsidRPr="00532B64">
        <w:rPr>
          <w:vertAlign w:val="superscript"/>
        </w:rPr>
        <w:footnoteReference w:id="5"/>
      </w:r>
    </w:p>
    <w:p w:rsidR="00E8579E" w:rsidRPr="00532B64" w:rsidRDefault="00E8579E" w:rsidP="00957231">
      <w:pPr>
        <w:pStyle w:val="PA"/>
        <w:suppressAutoHyphens/>
        <w:spacing w:after="166"/>
      </w:pPr>
      <w:r w:rsidRPr="00532B64">
        <w:t>A personal service corporation is required to use the calendar year for computing tax liability unless it can establish a valid business purpose for using a different period.</w:t>
      </w:r>
      <w:r w:rsidR="00427B74" w:rsidRPr="00532B64">
        <w:t xml:space="preserve"> </w:t>
      </w:r>
      <w:r w:rsidRPr="00532B64">
        <w:t>The code specifically provides that deferral of income to shareholders does not constitute a valid business purpose.</w:t>
      </w:r>
      <w:r w:rsidRPr="00532B64">
        <w:rPr>
          <w:rStyle w:val="FootnoteReference"/>
        </w:rPr>
        <w:footnoteReference w:id="6"/>
      </w:r>
    </w:p>
    <w:p w:rsidR="00427B74" w:rsidRPr="00532B64" w:rsidRDefault="00957231" w:rsidP="00957231">
      <w:pPr>
        <w:pStyle w:val="PA"/>
        <w:suppressAutoHyphens/>
        <w:spacing w:after="166"/>
      </w:pPr>
      <w:r w:rsidRPr="00532B64">
        <w:t>Under certain circumstances, partnerships</w:t>
      </w:r>
      <w:r w:rsidR="00E8579E" w:rsidRPr="00532B64">
        <w:t xml:space="preserve"> and</w:t>
      </w:r>
      <w:r w:rsidRPr="00532B64">
        <w:t xml:space="preserve"> S corporations</w:t>
      </w:r>
      <w:r w:rsidR="00E8579E" w:rsidRPr="00532B64">
        <w:t xml:space="preserve"> </w:t>
      </w:r>
      <w:r w:rsidRPr="00532B64">
        <w:t>are required to use the calendar year for computing income tax liability.</w:t>
      </w:r>
      <w:r w:rsidRPr="00532B64">
        <w:rPr>
          <w:vertAlign w:val="superscript"/>
        </w:rPr>
        <w:footnoteReference w:id="7"/>
      </w:r>
    </w:p>
    <w:p w:rsidR="00427B74" w:rsidRDefault="00472CB6" w:rsidP="00957231">
      <w:pPr>
        <w:pStyle w:val="PA"/>
        <w:suppressAutoHyphens/>
        <w:spacing w:after="166"/>
      </w:pPr>
      <w:r>
        <w:t>A short period (one that is less than 12 months) return is</w:t>
      </w:r>
      <w:r w:rsidR="00957231" w:rsidRPr="00532B64">
        <w:t xml:space="preserve"> required </w:t>
      </w:r>
      <w:r w:rsidR="00F90044">
        <w:t xml:space="preserve">where </w:t>
      </w:r>
      <w:r w:rsidR="00957231" w:rsidRPr="00532B64">
        <w:t xml:space="preserve">(1) the taxpayer changes </w:t>
      </w:r>
      <w:r w:rsidR="00DC0B50" w:rsidRPr="00532B64">
        <w:t>the taxpayer’s</w:t>
      </w:r>
      <w:r w:rsidR="00427B74" w:rsidRPr="00532B64">
        <w:t xml:space="preserve"> </w:t>
      </w:r>
      <w:r w:rsidR="00957231" w:rsidRPr="00532B64">
        <w:t>annual accounting period, and (2) a taxpayer has been in existence for only part of a taxable year.</w:t>
      </w:r>
      <w:r w:rsidR="00957231" w:rsidRPr="00532B64">
        <w:rPr>
          <w:vertAlign w:val="superscript"/>
        </w:rPr>
        <w:footnoteReference w:id="8"/>
      </w:r>
      <w:r w:rsidR="00957231" w:rsidRPr="00532B64">
        <w:t xml:space="preserve"> A short period is treated in the law as a “taxable year.”</w:t>
      </w:r>
      <w:r w:rsidR="00957231" w:rsidRPr="00532B64">
        <w:rPr>
          <w:vertAlign w:val="superscript"/>
        </w:rPr>
        <w:footnoteReference w:id="9"/>
      </w:r>
    </w:p>
    <w:p w:rsidR="00472CB6" w:rsidRDefault="00472CB6" w:rsidP="00472CB6"/>
    <w:p w:rsidR="00472CB6" w:rsidRDefault="00472CB6" w:rsidP="00472CB6">
      <w:pPr>
        <w:jc w:val="both"/>
        <w:rPr>
          <w:sz w:val="24"/>
          <w:szCs w:val="24"/>
        </w:rPr>
      </w:pPr>
      <w:r>
        <w:rPr>
          <w:i/>
          <w:sz w:val="24"/>
          <w:szCs w:val="24"/>
        </w:rPr>
        <w:t xml:space="preserve">     Example:  </w:t>
      </w:r>
      <w:r>
        <w:rPr>
          <w:sz w:val="24"/>
          <w:szCs w:val="24"/>
        </w:rPr>
        <w:t>On June 1, 2014, ASK, Inc., a C corporation reporting its tax liability based on a calendar year began doing business.  Since ASK was not operating for the entire calendar year, a short period return (June 1 through December 31) is required.</w:t>
      </w:r>
    </w:p>
    <w:p w:rsidR="00472CB6" w:rsidRPr="00472CB6" w:rsidRDefault="00472CB6" w:rsidP="00472CB6">
      <w:pPr>
        <w:rPr>
          <w:sz w:val="24"/>
          <w:szCs w:val="24"/>
        </w:rPr>
      </w:pPr>
    </w:p>
    <w:p w:rsidR="00427B74" w:rsidRPr="00532B64" w:rsidRDefault="00957231" w:rsidP="00957231">
      <w:pPr>
        <w:pStyle w:val="PA"/>
        <w:suppressAutoHyphens/>
      </w:pPr>
      <w:r w:rsidRPr="00532B64">
        <w:lastRenderedPageBreak/>
        <w:t>If the short period return is made because of a change in accounting period, the income during the short period must be annualized, and deductions and exemptions prorated.</w:t>
      </w:r>
      <w:r w:rsidRPr="00532B64">
        <w:rPr>
          <w:vertAlign w:val="superscript"/>
        </w:rPr>
        <w:footnoteReference w:id="10"/>
      </w:r>
      <w:r w:rsidRPr="00532B64">
        <w:t xml:space="preserve"> But income for the short period is not required to be annualized if the taxpayer is not in existence for the entire taxable year.</w:t>
      </w:r>
      <w:r w:rsidRPr="00532B64">
        <w:rPr>
          <w:vertAlign w:val="superscript"/>
        </w:rPr>
        <w:footnoteReference w:id="11"/>
      </w:r>
      <w:r w:rsidR="00427B74" w:rsidRPr="00532B64">
        <w:t xml:space="preserve"> </w:t>
      </w:r>
      <w:r w:rsidR="00E67D60" w:rsidRPr="00532B64">
        <w:t xml:space="preserve">For a discussion of the considerations applicable in determining a taxpayer’s accounting period, see </w:t>
      </w:r>
      <w:r w:rsidR="00F90044">
        <w:t>Q</w:t>
      </w:r>
      <w:r w:rsidR="009C19E2">
        <w:t xml:space="preserve"> </w:t>
      </w:r>
      <w:r w:rsidR="00F90044">
        <w:t>8838-Q</w:t>
      </w:r>
      <w:r w:rsidR="009C19E2">
        <w:t xml:space="preserve"> </w:t>
      </w:r>
      <w:bookmarkStart w:id="0" w:name="_GoBack"/>
      <w:bookmarkEnd w:id="0"/>
      <w:r w:rsidR="00F90044">
        <w:t>8844</w:t>
      </w:r>
      <w:r w:rsidR="00E67D60" w:rsidRPr="00532B64">
        <w:t>.</w:t>
      </w:r>
    </w:p>
    <w:p w:rsidR="00427B74" w:rsidRPr="00532B64" w:rsidRDefault="00957231" w:rsidP="00957231">
      <w:pPr>
        <w:pStyle w:val="PA"/>
        <w:suppressAutoHyphens/>
      </w:pPr>
      <w:r w:rsidRPr="00532B64">
        <w:t xml:space="preserve">For the final regulations affecting taxpayers who want to adopt an annual accounting period (under IRC Section 441), or who must receive approval to adopt, change, or retain their annual accounting periods (under IRC Section 442), see </w:t>
      </w:r>
      <w:r w:rsidR="00F90044">
        <w:t xml:space="preserve">Treasury Regulation Sections </w:t>
      </w:r>
      <w:r w:rsidRPr="00532B64">
        <w:t>1.441-0, 1.441-1, 1.441-2, 1.441-3, 1.441-4.</w:t>
      </w:r>
    </w:p>
    <w:p w:rsidR="00427B74" w:rsidRPr="00532B64" w:rsidRDefault="00957231" w:rsidP="00957231">
      <w:pPr>
        <w:pStyle w:val="PA"/>
        <w:suppressAutoHyphens/>
      </w:pPr>
      <w:r w:rsidRPr="00532B64">
        <w:t xml:space="preserve">For the general procedures for establishing a business purpose and obtaining approval to adopt, change, or retain an annual accounting period, see </w:t>
      </w:r>
      <w:r w:rsidR="00F90044">
        <w:t>Revenue Procedure</w:t>
      </w:r>
      <w:r w:rsidRPr="00532B64">
        <w:t xml:space="preserve"> 2002-39.</w:t>
      </w:r>
      <w:r w:rsidRPr="00532B64">
        <w:rPr>
          <w:vertAlign w:val="superscript"/>
        </w:rPr>
        <w:footnoteReference w:id="12"/>
      </w:r>
    </w:p>
    <w:p w:rsidR="00427B74" w:rsidRPr="00532B64" w:rsidRDefault="00E67D60" w:rsidP="00957231">
      <w:pPr>
        <w:pStyle w:val="PA"/>
        <w:suppressAutoHyphens/>
      </w:pPr>
      <w:r w:rsidRPr="00532B64">
        <w:t xml:space="preserve">In Revenue Procedure 2003-62, the IRS has set forth the </w:t>
      </w:r>
      <w:r w:rsidR="00957231" w:rsidRPr="00532B64">
        <w:t>procedure under which IRC Section 442 allows individuals (e.g., sole proprietors) filing tax returns on a fiscal year basis to obtain automatic approval to change their annual accounting period to a calendar year.</w:t>
      </w:r>
      <w:r w:rsidR="00957231" w:rsidRPr="00532B64">
        <w:rPr>
          <w:vertAlign w:val="superscript"/>
        </w:rPr>
        <w:footnoteReference w:id="13"/>
      </w:r>
    </w:p>
    <w:p w:rsidR="00957231" w:rsidRPr="00532B64" w:rsidRDefault="00957231" w:rsidP="00957231">
      <w:pPr>
        <w:pStyle w:val="PA"/>
        <w:suppressAutoHyphens/>
      </w:pPr>
      <w:r w:rsidRPr="00532B64">
        <w:t>The exclusive procedures for (1) certain partnerships, (2) S corporations, (3) electing S corporations,</w:t>
      </w:r>
      <w:r w:rsidR="00427B74" w:rsidRPr="00532B64">
        <w:t xml:space="preserve"> </w:t>
      </w:r>
      <w:r w:rsidRPr="00532B64">
        <w:t>(4) personal service corporations, and (5) trusts to obtain automatic approval to adopt, change, or retain their annual accounting period are set forth in Revenue Procedure 2006-46.</w:t>
      </w:r>
      <w:r w:rsidRPr="00532B64">
        <w:rPr>
          <w:vertAlign w:val="superscript"/>
        </w:rPr>
        <w:footnoteReference w:id="14"/>
      </w:r>
    </w:p>
    <w:p w:rsidR="004E7836" w:rsidRPr="004E7836" w:rsidRDefault="004E7836" w:rsidP="004E7836"/>
    <w:sectPr w:rsidR="004E7836" w:rsidRPr="004E7836"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16" w:rsidRDefault="00865D16" w:rsidP="006F074C">
      <w:r>
        <w:separator/>
      </w:r>
    </w:p>
  </w:endnote>
  <w:endnote w:type="continuationSeparator" w:id="0">
    <w:p w:rsidR="00865D16" w:rsidRDefault="00865D16" w:rsidP="006F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16" w:rsidRDefault="00865D16" w:rsidP="006F074C">
      <w:r>
        <w:separator/>
      </w:r>
    </w:p>
  </w:footnote>
  <w:footnote w:type="continuationSeparator" w:id="0">
    <w:p w:rsidR="00865D16" w:rsidRDefault="00865D16" w:rsidP="006F074C">
      <w:r>
        <w:continuationSeparator/>
      </w:r>
    </w:p>
  </w:footnote>
  <w:footnote w:id="1">
    <w:p w:rsidR="00D73FC0" w:rsidRPr="00427B74" w:rsidRDefault="00D73FC0" w:rsidP="00FE5D9D">
      <w:pPr>
        <w:pStyle w:val="PQ"/>
      </w:pPr>
      <w:r w:rsidRPr="00427B74">
        <w:footnoteRef/>
      </w:r>
      <w:r w:rsidR="00F16B3F">
        <w:t>.</w:t>
      </w:r>
      <w:r w:rsidR="00F16B3F">
        <w:tab/>
      </w:r>
      <w:r w:rsidR="00FE5D9D" w:rsidRPr="00427B74">
        <w:t>IRC Secs. 441(a), 441(b), 441(d), 441(e).</w:t>
      </w:r>
    </w:p>
  </w:footnote>
  <w:footnote w:id="2">
    <w:p w:rsidR="00D73FC0" w:rsidRPr="00427B74" w:rsidRDefault="00D73FC0" w:rsidP="00FE5D9D">
      <w:pPr>
        <w:pStyle w:val="PQ"/>
      </w:pPr>
      <w:r w:rsidRPr="00427B74">
        <w:footnoteRef/>
      </w:r>
      <w:r w:rsidR="00F16B3F">
        <w:t>.</w:t>
      </w:r>
      <w:r w:rsidR="00F16B3F">
        <w:tab/>
      </w:r>
      <w:r w:rsidR="00FE5D9D" w:rsidRPr="00427B74">
        <w:t>IRC Sec. 441(f)(1).</w:t>
      </w:r>
    </w:p>
  </w:footnote>
  <w:footnote w:id="3">
    <w:p w:rsidR="00D73FC0" w:rsidRPr="00427B74" w:rsidRDefault="00D73FC0" w:rsidP="00FE5D9D">
      <w:pPr>
        <w:pStyle w:val="PQ"/>
      </w:pPr>
      <w:r w:rsidRPr="00427B74">
        <w:footnoteRef/>
      </w:r>
      <w:r w:rsidR="00F16B3F">
        <w:t>.</w:t>
      </w:r>
      <w:r w:rsidR="00F16B3F">
        <w:tab/>
      </w:r>
      <w:r w:rsidR="00FE5D9D" w:rsidRPr="00427B74">
        <w:t>IRC Sec. 441(g).</w:t>
      </w:r>
    </w:p>
  </w:footnote>
  <w:footnote w:id="4">
    <w:p w:rsidR="00D73FC0" w:rsidRPr="00427B74" w:rsidRDefault="00D73FC0" w:rsidP="00FE5D9D">
      <w:pPr>
        <w:pStyle w:val="PQ"/>
      </w:pPr>
      <w:r w:rsidRPr="00427B74">
        <w:footnoteRef/>
      </w:r>
      <w:r w:rsidR="00F16B3F">
        <w:t>.</w:t>
      </w:r>
      <w:r w:rsidR="00F16B3F">
        <w:tab/>
      </w:r>
      <w:r w:rsidR="00FE5D9D" w:rsidRPr="00427B74">
        <w:t>IRC Sec. 442.</w:t>
      </w:r>
    </w:p>
  </w:footnote>
  <w:footnote w:id="5">
    <w:p w:rsidR="00D73FC0" w:rsidRPr="00427B74" w:rsidRDefault="00D73FC0" w:rsidP="00FE5D9D">
      <w:pPr>
        <w:pStyle w:val="PQ"/>
      </w:pPr>
      <w:r w:rsidRPr="00427B74">
        <w:footnoteRef/>
      </w:r>
      <w:r w:rsidR="00F16B3F">
        <w:t>.</w:t>
      </w:r>
      <w:r w:rsidR="00F16B3F">
        <w:tab/>
      </w:r>
      <w:r w:rsidR="00FE5D9D" w:rsidRPr="00427B74">
        <w:t>IRC Sec. 706(b)(2).</w:t>
      </w:r>
    </w:p>
  </w:footnote>
  <w:footnote w:id="6">
    <w:p w:rsidR="00D73FC0" w:rsidRPr="00427B74" w:rsidRDefault="00D73FC0" w:rsidP="00FE5D9D">
      <w:pPr>
        <w:pStyle w:val="PQ"/>
      </w:pPr>
      <w:r w:rsidRPr="00427B74">
        <w:rPr>
          <w:rStyle w:val="FootnoteReference"/>
          <w:vertAlign w:val="baseline"/>
        </w:rPr>
        <w:footnoteRef/>
      </w:r>
      <w:r w:rsidR="00FE5D9D">
        <w:t>.</w:t>
      </w:r>
      <w:r w:rsidR="00FE5D9D">
        <w:tab/>
      </w:r>
      <w:r w:rsidR="00FE5D9D" w:rsidRPr="00427B74">
        <w:t>IRC Sec. 441(i).</w:t>
      </w:r>
    </w:p>
  </w:footnote>
  <w:footnote w:id="7">
    <w:p w:rsidR="00D73FC0" w:rsidRPr="00B901D3" w:rsidRDefault="00D73FC0" w:rsidP="00FE5D9D">
      <w:pPr>
        <w:pStyle w:val="PQ"/>
      </w:pPr>
      <w:r w:rsidRPr="00B901D3">
        <w:footnoteRef/>
      </w:r>
      <w:r w:rsidR="00F16B3F">
        <w:t>.</w:t>
      </w:r>
      <w:r w:rsidR="00F16B3F">
        <w:tab/>
      </w:r>
      <w:r w:rsidR="00FE5D9D" w:rsidRPr="00B901D3">
        <w:t>See IRC Secs. 706(b), 1378.</w:t>
      </w:r>
    </w:p>
  </w:footnote>
  <w:footnote w:id="8">
    <w:p w:rsidR="00D73FC0" w:rsidRPr="00B901D3" w:rsidRDefault="00D73FC0" w:rsidP="00FE5D9D">
      <w:pPr>
        <w:pStyle w:val="PQ"/>
      </w:pPr>
      <w:r w:rsidRPr="00B901D3">
        <w:footnoteRef/>
      </w:r>
      <w:r w:rsidR="00F16B3F">
        <w:t>.</w:t>
      </w:r>
      <w:r w:rsidR="00F16B3F">
        <w:tab/>
      </w:r>
      <w:r w:rsidR="00FE5D9D" w:rsidRPr="00B901D3">
        <w:t xml:space="preserve">IRC Sec. </w:t>
      </w:r>
      <w:proofErr w:type="gramStart"/>
      <w:r w:rsidR="00FE5D9D" w:rsidRPr="00B901D3">
        <w:t>443(a</w:t>
      </w:r>
      <w:proofErr w:type="gramEnd"/>
      <w:r w:rsidR="00FE5D9D" w:rsidRPr="00B901D3">
        <w:t>).</w:t>
      </w:r>
    </w:p>
  </w:footnote>
  <w:footnote w:id="9">
    <w:p w:rsidR="00D73FC0" w:rsidRPr="00B901D3" w:rsidRDefault="00D73FC0" w:rsidP="00FE5D9D">
      <w:pPr>
        <w:pStyle w:val="PQ"/>
      </w:pPr>
      <w:r w:rsidRPr="00B901D3">
        <w:footnoteRef/>
      </w:r>
      <w:r w:rsidR="00F16B3F">
        <w:t>.</w:t>
      </w:r>
      <w:r w:rsidR="00F16B3F">
        <w:tab/>
      </w:r>
      <w:r w:rsidR="00FE5D9D" w:rsidRPr="00B901D3">
        <w:t>IRC Sec. 441(b)(3).</w:t>
      </w:r>
    </w:p>
  </w:footnote>
  <w:footnote w:id="10">
    <w:p w:rsidR="00D73FC0" w:rsidRPr="00B901D3" w:rsidRDefault="00D73FC0" w:rsidP="00FE5D9D">
      <w:pPr>
        <w:pStyle w:val="PQ"/>
      </w:pPr>
      <w:r w:rsidRPr="00B901D3">
        <w:footnoteRef/>
      </w:r>
      <w:r w:rsidR="00F16B3F">
        <w:t>.</w:t>
      </w:r>
      <w:r w:rsidR="00F16B3F">
        <w:tab/>
      </w:r>
      <w:r w:rsidR="00FE5D9D" w:rsidRPr="00B901D3">
        <w:t>IRC Secs. 443(b), 443(c).</w:t>
      </w:r>
    </w:p>
  </w:footnote>
  <w:footnote w:id="11">
    <w:p w:rsidR="00D73FC0" w:rsidRPr="00B901D3" w:rsidRDefault="00D73FC0" w:rsidP="00FE5D9D">
      <w:pPr>
        <w:pStyle w:val="PQ"/>
      </w:pPr>
      <w:r w:rsidRPr="00B901D3">
        <w:footnoteRef/>
      </w:r>
      <w:r w:rsidR="00F16B3F">
        <w:t>.</w:t>
      </w:r>
      <w:r w:rsidR="00F16B3F">
        <w:tab/>
      </w:r>
      <w:r w:rsidR="00FE5D9D" w:rsidRPr="00B901D3">
        <w:t>Treas. Reg. §1.443-1(a</w:t>
      </w:r>
      <w:proofErr w:type="gramStart"/>
      <w:r w:rsidR="00FE5D9D" w:rsidRPr="00B901D3">
        <w:t>)(</w:t>
      </w:r>
      <w:proofErr w:type="gramEnd"/>
      <w:r w:rsidR="00FE5D9D" w:rsidRPr="00B901D3">
        <w:t>2).</w:t>
      </w:r>
    </w:p>
  </w:footnote>
  <w:footnote w:id="12">
    <w:p w:rsidR="00D73FC0" w:rsidRPr="00B901D3" w:rsidRDefault="00D73FC0" w:rsidP="00FE5D9D">
      <w:pPr>
        <w:pStyle w:val="PQ"/>
      </w:pPr>
      <w:r w:rsidRPr="00B901D3">
        <w:footnoteRef/>
      </w:r>
      <w:r w:rsidR="00F16B3F">
        <w:t>.</w:t>
      </w:r>
      <w:r w:rsidR="00F16B3F">
        <w:tab/>
      </w:r>
      <w:r w:rsidR="00FE5D9D" w:rsidRPr="00B901D3">
        <w:t xml:space="preserve">2002-1 CB 1046, </w:t>
      </w:r>
      <w:r w:rsidR="00FE5D9D" w:rsidRPr="00B901D3">
        <w:rPr>
          <w:i/>
          <w:iCs/>
        </w:rPr>
        <w:t>as modified by</w:t>
      </w:r>
      <w:r w:rsidR="00FE5D9D" w:rsidRPr="00B901D3">
        <w:t xml:space="preserve">, Notice 2002-72, 2002-2 CB 843, </w:t>
      </w:r>
      <w:r w:rsidR="00FE5D9D" w:rsidRPr="00B901D3">
        <w:rPr>
          <w:i/>
          <w:iCs/>
        </w:rPr>
        <w:t>and further modified by</w:t>
      </w:r>
      <w:r w:rsidR="00FE5D9D" w:rsidRPr="00B901D3">
        <w:t>, Rev. Proc. 2003-79, 2003-2 CB 1036.</w:t>
      </w:r>
    </w:p>
  </w:footnote>
  <w:footnote w:id="13">
    <w:p w:rsidR="00D73FC0" w:rsidRPr="00B901D3" w:rsidRDefault="00D73FC0" w:rsidP="00FE5D9D">
      <w:pPr>
        <w:pStyle w:val="PQ"/>
      </w:pPr>
      <w:r w:rsidRPr="00B901D3">
        <w:footnoteRef/>
      </w:r>
      <w:r w:rsidR="00F16B3F">
        <w:t>.</w:t>
      </w:r>
      <w:r w:rsidR="00F16B3F">
        <w:tab/>
      </w:r>
      <w:r w:rsidR="00FE5D9D" w:rsidRPr="00B901D3">
        <w:t xml:space="preserve">2003-2 CB 299, </w:t>
      </w:r>
      <w:r w:rsidR="00FE5D9D" w:rsidRPr="00B901D3">
        <w:rPr>
          <w:i/>
          <w:iCs/>
        </w:rPr>
        <w:t>modifying, amplifying, and superseding</w:t>
      </w:r>
      <w:r w:rsidR="00FE5D9D" w:rsidRPr="00B901D3">
        <w:t xml:space="preserve">, Rev. Proc. 66-50, 1966-2 CB 1260, and </w:t>
      </w:r>
      <w:r w:rsidR="00FE5D9D" w:rsidRPr="00B901D3">
        <w:rPr>
          <w:i/>
          <w:iCs/>
        </w:rPr>
        <w:t>modifying and superseding</w:t>
      </w:r>
      <w:r w:rsidR="00FE5D9D" w:rsidRPr="00B901D3">
        <w:t>, Rev. Proc. 81-40, 1981-2 CB 604. See also Ann. 2003-49, 2003-2 CB 339.</w:t>
      </w:r>
    </w:p>
  </w:footnote>
  <w:footnote w:id="14">
    <w:p w:rsidR="00D73FC0" w:rsidRDefault="00D73FC0" w:rsidP="00FE5D9D">
      <w:pPr>
        <w:pStyle w:val="PQ"/>
      </w:pPr>
      <w:r w:rsidRPr="00B901D3">
        <w:footnoteRef/>
      </w:r>
      <w:r w:rsidR="00F16B3F">
        <w:t>.</w:t>
      </w:r>
      <w:r w:rsidR="00F16B3F">
        <w:tab/>
      </w:r>
      <w:r w:rsidR="00FE5D9D" w:rsidRPr="00B901D3">
        <w:t>2006-45 IRB 859.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9"/>
  </w:num>
  <w:num w:numId="3">
    <w:abstractNumId w:val="24"/>
  </w:num>
  <w:num w:numId="4">
    <w:abstractNumId w:val="15"/>
  </w:num>
  <w:num w:numId="5">
    <w:abstractNumId w:val="9"/>
  </w:num>
  <w:num w:numId="6">
    <w:abstractNumId w:val="18"/>
  </w:num>
  <w:num w:numId="7">
    <w:abstractNumId w:val="21"/>
  </w:num>
  <w:num w:numId="8">
    <w:abstractNumId w:val="6"/>
  </w:num>
  <w:num w:numId="9">
    <w:abstractNumId w:val="1"/>
  </w:num>
  <w:num w:numId="10">
    <w:abstractNumId w:val="14"/>
  </w:num>
  <w:num w:numId="11">
    <w:abstractNumId w:val="20"/>
  </w:num>
  <w:num w:numId="12">
    <w:abstractNumId w:val="26"/>
  </w:num>
  <w:num w:numId="13">
    <w:abstractNumId w:val="5"/>
  </w:num>
  <w:num w:numId="14">
    <w:abstractNumId w:val="22"/>
  </w:num>
  <w:num w:numId="15">
    <w:abstractNumId w:val="8"/>
  </w:num>
  <w:num w:numId="16">
    <w:abstractNumId w:val="7"/>
  </w:num>
  <w:num w:numId="17">
    <w:abstractNumId w:val="11"/>
  </w:num>
  <w:num w:numId="18">
    <w:abstractNumId w:val="17"/>
  </w:num>
  <w:num w:numId="19">
    <w:abstractNumId w:val="10"/>
  </w:num>
  <w:num w:numId="20">
    <w:abstractNumId w:val="23"/>
  </w:num>
  <w:num w:numId="21">
    <w:abstractNumId w:val="2"/>
  </w:num>
  <w:num w:numId="22">
    <w:abstractNumId w:val="13"/>
  </w:num>
  <w:num w:numId="23">
    <w:abstractNumId w:val="28"/>
  </w:num>
  <w:num w:numId="24">
    <w:abstractNumId w:val="12"/>
  </w:num>
  <w:num w:numId="25">
    <w:abstractNumId w:val="19"/>
  </w:num>
  <w:num w:numId="26">
    <w:abstractNumId w:val="3"/>
  </w:num>
  <w:num w:numId="27">
    <w:abstractNumId w:val="4"/>
  </w:num>
  <w:num w:numId="28">
    <w:abstractNumId w:val="25"/>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201D4"/>
    <w:rsid w:val="00037960"/>
    <w:rsid w:val="00043906"/>
    <w:rsid w:val="000465CA"/>
    <w:rsid w:val="00083567"/>
    <w:rsid w:val="000925AB"/>
    <w:rsid w:val="00097038"/>
    <w:rsid w:val="000A2B66"/>
    <w:rsid w:val="000A6CAB"/>
    <w:rsid w:val="000B6372"/>
    <w:rsid w:val="000B7D25"/>
    <w:rsid w:val="000C77AA"/>
    <w:rsid w:val="000D258D"/>
    <w:rsid w:val="000D6146"/>
    <w:rsid w:val="000E418A"/>
    <w:rsid w:val="000E6BBB"/>
    <w:rsid w:val="00116205"/>
    <w:rsid w:val="001244E9"/>
    <w:rsid w:val="00136362"/>
    <w:rsid w:val="00141FAB"/>
    <w:rsid w:val="0017741C"/>
    <w:rsid w:val="0019621B"/>
    <w:rsid w:val="00197132"/>
    <w:rsid w:val="0019748C"/>
    <w:rsid w:val="001A2727"/>
    <w:rsid w:val="001D0595"/>
    <w:rsid w:val="001D6120"/>
    <w:rsid w:val="001E1AC3"/>
    <w:rsid w:val="001F52F4"/>
    <w:rsid w:val="002000C6"/>
    <w:rsid w:val="00202A9B"/>
    <w:rsid w:val="00202F50"/>
    <w:rsid w:val="002040BD"/>
    <w:rsid w:val="00212ED8"/>
    <w:rsid w:val="00227825"/>
    <w:rsid w:val="00242C92"/>
    <w:rsid w:val="00243A4C"/>
    <w:rsid w:val="00264FD9"/>
    <w:rsid w:val="00271A21"/>
    <w:rsid w:val="00287277"/>
    <w:rsid w:val="002B58F5"/>
    <w:rsid w:val="002E46AF"/>
    <w:rsid w:val="002E4BFB"/>
    <w:rsid w:val="002F6745"/>
    <w:rsid w:val="00310C38"/>
    <w:rsid w:val="0032167A"/>
    <w:rsid w:val="00323E1D"/>
    <w:rsid w:val="00327BDB"/>
    <w:rsid w:val="00355BC4"/>
    <w:rsid w:val="00360557"/>
    <w:rsid w:val="00377919"/>
    <w:rsid w:val="003B1DF7"/>
    <w:rsid w:val="003B2DD8"/>
    <w:rsid w:val="003B450F"/>
    <w:rsid w:val="003B65D8"/>
    <w:rsid w:val="003C1548"/>
    <w:rsid w:val="003F00D7"/>
    <w:rsid w:val="003F05E5"/>
    <w:rsid w:val="00427B74"/>
    <w:rsid w:val="00435B94"/>
    <w:rsid w:val="00456493"/>
    <w:rsid w:val="00472CB6"/>
    <w:rsid w:val="00474C65"/>
    <w:rsid w:val="00484642"/>
    <w:rsid w:val="00487A39"/>
    <w:rsid w:val="004C5F26"/>
    <w:rsid w:val="004E2DC7"/>
    <w:rsid w:val="004E7836"/>
    <w:rsid w:val="00501B90"/>
    <w:rsid w:val="00511E10"/>
    <w:rsid w:val="00521FCB"/>
    <w:rsid w:val="00532B64"/>
    <w:rsid w:val="005611F2"/>
    <w:rsid w:val="00565698"/>
    <w:rsid w:val="0056737A"/>
    <w:rsid w:val="00590D68"/>
    <w:rsid w:val="005A7B2C"/>
    <w:rsid w:val="005B0930"/>
    <w:rsid w:val="005B53F2"/>
    <w:rsid w:val="005C64AC"/>
    <w:rsid w:val="005E18C8"/>
    <w:rsid w:val="005E1E5E"/>
    <w:rsid w:val="006152E6"/>
    <w:rsid w:val="0061599B"/>
    <w:rsid w:val="00651966"/>
    <w:rsid w:val="00651F68"/>
    <w:rsid w:val="00664BF0"/>
    <w:rsid w:val="00667AE6"/>
    <w:rsid w:val="0068069B"/>
    <w:rsid w:val="0069226C"/>
    <w:rsid w:val="00695FA3"/>
    <w:rsid w:val="006B1DE0"/>
    <w:rsid w:val="006C1680"/>
    <w:rsid w:val="006C6B16"/>
    <w:rsid w:val="006D650C"/>
    <w:rsid w:val="006E0E1D"/>
    <w:rsid w:val="006E34CD"/>
    <w:rsid w:val="006F074C"/>
    <w:rsid w:val="00704D91"/>
    <w:rsid w:val="00723223"/>
    <w:rsid w:val="00725A6D"/>
    <w:rsid w:val="007343A3"/>
    <w:rsid w:val="007865B2"/>
    <w:rsid w:val="00786F5E"/>
    <w:rsid w:val="00794370"/>
    <w:rsid w:val="007B5A4F"/>
    <w:rsid w:val="007D39E8"/>
    <w:rsid w:val="007D6D13"/>
    <w:rsid w:val="007D7748"/>
    <w:rsid w:val="00804562"/>
    <w:rsid w:val="0080472F"/>
    <w:rsid w:val="00804FC2"/>
    <w:rsid w:val="008316E9"/>
    <w:rsid w:val="00835C56"/>
    <w:rsid w:val="00844B76"/>
    <w:rsid w:val="00865D16"/>
    <w:rsid w:val="008864E6"/>
    <w:rsid w:val="008B16D5"/>
    <w:rsid w:val="008C2D90"/>
    <w:rsid w:val="008D4B69"/>
    <w:rsid w:val="008E11EC"/>
    <w:rsid w:val="008E4CF6"/>
    <w:rsid w:val="008F4ABC"/>
    <w:rsid w:val="008F7667"/>
    <w:rsid w:val="009003A2"/>
    <w:rsid w:val="00920178"/>
    <w:rsid w:val="0095488D"/>
    <w:rsid w:val="00957231"/>
    <w:rsid w:val="009626DD"/>
    <w:rsid w:val="0097483E"/>
    <w:rsid w:val="009938E4"/>
    <w:rsid w:val="009B6E48"/>
    <w:rsid w:val="009C19E2"/>
    <w:rsid w:val="009C73DD"/>
    <w:rsid w:val="009F75A1"/>
    <w:rsid w:val="00A02AF1"/>
    <w:rsid w:val="00A03817"/>
    <w:rsid w:val="00A05FEA"/>
    <w:rsid w:val="00A2685C"/>
    <w:rsid w:val="00A268AC"/>
    <w:rsid w:val="00A44BAD"/>
    <w:rsid w:val="00A46971"/>
    <w:rsid w:val="00A82E6D"/>
    <w:rsid w:val="00B15D08"/>
    <w:rsid w:val="00B20B9D"/>
    <w:rsid w:val="00B47F6C"/>
    <w:rsid w:val="00B97105"/>
    <w:rsid w:val="00BA22F5"/>
    <w:rsid w:val="00BC19F7"/>
    <w:rsid w:val="00BC5792"/>
    <w:rsid w:val="00BC6F51"/>
    <w:rsid w:val="00BE317F"/>
    <w:rsid w:val="00C15AF0"/>
    <w:rsid w:val="00C1615A"/>
    <w:rsid w:val="00C3032D"/>
    <w:rsid w:val="00C360BE"/>
    <w:rsid w:val="00C64FEC"/>
    <w:rsid w:val="00C7768E"/>
    <w:rsid w:val="00CB0AF1"/>
    <w:rsid w:val="00CD22F0"/>
    <w:rsid w:val="00CF5092"/>
    <w:rsid w:val="00D0195D"/>
    <w:rsid w:val="00D418E3"/>
    <w:rsid w:val="00D51611"/>
    <w:rsid w:val="00D72E05"/>
    <w:rsid w:val="00D73FC0"/>
    <w:rsid w:val="00D81626"/>
    <w:rsid w:val="00DC02E2"/>
    <w:rsid w:val="00DC0B50"/>
    <w:rsid w:val="00DD22D9"/>
    <w:rsid w:val="00DD68C3"/>
    <w:rsid w:val="00DE67F6"/>
    <w:rsid w:val="00DF4691"/>
    <w:rsid w:val="00DF78BD"/>
    <w:rsid w:val="00E20C72"/>
    <w:rsid w:val="00E23001"/>
    <w:rsid w:val="00E25322"/>
    <w:rsid w:val="00E260EE"/>
    <w:rsid w:val="00E34083"/>
    <w:rsid w:val="00E345E3"/>
    <w:rsid w:val="00E57EB0"/>
    <w:rsid w:val="00E67D60"/>
    <w:rsid w:val="00E70D9A"/>
    <w:rsid w:val="00E8579E"/>
    <w:rsid w:val="00EA0B82"/>
    <w:rsid w:val="00EA727D"/>
    <w:rsid w:val="00EB0911"/>
    <w:rsid w:val="00EB2D4F"/>
    <w:rsid w:val="00EB47DD"/>
    <w:rsid w:val="00EC085E"/>
    <w:rsid w:val="00EC6008"/>
    <w:rsid w:val="00ED2B32"/>
    <w:rsid w:val="00EE366E"/>
    <w:rsid w:val="00EE4324"/>
    <w:rsid w:val="00F16B3F"/>
    <w:rsid w:val="00F238FD"/>
    <w:rsid w:val="00F4381B"/>
    <w:rsid w:val="00F66D50"/>
    <w:rsid w:val="00F90044"/>
    <w:rsid w:val="00F96BEC"/>
    <w:rsid w:val="00FB42D9"/>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4E2DC7"/>
    <w:rPr>
      <w:rFonts w:ascii="Perpetua Std" w:hAnsi="Perpetua Std"/>
    </w:rPr>
  </w:style>
  <w:style w:type="paragraph" w:styleId="Heading1">
    <w:name w:val="heading 1"/>
    <w:basedOn w:val="Normal"/>
    <w:next w:val="Normal"/>
    <w:link w:val="Heading1Char"/>
    <w:qFormat/>
    <w:rsid w:val="004E2DC7"/>
    <w:pPr>
      <w:keepNext/>
      <w:outlineLvl w:val="0"/>
    </w:pPr>
    <w:rPr>
      <w:b/>
    </w:rPr>
  </w:style>
  <w:style w:type="paragraph" w:styleId="Heading2">
    <w:name w:val="heading 2"/>
    <w:basedOn w:val="Normal"/>
    <w:next w:val="Normal"/>
    <w:link w:val="Heading2Char"/>
    <w:qFormat/>
    <w:rsid w:val="004E2DC7"/>
    <w:pPr>
      <w:keepNext/>
      <w:spacing w:before="240" w:after="60"/>
      <w:outlineLvl w:val="1"/>
    </w:pPr>
    <w:rPr>
      <w:rFonts w:ascii="Arial" w:hAnsi="Arial"/>
      <w:b/>
      <w:i/>
      <w:sz w:val="24"/>
    </w:rPr>
  </w:style>
  <w:style w:type="paragraph" w:styleId="Heading3">
    <w:name w:val="heading 3"/>
    <w:basedOn w:val="Normal"/>
    <w:next w:val="Normal"/>
    <w:link w:val="Heading3Char"/>
    <w:qFormat/>
    <w:rsid w:val="004E2DC7"/>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4E2DC7"/>
    <w:pPr>
      <w:spacing w:after="240"/>
      <w:jc w:val="both"/>
    </w:pPr>
    <w:rPr>
      <w:rFonts w:ascii="Helvetica LT Std" w:hAnsi="Helvetica LT Std"/>
      <w:b/>
      <w:color w:val="000000"/>
      <w:sz w:val="26"/>
    </w:rPr>
  </w:style>
  <w:style w:type="paragraph" w:customStyle="1" w:styleId="PA">
    <w:name w:val="PA"/>
    <w:next w:val="Normal"/>
    <w:link w:val="PAChar"/>
    <w:rsid w:val="004E2DC7"/>
    <w:pPr>
      <w:spacing w:after="240"/>
      <w:ind w:firstLine="288"/>
      <w:jc w:val="both"/>
    </w:pPr>
    <w:rPr>
      <w:rFonts w:ascii="Perpetua Std" w:hAnsi="Perpetua Std"/>
      <w:color w:val="000000"/>
      <w:sz w:val="24"/>
    </w:rPr>
  </w:style>
  <w:style w:type="character" w:customStyle="1" w:styleId="PAChar">
    <w:name w:val="PA Char"/>
    <w:link w:val="PA"/>
    <w:rsid w:val="004E2DC7"/>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4E2DC7"/>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4E2DC7"/>
    <w:pPr>
      <w:tabs>
        <w:tab w:val="left" w:pos="720"/>
      </w:tabs>
      <w:spacing w:after="240"/>
      <w:ind w:left="720" w:hanging="360"/>
      <w:jc w:val="both"/>
    </w:pPr>
    <w:rPr>
      <w:rFonts w:ascii="Perpetua Std" w:hAnsi="Perpetua Std"/>
      <w:color w:val="000000"/>
      <w:sz w:val="24"/>
    </w:rPr>
  </w:style>
  <w:style w:type="paragraph" w:customStyle="1" w:styleId="HD">
    <w:name w:val="HD"/>
    <w:rsid w:val="004E2DC7"/>
    <w:pPr>
      <w:suppressAutoHyphens/>
      <w:spacing w:before="120"/>
      <w:jc w:val="center"/>
    </w:pPr>
    <w:rPr>
      <w:rFonts w:ascii="Helvetica LT Std" w:hAnsi="Helvetica LT Std"/>
      <w:sz w:val="26"/>
      <w:szCs w:val="18"/>
    </w:rPr>
  </w:style>
  <w:style w:type="paragraph" w:customStyle="1" w:styleId="PN">
    <w:name w:val="PN"/>
    <w:rsid w:val="004E2DC7"/>
    <w:pPr>
      <w:spacing w:after="240"/>
      <w:ind w:left="720" w:firstLine="288"/>
      <w:jc w:val="both"/>
    </w:pPr>
    <w:rPr>
      <w:rFonts w:ascii="Perpetua Std" w:eastAsia="MS Mincho" w:hAnsi="Perpetua Std"/>
      <w:color w:val="000000"/>
    </w:rPr>
  </w:style>
  <w:style w:type="paragraph" w:customStyle="1" w:styleId="PB">
    <w:name w:val="PB"/>
    <w:rsid w:val="004E2DC7"/>
    <w:pPr>
      <w:spacing w:after="240"/>
      <w:jc w:val="both"/>
    </w:pPr>
    <w:rPr>
      <w:rFonts w:ascii="Perpetua Std" w:hAnsi="Perpetua Std"/>
      <w:color w:val="000000"/>
      <w:sz w:val="24"/>
    </w:rPr>
  </w:style>
  <w:style w:type="paragraph" w:customStyle="1" w:styleId="PQ">
    <w:name w:val="PQ"/>
    <w:link w:val="PQChar"/>
    <w:rsid w:val="004E2DC7"/>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4E2DC7"/>
    <w:rPr>
      <w:rFonts w:ascii="Adobe Caslon Pro" w:hAnsi="Adobe Caslon Pro"/>
      <w:color w:val="000000"/>
      <w:sz w:val="14"/>
    </w:rPr>
  </w:style>
  <w:style w:type="paragraph" w:customStyle="1" w:styleId="PF">
    <w:name w:val="PF"/>
    <w:rsid w:val="004E2DC7"/>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4E2DC7"/>
    <w:pPr>
      <w:spacing w:before="120" w:after="120"/>
      <w:jc w:val="center"/>
    </w:pPr>
    <w:rPr>
      <w:rFonts w:ascii="Helvetica LT Std" w:hAnsi="Helvetica LT Std"/>
      <w:sz w:val="24"/>
    </w:rPr>
  </w:style>
  <w:style w:type="table" w:styleId="TableGrid">
    <w:name w:val="Table Grid"/>
    <w:basedOn w:val="TableNormal"/>
    <w:rsid w:val="004E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4E2DC7"/>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4E2DC7"/>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4E2DC7"/>
    <w:pPr>
      <w:spacing w:before="144"/>
      <w:jc w:val="both"/>
    </w:pPr>
    <w:rPr>
      <w:noProof/>
    </w:rPr>
  </w:style>
  <w:style w:type="paragraph" w:customStyle="1" w:styleId="PD">
    <w:name w:val="PD"/>
    <w:rsid w:val="004E2DC7"/>
    <w:pPr>
      <w:spacing w:after="240"/>
      <w:ind w:left="720" w:firstLine="288"/>
      <w:jc w:val="both"/>
    </w:pPr>
    <w:rPr>
      <w:rFonts w:ascii="Perpetua Std" w:hAnsi="Perpetua Std"/>
      <w:color w:val="000000"/>
      <w:sz w:val="24"/>
    </w:rPr>
  </w:style>
  <w:style w:type="paragraph" w:customStyle="1" w:styleId="PE">
    <w:name w:val="PE"/>
    <w:rsid w:val="004E2DC7"/>
    <w:pPr>
      <w:spacing w:after="240"/>
      <w:ind w:left="720"/>
      <w:jc w:val="both"/>
    </w:pPr>
    <w:rPr>
      <w:rFonts w:ascii="Perpetua Std" w:hAnsi="Perpetua Std"/>
      <w:color w:val="000000"/>
      <w:sz w:val="24"/>
    </w:rPr>
  </w:style>
  <w:style w:type="paragraph" w:customStyle="1" w:styleId="PG">
    <w:name w:val="PG"/>
    <w:rsid w:val="004E2DC7"/>
    <w:pPr>
      <w:spacing w:after="240"/>
      <w:ind w:left="360"/>
      <w:jc w:val="both"/>
    </w:pPr>
    <w:rPr>
      <w:rFonts w:ascii="Perpetua Std" w:hAnsi="Perpetua Std"/>
      <w:color w:val="000000"/>
      <w:sz w:val="24"/>
    </w:rPr>
  </w:style>
  <w:style w:type="paragraph" w:customStyle="1" w:styleId="PH">
    <w:name w:val="PH"/>
    <w:rsid w:val="004E2DC7"/>
    <w:pPr>
      <w:tabs>
        <w:tab w:val="left" w:pos="360"/>
      </w:tabs>
      <w:spacing w:after="240"/>
      <w:ind w:left="360" w:hanging="360"/>
      <w:jc w:val="both"/>
    </w:pPr>
    <w:rPr>
      <w:rFonts w:ascii="Perpetua Std" w:hAnsi="Perpetua Std"/>
      <w:color w:val="000000"/>
      <w:sz w:val="24"/>
    </w:rPr>
  </w:style>
  <w:style w:type="paragraph" w:customStyle="1" w:styleId="PI">
    <w:name w:val="PI"/>
    <w:rsid w:val="004E2DC7"/>
    <w:pPr>
      <w:spacing w:after="240"/>
      <w:ind w:left="360" w:hanging="360"/>
      <w:jc w:val="both"/>
    </w:pPr>
    <w:rPr>
      <w:rFonts w:ascii="Perpetua Std" w:hAnsi="Perpetua Std"/>
      <w:color w:val="000000"/>
      <w:sz w:val="24"/>
    </w:rPr>
  </w:style>
  <w:style w:type="paragraph" w:customStyle="1" w:styleId="PK">
    <w:name w:val="PK"/>
    <w:rsid w:val="004E2DC7"/>
    <w:pPr>
      <w:spacing w:after="240"/>
      <w:ind w:left="360" w:firstLine="288"/>
      <w:jc w:val="both"/>
    </w:pPr>
    <w:rPr>
      <w:rFonts w:ascii="Perpetua Std" w:hAnsi="Perpetua Std"/>
      <w:color w:val="000000"/>
      <w:sz w:val="24"/>
    </w:rPr>
  </w:style>
  <w:style w:type="paragraph" w:customStyle="1" w:styleId="PL">
    <w:name w:val="PL"/>
    <w:rsid w:val="004E2DC7"/>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4E2DC7"/>
    <w:pPr>
      <w:spacing w:after="240"/>
      <w:ind w:left="432" w:right="432" w:firstLine="432"/>
      <w:jc w:val="both"/>
    </w:pPr>
    <w:rPr>
      <w:rFonts w:ascii="Minion Pro" w:hAnsi="Minion Pro"/>
    </w:rPr>
  </w:style>
  <w:style w:type="paragraph" w:customStyle="1" w:styleId="TOC">
    <w:name w:val="TOC"/>
    <w:autoRedefine/>
    <w:rsid w:val="004E2DC7"/>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4E2DC7"/>
    <w:pPr>
      <w:tabs>
        <w:tab w:val="clear" w:pos="1440"/>
        <w:tab w:val="clear" w:pos="8640"/>
        <w:tab w:val="left" w:pos="240"/>
        <w:tab w:val="left" w:pos="480"/>
        <w:tab w:val="right" w:leader="dot" w:pos="4680"/>
      </w:tabs>
      <w:ind w:left="0" w:firstLine="0"/>
    </w:pPr>
    <w:rPr>
      <w:sz w:val="22"/>
    </w:rPr>
  </w:style>
  <w:style w:type="paragraph" w:customStyle="1" w:styleId="PP">
    <w:name w:val="PP"/>
    <w:rsid w:val="004E2DC7"/>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4E2DC7"/>
    <w:pPr>
      <w:spacing w:after="240"/>
      <w:jc w:val="center"/>
    </w:pPr>
    <w:rPr>
      <w:rFonts w:ascii="Helvetica LT Std" w:hAnsi="Helvetica LT Std"/>
      <w:b/>
      <w:caps/>
      <w:color w:val="000000"/>
      <w:sz w:val="36"/>
      <w:szCs w:val="32"/>
    </w:rPr>
  </w:style>
  <w:style w:type="paragraph" w:customStyle="1" w:styleId="HB">
    <w:name w:val="HB"/>
    <w:rsid w:val="004E2DC7"/>
    <w:pPr>
      <w:spacing w:before="120" w:after="240"/>
      <w:jc w:val="center"/>
    </w:pPr>
    <w:rPr>
      <w:rFonts w:ascii="Helvetica LT Std" w:hAnsi="Helvetica LT Std"/>
      <w:b/>
      <w:color w:val="5F5F5F"/>
      <w:w w:val="105"/>
      <w:sz w:val="32"/>
    </w:rPr>
  </w:style>
  <w:style w:type="paragraph" w:customStyle="1" w:styleId="HC">
    <w:name w:val="HC"/>
    <w:autoRedefine/>
    <w:rsid w:val="004E2DC7"/>
    <w:pPr>
      <w:tabs>
        <w:tab w:val="left" w:pos="284"/>
      </w:tabs>
      <w:spacing w:before="120" w:after="120"/>
      <w:jc w:val="center"/>
    </w:pPr>
    <w:rPr>
      <w:rFonts w:ascii="Helvetica LT Std" w:hAnsi="Helvetica LT Std"/>
      <w:b/>
      <w:color w:val="000000"/>
      <w:w w:val="110"/>
      <w:sz w:val="26"/>
    </w:rPr>
  </w:style>
  <w:style w:type="paragraph" w:customStyle="1" w:styleId="PR">
    <w:name w:val="PR"/>
    <w:rsid w:val="004E2DC7"/>
    <w:pPr>
      <w:spacing w:after="240"/>
      <w:ind w:left="360" w:firstLine="288"/>
      <w:jc w:val="both"/>
    </w:pPr>
    <w:rPr>
      <w:rFonts w:ascii="Adobe Caslon Pro" w:hAnsi="Adobe Caslon Pro"/>
      <w:color w:val="000000"/>
      <w:sz w:val="14"/>
    </w:rPr>
  </w:style>
  <w:style w:type="paragraph" w:customStyle="1" w:styleId="PO">
    <w:name w:val="PO"/>
    <w:rsid w:val="004E2DC7"/>
    <w:pPr>
      <w:spacing w:after="240"/>
      <w:jc w:val="both"/>
    </w:pPr>
    <w:rPr>
      <w:rFonts w:ascii="Perpetua Std" w:hAnsi="Perpetua Std"/>
      <w:color w:val="000000"/>
      <w:w w:val="95"/>
      <w:szCs w:val="16"/>
    </w:rPr>
  </w:style>
  <w:style w:type="paragraph" w:customStyle="1" w:styleId="GUIDEX">
    <w:name w:val="GUIDEX"/>
    <w:rsid w:val="004E2DC7"/>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4E2DC7"/>
    <w:pPr>
      <w:tabs>
        <w:tab w:val="clear" w:pos="240"/>
        <w:tab w:val="clear" w:pos="480"/>
        <w:tab w:val="clear" w:pos="720"/>
        <w:tab w:val="right" w:pos="4680"/>
      </w:tabs>
    </w:pPr>
  </w:style>
  <w:style w:type="paragraph" w:customStyle="1" w:styleId="PCB">
    <w:name w:val="PCB"/>
    <w:autoRedefine/>
    <w:rsid w:val="004E2DC7"/>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4E2DC7"/>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4E2DC7"/>
    <w:rPr>
      <w:rFonts w:ascii="Perpetua Std" w:hAnsi="Perpetua Std"/>
    </w:rPr>
  </w:style>
  <w:style w:type="paragraph" w:styleId="NoSpacing">
    <w:name w:val="No Spacing"/>
    <w:qFormat/>
    <w:rsid w:val="004E2DC7"/>
    <w:rPr>
      <w:rFonts w:ascii="Perpetua" w:hAnsi="Perpetua"/>
    </w:rPr>
  </w:style>
  <w:style w:type="paragraph" w:customStyle="1" w:styleId="PCA">
    <w:name w:val="PCA"/>
    <w:rsid w:val="004E2DC7"/>
    <w:pPr>
      <w:numPr>
        <w:numId w:val="29"/>
      </w:numPr>
      <w:tabs>
        <w:tab w:val="left" w:pos="720"/>
      </w:tabs>
      <w:spacing w:after="240"/>
      <w:jc w:val="both"/>
    </w:pPr>
    <w:rPr>
      <w:rFonts w:ascii="Perpetua Std" w:hAnsi="Perpetua Std"/>
      <w:sz w:val="24"/>
    </w:rPr>
  </w:style>
  <w:style w:type="paragraph" w:customStyle="1" w:styleId="PHB">
    <w:name w:val="PHB"/>
    <w:rsid w:val="004E2DC7"/>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4E2DC7"/>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4E2DC7"/>
    <w:rPr>
      <w:rFonts w:ascii="Perpetua Std" w:hAnsi="Perpetua Std"/>
    </w:rPr>
  </w:style>
  <w:style w:type="paragraph" w:styleId="Heading1">
    <w:name w:val="heading 1"/>
    <w:basedOn w:val="Normal"/>
    <w:next w:val="Normal"/>
    <w:link w:val="Heading1Char"/>
    <w:qFormat/>
    <w:rsid w:val="004E2DC7"/>
    <w:pPr>
      <w:keepNext/>
      <w:outlineLvl w:val="0"/>
    </w:pPr>
    <w:rPr>
      <w:b/>
    </w:rPr>
  </w:style>
  <w:style w:type="paragraph" w:styleId="Heading2">
    <w:name w:val="heading 2"/>
    <w:basedOn w:val="Normal"/>
    <w:next w:val="Normal"/>
    <w:link w:val="Heading2Char"/>
    <w:qFormat/>
    <w:rsid w:val="004E2DC7"/>
    <w:pPr>
      <w:keepNext/>
      <w:spacing w:before="240" w:after="60"/>
      <w:outlineLvl w:val="1"/>
    </w:pPr>
    <w:rPr>
      <w:rFonts w:ascii="Arial" w:hAnsi="Arial"/>
      <w:b/>
      <w:i/>
      <w:sz w:val="24"/>
    </w:rPr>
  </w:style>
  <w:style w:type="paragraph" w:styleId="Heading3">
    <w:name w:val="heading 3"/>
    <w:basedOn w:val="Normal"/>
    <w:next w:val="Normal"/>
    <w:link w:val="Heading3Char"/>
    <w:qFormat/>
    <w:rsid w:val="004E2DC7"/>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4E2DC7"/>
    <w:pPr>
      <w:spacing w:after="240"/>
      <w:jc w:val="both"/>
    </w:pPr>
    <w:rPr>
      <w:rFonts w:ascii="Helvetica LT Std" w:hAnsi="Helvetica LT Std"/>
      <w:b/>
      <w:color w:val="000000"/>
      <w:sz w:val="26"/>
    </w:rPr>
  </w:style>
  <w:style w:type="paragraph" w:customStyle="1" w:styleId="PA">
    <w:name w:val="PA"/>
    <w:next w:val="Normal"/>
    <w:link w:val="PAChar"/>
    <w:rsid w:val="004E2DC7"/>
    <w:pPr>
      <w:spacing w:after="240"/>
      <w:ind w:firstLine="288"/>
      <w:jc w:val="both"/>
    </w:pPr>
    <w:rPr>
      <w:rFonts w:ascii="Perpetua Std" w:hAnsi="Perpetua Std"/>
      <w:color w:val="000000"/>
      <w:sz w:val="24"/>
    </w:rPr>
  </w:style>
  <w:style w:type="character" w:customStyle="1" w:styleId="PAChar">
    <w:name w:val="PA Char"/>
    <w:link w:val="PA"/>
    <w:rsid w:val="004E2DC7"/>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4E2DC7"/>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4E2DC7"/>
    <w:pPr>
      <w:tabs>
        <w:tab w:val="left" w:pos="720"/>
      </w:tabs>
      <w:spacing w:after="240"/>
      <w:ind w:left="720" w:hanging="360"/>
      <w:jc w:val="both"/>
    </w:pPr>
    <w:rPr>
      <w:rFonts w:ascii="Perpetua Std" w:hAnsi="Perpetua Std"/>
      <w:color w:val="000000"/>
      <w:sz w:val="24"/>
    </w:rPr>
  </w:style>
  <w:style w:type="paragraph" w:customStyle="1" w:styleId="HD">
    <w:name w:val="HD"/>
    <w:rsid w:val="004E2DC7"/>
    <w:pPr>
      <w:suppressAutoHyphens/>
      <w:spacing w:before="120"/>
      <w:jc w:val="center"/>
    </w:pPr>
    <w:rPr>
      <w:rFonts w:ascii="Helvetica LT Std" w:hAnsi="Helvetica LT Std"/>
      <w:sz w:val="26"/>
      <w:szCs w:val="18"/>
    </w:rPr>
  </w:style>
  <w:style w:type="paragraph" w:customStyle="1" w:styleId="PN">
    <w:name w:val="PN"/>
    <w:rsid w:val="004E2DC7"/>
    <w:pPr>
      <w:spacing w:after="240"/>
      <w:ind w:left="720" w:firstLine="288"/>
      <w:jc w:val="both"/>
    </w:pPr>
    <w:rPr>
      <w:rFonts w:ascii="Perpetua Std" w:eastAsia="MS Mincho" w:hAnsi="Perpetua Std"/>
      <w:color w:val="000000"/>
    </w:rPr>
  </w:style>
  <w:style w:type="paragraph" w:customStyle="1" w:styleId="PB">
    <w:name w:val="PB"/>
    <w:rsid w:val="004E2DC7"/>
    <w:pPr>
      <w:spacing w:after="240"/>
      <w:jc w:val="both"/>
    </w:pPr>
    <w:rPr>
      <w:rFonts w:ascii="Perpetua Std" w:hAnsi="Perpetua Std"/>
      <w:color w:val="000000"/>
      <w:sz w:val="24"/>
    </w:rPr>
  </w:style>
  <w:style w:type="paragraph" w:customStyle="1" w:styleId="PQ">
    <w:name w:val="PQ"/>
    <w:link w:val="PQChar"/>
    <w:rsid w:val="004E2DC7"/>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4E2DC7"/>
    <w:rPr>
      <w:rFonts w:ascii="Adobe Caslon Pro" w:hAnsi="Adobe Caslon Pro"/>
      <w:color w:val="000000"/>
      <w:sz w:val="14"/>
    </w:rPr>
  </w:style>
  <w:style w:type="paragraph" w:customStyle="1" w:styleId="PF">
    <w:name w:val="PF"/>
    <w:rsid w:val="004E2DC7"/>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4E2DC7"/>
    <w:pPr>
      <w:spacing w:before="120" w:after="120"/>
      <w:jc w:val="center"/>
    </w:pPr>
    <w:rPr>
      <w:rFonts w:ascii="Helvetica LT Std" w:hAnsi="Helvetica LT Std"/>
      <w:sz w:val="24"/>
    </w:rPr>
  </w:style>
  <w:style w:type="table" w:styleId="TableGrid">
    <w:name w:val="Table Grid"/>
    <w:basedOn w:val="TableNormal"/>
    <w:rsid w:val="004E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4E2DC7"/>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4E2DC7"/>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4E2DC7"/>
    <w:pPr>
      <w:spacing w:before="144"/>
      <w:jc w:val="both"/>
    </w:pPr>
    <w:rPr>
      <w:noProof/>
    </w:rPr>
  </w:style>
  <w:style w:type="paragraph" w:customStyle="1" w:styleId="PD">
    <w:name w:val="PD"/>
    <w:rsid w:val="004E2DC7"/>
    <w:pPr>
      <w:spacing w:after="240"/>
      <w:ind w:left="720" w:firstLine="288"/>
      <w:jc w:val="both"/>
    </w:pPr>
    <w:rPr>
      <w:rFonts w:ascii="Perpetua Std" w:hAnsi="Perpetua Std"/>
      <w:color w:val="000000"/>
      <w:sz w:val="24"/>
    </w:rPr>
  </w:style>
  <w:style w:type="paragraph" w:customStyle="1" w:styleId="PE">
    <w:name w:val="PE"/>
    <w:rsid w:val="004E2DC7"/>
    <w:pPr>
      <w:spacing w:after="240"/>
      <w:ind w:left="720"/>
      <w:jc w:val="both"/>
    </w:pPr>
    <w:rPr>
      <w:rFonts w:ascii="Perpetua Std" w:hAnsi="Perpetua Std"/>
      <w:color w:val="000000"/>
      <w:sz w:val="24"/>
    </w:rPr>
  </w:style>
  <w:style w:type="paragraph" w:customStyle="1" w:styleId="PG">
    <w:name w:val="PG"/>
    <w:rsid w:val="004E2DC7"/>
    <w:pPr>
      <w:spacing w:after="240"/>
      <w:ind w:left="360"/>
      <w:jc w:val="both"/>
    </w:pPr>
    <w:rPr>
      <w:rFonts w:ascii="Perpetua Std" w:hAnsi="Perpetua Std"/>
      <w:color w:val="000000"/>
      <w:sz w:val="24"/>
    </w:rPr>
  </w:style>
  <w:style w:type="paragraph" w:customStyle="1" w:styleId="PH">
    <w:name w:val="PH"/>
    <w:rsid w:val="004E2DC7"/>
    <w:pPr>
      <w:tabs>
        <w:tab w:val="left" w:pos="360"/>
      </w:tabs>
      <w:spacing w:after="240"/>
      <w:ind w:left="360" w:hanging="360"/>
      <w:jc w:val="both"/>
    </w:pPr>
    <w:rPr>
      <w:rFonts w:ascii="Perpetua Std" w:hAnsi="Perpetua Std"/>
      <w:color w:val="000000"/>
      <w:sz w:val="24"/>
    </w:rPr>
  </w:style>
  <w:style w:type="paragraph" w:customStyle="1" w:styleId="PI">
    <w:name w:val="PI"/>
    <w:rsid w:val="004E2DC7"/>
    <w:pPr>
      <w:spacing w:after="240"/>
      <w:ind w:left="360" w:hanging="360"/>
      <w:jc w:val="both"/>
    </w:pPr>
    <w:rPr>
      <w:rFonts w:ascii="Perpetua Std" w:hAnsi="Perpetua Std"/>
      <w:color w:val="000000"/>
      <w:sz w:val="24"/>
    </w:rPr>
  </w:style>
  <w:style w:type="paragraph" w:customStyle="1" w:styleId="PK">
    <w:name w:val="PK"/>
    <w:rsid w:val="004E2DC7"/>
    <w:pPr>
      <w:spacing w:after="240"/>
      <w:ind w:left="360" w:firstLine="288"/>
      <w:jc w:val="both"/>
    </w:pPr>
    <w:rPr>
      <w:rFonts w:ascii="Perpetua Std" w:hAnsi="Perpetua Std"/>
      <w:color w:val="000000"/>
      <w:sz w:val="24"/>
    </w:rPr>
  </w:style>
  <w:style w:type="paragraph" w:customStyle="1" w:styleId="PL">
    <w:name w:val="PL"/>
    <w:rsid w:val="004E2DC7"/>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4E2DC7"/>
    <w:pPr>
      <w:spacing w:after="240"/>
      <w:ind w:left="432" w:right="432" w:firstLine="432"/>
      <w:jc w:val="both"/>
    </w:pPr>
    <w:rPr>
      <w:rFonts w:ascii="Minion Pro" w:hAnsi="Minion Pro"/>
    </w:rPr>
  </w:style>
  <w:style w:type="paragraph" w:customStyle="1" w:styleId="TOC">
    <w:name w:val="TOC"/>
    <w:autoRedefine/>
    <w:rsid w:val="004E2DC7"/>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4E2DC7"/>
    <w:pPr>
      <w:tabs>
        <w:tab w:val="clear" w:pos="1440"/>
        <w:tab w:val="clear" w:pos="8640"/>
        <w:tab w:val="left" w:pos="240"/>
        <w:tab w:val="left" w:pos="480"/>
        <w:tab w:val="right" w:leader="dot" w:pos="4680"/>
      </w:tabs>
      <w:ind w:left="0" w:firstLine="0"/>
    </w:pPr>
    <w:rPr>
      <w:sz w:val="22"/>
    </w:rPr>
  </w:style>
  <w:style w:type="paragraph" w:customStyle="1" w:styleId="PP">
    <w:name w:val="PP"/>
    <w:rsid w:val="004E2DC7"/>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4E2DC7"/>
    <w:pPr>
      <w:spacing w:after="240"/>
      <w:jc w:val="center"/>
    </w:pPr>
    <w:rPr>
      <w:rFonts w:ascii="Helvetica LT Std" w:hAnsi="Helvetica LT Std"/>
      <w:b/>
      <w:caps/>
      <w:color w:val="000000"/>
      <w:sz w:val="36"/>
      <w:szCs w:val="32"/>
    </w:rPr>
  </w:style>
  <w:style w:type="paragraph" w:customStyle="1" w:styleId="HB">
    <w:name w:val="HB"/>
    <w:rsid w:val="004E2DC7"/>
    <w:pPr>
      <w:spacing w:before="120" w:after="240"/>
      <w:jc w:val="center"/>
    </w:pPr>
    <w:rPr>
      <w:rFonts w:ascii="Helvetica LT Std" w:hAnsi="Helvetica LT Std"/>
      <w:b/>
      <w:color w:val="5F5F5F"/>
      <w:w w:val="105"/>
      <w:sz w:val="32"/>
    </w:rPr>
  </w:style>
  <w:style w:type="paragraph" w:customStyle="1" w:styleId="HC">
    <w:name w:val="HC"/>
    <w:autoRedefine/>
    <w:rsid w:val="004E2DC7"/>
    <w:pPr>
      <w:tabs>
        <w:tab w:val="left" w:pos="284"/>
      </w:tabs>
      <w:spacing w:before="120" w:after="120"/>
      <w:jc w:val="center"/>
    </w:pPr>
    <w:rPr>
      <w:rFonts w:ascii="Helvetica LT Std" w:hAnsi="Helvetica LT Std"/>
      <w:b/>
      <w:color w:val="000000"/>
      <w:w w:val="110"/>
      <w:sz w:val="26"/>
    </w:rPr>
  </w:style>
  <w:style w:type="paragraph" w:customStyle="1" w:styleId="PR">
    <w:name w:val="PR"/>
    <w:rsid w:val="004E2DC7"/>
    <w:pPr>
      <w:spacing w:after="240"/>
      <w:ind w:left="360" w:firstLine="288"/>
      <w:jc w:val="both"/>
    </w:pPr>
    <w:rPr>
      <w:rFonts w:ascii="Adobe Caslon Pro" w:hAnsi="Adobe Caslon Pro"/>
      <w:color w:val="000000"/>
      <w:sz w:val="14"/>
    </w:rPr>
  </w:style>
  <w:style w:type="paragraph" w:customStyle="1" w:styleId="PO">
    <w:name w:val="PO"/>
    <w:rsid w:val="004E2DC7"/>
    <w:pPr>
      <w:spacing w:after="240"/>
      <w:jc w:val="both"/>
    </w:pPr>
    <w:rPr>
      <w:rFonts w:ascii="Perpetua Std" w:hAnsi="Perpetua Std"/>
      <w:color w:val="000000"/>
      <w:w w:val="95"/>
      <w:szCs w:val="16"/>
    </w:rPr>
  </w:style>
  <w:style w:type="paragraph" w:customStyle="1" w:styleId="GUIDEX">
    <w:name w:val="GUIDEX"/>
    <w:rsid w:val="004E2DC7"/>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4E2DC7"/>
    <w:pPr>
      <w:tabs>
        <w:tab w:val="clear" w:pos="240"/>
        <w:tab w:val="clear" w:pos="480"/>
        <w:tab w:val="clear" w:pos="720"/>
        <w:tab w:val="right" w:pos="4680"/>
      </w:tabs>
    </w:pPr>
  </w:style>
  <w:style w:type="paragraph" w:customStyle="1" w:styleId="PCB">
    <w:name w:val="PCB"/>
    <w:autoRedefine/>
    <w:rsid w:val="004E2DC7"/>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4E2DC7"/>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4E2DC7"/>
    <w:rPr>
      <w:rFonts w:ascii="Perpetua Std" w:hAnsi="Perpetua Std"/>
    </w:rPr>
  </w:style>
  <w:style w:type="paragraph" w:styleId="NoSpacing">
    <w:name w:val="No Spacing"/>
    <w:qFormat/>
    <w:rsid w:val="004E2DC7"/>
    <w:rPr>
      <w:rFonts w:ascii="Perpetua" w:hAnsi="Perpetua"/>
    </w:rPr>
  </w:style>
  <w:style w:type="paragraph" w:customStyle="1" w:styleId="PCA">
    <w:name w:val="PCA"/>
    <w:rsid w:val="004E2DC7"/>
    <w:pPr>
      <w:numPr>
        <w:numId w:val="29"/>
      </w:numPr>
      <w:tabs>
        <w:tab w:val="left" w:pos="720"/>
      </w:tabs>
      <w:spacing w:after="240"/>
      <w:jc w:val="both"/>
    </w:pPr>
    <w:rPr>
      <w:rFonts w:ascii="Perpetua Std" w:hAnsi="Perpetua Std"/>
      <w:sz w:val="24"/>
    </w:rPr>
  </w:style>
  <w:style w:type="paragraph" w:customStyle="1" w:styleId="PHB">
    <w:name w:val="PHB"/>
    <w:rsid w:val="004E2DC7"/>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4E2DC7"/>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8504. What is a taxable year for individual income tax purposes?</vt:lpstr>
    </vt:vector>
  </TitlesOfParts>
  <Company>Summit Business Media</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8504. What is a taxable year for individual income tax purposes?</dc:title>
  <dc:creator>Alexis Long</dc:creator>
  <cp:lastModifiedBy>rcline</cp:lastModifiedBy>
  <cp:revision>2</cp:revision>
  <dcterms:created xsi:type="dcterms:W3CDTF">2014-08-20T13:43:00Z</dcterms:created>
  <dcterms:modified xsi:type="dcterms:W3CDTF">2014-08-20T13:43:00Z</dcterms:modified>
</cp:coreProperties>
</file>