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59" w:rsidRPr="008132B7" w:rsidRDefault="004B3359" w:rsidP="00C3032D">
      <w:pPr>
        <w:pStyle w:val="PA"/>
        <w:suppressAutoHyphens/>
        <w:rPr>
          <w:b/>
        </w:rPr>
      </w:pPr>
      <w:bookmarkStart w:id="0" w:name="_GoBack"/>
      <w:bookmarkEnd w:id="0"/>
      <w:r w:rsidRPr="008132B7">
        <w:rPr>
          <w:b/>
        </w:rPr>
        <w:t>8503.  Wh</w:t>
      </w:r>
      <w:r w:rsidR="00AE2A56">
        <w:rPr>
          <w:b/>
        </w:rPr>
        <w:t xml:space="preserve">o is eligible to </w:t>
      </w:r>
      <w:r w:rsidRPr="008132B7">
        <w:rPr>
          <w:b/>
        </w:rPr>
        <w:t xml:space="preserve">file a federal income tax return </w:t>
      </w:r>
      <w:r w:rsidR="00AE2A56">
        <w:rPr>
          <w:b/>
        </w:rPr>
        <w:t>as head of household</w:t>
      </w:r>
      <w:r w:rsidRPr="008132B7">
        <w:rPr>
          <w:b/>
        </w:rPr>
        <w:t>?</w:t>
      </w:r>
    </w:p>
    <w:p w:rsidR="00C81D65" w:rsidRDefault="00C3032D" w:rsidP="00C3032D">
      <w:pPr>
        <w:pStyle w:val="PA"/>
        <w:suppressAutoHyphens/>
      </w:pPr>
      <w:r w:rsidRPr="00532B64">
        <w:t xml:space="preserve">An individual who meets the </w:t>
      </w:r>
      <w:r w:rsidR="00C81D65">
        <w:t>following requirements may file as head of household:</w:t>
      </w:r>
    </w:p>
    <w:p w:rsidR="00C81D65" w:rsidRDefault="00C81D65" w:rsidP="0069751E">
      <w:pPr>
        <w:pStyle w:val="PA"/>
        <w:numPr>
          <w:ilvl w:val="0"/>
          <w:numId w:val="31"/>
        </w:numPr>
        <w:suppressAutoHyphens/>
      </w:pPr>
      <w:r>
        <w:t>Not married or considered married (excluding a qualifying widow(</w:t>
      </w:r>
      <w:proofErr w:type="spellStart"/>
      <w:r>
        <w:t>er</w:t>
      </w:r>
      <w:proofErr w:type="spellEnd"/>
      <w:r>
        <w:t>) with dependent child</w:t>
      </w:r>
      <w:r>
        <w:rPr>
          <w:rStyle w:val="EndnoteReference"/>
        </w:rPr>
        <w:endnoteReference w:id="1"/>
      </w:r>
      <w:r>
        <w:t xml:space="preserve"> see Q8502.02)</w:t>
      </w:r>
    </w:p>
    <w:p w:rsidR="00C81D65" w:rsidRPr="0069751E" w:rsidRDefault="00905E53" w:rsidP="0069751E">
      <w:pPr>
        <w:numPr>
          <w:ilvl w:val="0"/>
          <w:numId w:val="31"/>
        </w:numPr>
      </w:pPr>
      <w:r>
        <w:rPr>
          <w:sz w:val="24"/>
          <w:szCs w:val="24"/>
        </w:rPr>
        <w:t>Paid more than half the cost of maintaining a home for the tax year</w:t>
      </w:r>
    </w:p>
    <w:p w:rsidR="00905E53" w:rsidRPr="0069751E" w:rsidRDefault="00905E53" w:rsidP="0069751E">
      <w:pPr>
        <w:ind w:left="1008"/>
      </w:pPr>
    </w:p>
    <w:p w:rsidR="00905E53" w:rsidRPr="0069751E" w:rsidRDefault="00905E53" w:rsidP="0069751E">
      <w:pPr>
        <w:numPr>
          <w:ilvl w:val="0"/>
          <w:numId w:val="31"/>
        </w:numPr>
      </w:pPr>
      <w:r>
        <w:rPr>
          <w:sz w:val="24"/>
          <w:szCs w:val="24"/>
        </w:rPr>
        <w:t xml:space="preserve">A </w:t>
      </w:r>
      <w:r w:rsidR="00FC2373">
        <w:rPr>
          <w:sz w:val="24"/>
          <w:szCs w:val="24"/>
        </w:rPr>
        <w:t>“</w:t>
      </w:r>
      <w:r>
        <w:rPr>
          <w:sz w:val="24"/>
          <w:szCs w:val="24"/>
        </w:rPr>
        <w:t>qualifying person</w:t>
      </w:r>
      <w:r w:rsidR="00FC2373">
        <w:rPr>
          <w:sz w:val="24"/>
          <w:szCs w:val="24"/>
        </w:rPr>
        <w:t>”</w:t>
      </w:r>
      <w:r>
        <w:rPr>
          <w:sz w:val="24"/>
          <w:szCs w:val="24"/>
        </w:rPr>
        <w:t xml:space="preserve"> lived with the individual more than half the year (except for temporary absences)</w:t>
      </w:r>
    </w:p>
    <w:p w:rsidR="00FC2373" w:rsidRDefault="00FC2373" w:rsidP="0069751E">
      <w:pPr>
        <w:pStyle w:val="ListParagraph"/>
      </w:pPr>
    </w:p>
    <w:p w:rsidR="00FC2373" w:rsidRDefault="00FC2373" w:rsidP="0069751E">
      <w:pPr>
        <w:numPr>
          <w:ilvl w:val="0"/>
          <w:numId w:val="31"/>
        </w:numPr>
        <w:rPr>
          <w:szCs w:val="24"/>
        </w:rPr>
      </w:pPr>
      <w:r w:rsidRPr="0069751E">
        <w:rPr>
          <w:sz w:val="24"/>
          <w:szCs w:val="24"/>
        </w:rPr>
        <w:t>Is not a nonresident alien</w:t>
      </w:r>
      <w:r>
        <w:rPr>
          <w:rStyle w:val="EndnoteReference"/>
          <w:sz w:val="24"/>
          <w:szCs w:val="24"/>
        </w:rPr>
        <w:endnoteReference w:id="2"/>
      </w:r>
    </w:p>
    <w:p w:rsidR="00FC2373" w:rsidRDefault="00FC2373" w:rsidP="0069751E">
      <w:pPr>
        <w:pStyle w:val="ListParagraph"/>
        <w:rPr>
          <w:sz w:val="24"/>
          <w:szCs w:val="24"/>
        </w:rPr>
      </w:pPr>
    </w:p>
    <w:p w:rsidR="00FC2373" w:rsidRDefault="00FC2373" w:rsidP="0069751E"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8503.02 Who is a “qualifying person?”</w:t>
      </w:r>
      <w:r w:rsidR="00C238BB">
        <w:rPr>
          <w:b/>
          <w:sz w:val="24"/>
          <w:szCs w:val="24"/>
        </w:rPr>
        <w:br/>
      </w:r>
    </w:p>
    <w:p w:rsidR="00FC2373" w:rsidRDefault="00FC2373" w:rsidP="00C3032D">
      <w:pPr>
        <w:pStyle w:val="PA"/>
        <w:suppressAutoHyphens/>
      </w:pPr>
      <w:r>
        <w:t>As stated above, in order to claim head of household filing status, an individual must maintain a home for a “qualifying person.”  A “qualifying person” is a:</w:t>
      </w:r>
    </w:p>
    <w:p w:rsidR="00FC2373" w:rsidRDefault="00FC2373" w:rsidP="0069751E">
      <w:pPr>
        <w:numPr>
          <w:ilvl w:val="0"/>
          <w:numId w:val="32"/>
        </w:numPr>
        <w:rPr>
          <w:szCs w:val="24"/>
        </w:rPr>
      </w:pPr>
      <w:r w:rsidRPr="0069751E">
        <w:rPr>
          <w:sz w:val="24"/>
          <w:szCs w:val="24"/>
        </w:rPr>
        <w:t>A “qualifying child” (i.e., son, daughter, or grandchild) who is:</w:t>
      </w:r>
    </w:p>
    <w:p w:rsidR="00FC2373" w:rsidRDefault="00FC2373" w:rsidP="0069751E">
      <w:pPr>
        <w:rPr>
          <w:szCs w:val="24"/>
        </w:rPr>
      </w:pPr>
    </w:p>
    <w:p w:rsidR="00FC2373" w:rsidRDefault="00FC2373" w:rsidP="0069751E">
      <w:pPr>
        <w:numPr>
          <w:ilvl w:val="0"/>
          <w:numId w:val="33"/>
        </w:numPr>
        <w:rPr>
          <w:szCs w:val="24"/>
        </w:rPr>
      </w:pPr>
      <w:r>
        <w:rPr>
          <w:sz w:val="24"/>
          <w:szCs w:val="24"/>
        </w:rPr>
        <w:t>Single (even if an exemption cannot be claimed for the person)</w:t>
      </w:r>
    </w:p>
    <w:p w:rsidR="00FC2373" w:rsidRDefault="00FC2373" w:rsidP="0069751E">
      <w:pPr>
        <w:numPr>
          <w:ilvl w:val="0"/>
          <w:numId w:val="33"/>
        </w:numPr>
        <w:rPr>
          <w:szCs w:val="24"/>
        </w:rPr>
      </w:pPr>
      <w:r>
        <w:rPr>
          <w:sz w:val="24"/>
          <w:szCs w:val="24"/>
        </w:rPr>
        <w:t>Married and can be claimed as an exemption</w:t>
      </w:r>
    </w:p>
    <w:p w:rsidR="00FC2373" w:rsidRDefault="00FC2373" w:rsidP="0069751E">
      <w:pPr>
        <w:rPr>
          <w:szCs w:val="24"/>
        </w:rPr>
      </w:pPr>
    </w:p>
    <w:p w:rsidR="00FC2373" w:rsidRDefault="00C238BB" w:rsidP="0069751E">
      <w:pPr>
        <w:numPr>
          <w:ilvl w:val="0"/>
          <w:numId w:val="32"/>
        </w:numPr>
        <w:rPr>
          <w:szCs w:val="24"/>
        </w:rPr>
      </w:pPr>
      <w:r>
        <w:rPr>
          <w:sz w:val="24"/>
          <w:szCs w:val="24"/>
        </w:rPr>
        <w:t>A “qualifying relative” who is the individual father or mother and can be claimed as an exemption</w:t>
      </w:r>
    </w:p>
    <w:p w:rsidR="00C238BB" w:rsidRDefault="00C238BB" w:rsidP="0069751E">
      <w:pPr>
        <w:ind w:left="1080"/>
        <w:rPr>
          <w:szCs w:val="24"/>
        </w:rPr>
      </w:pPr>
    </w:p>
    <w:p w:rsidR="00C238BB" w:rsidRDefault="00C238BB" w:rsidP="0069751E">
      <w:pPr>
        <w:numPr>
          <w:ilvl w:val="0"/>
          <w:numId w:val="32"/>
        </w:numPr>
      </w:pPr>
      <w:r>
        <w:rPr>
          <w:sz w:val="24"/>
          <w:szCs w:val="24"/>
        </w:rPr>
        <w:t>A “qualifying relative” other than a parent, i.e., grandparent, brother, or sister and can be claimed as an exemption.</w:t>
      </w:r>
      <w:r>
        <w:rPr>
          <w:rStyle w:val="EndnoteReference"/>
          <w:sz w:val="24"/>
          <w:szCs w:val="24"/>
        </w:rPr>
        <w:endnoteReference w:id="3"/>
      </w:r>
      <w:r w:rsidRPr="00532B64" w:rsidDel="00C238BB">
        <w:t xml:space="preserve"> </w:t>
      </w:r>
    </w:p>
    <w:p w:rsidR="00C238BB" w:rsidRDefault="00C238BB" w:rsidP="0069751E">
      <w:pPr>
        <w:pStyle w:val="ListParagraph"/>
      </w:pPr>
    </w:p>
    <w:p w:rsidR="00C238BB" w:rsidRDefault="00C238BB" w:rsidP="0069751E">
      <w:pPr>
        <w:rPr>
          <w:b/>
          <w:szCs w:val="24"/>
        </w:rPr>
      </w:pPr>
      <w:r>
        <w:rPr>
          <w:b/>
          <w:sz w:val="24"/>
          <w:szCs w:val="24"/>
        </w:rPr>
        <w:t xml:space="preserve">   </w:t>
      </w:r>
      <w:r w:rsidR="00AD0E33">
        <w:rPr>
          <w:b/>
          <w:sz w:val="24"/>
          <w:szCs w:val="24"/>
        </w:rPr>
        <w:t>8503.03</w:t>
      </w:r>
      <w:r>
        <w:rPr>
          <w:b/>
          <w:sz w:val="24"/>
          <w:szCs w:val="24"/>
        </w:rPr>
        <w:t xml:space="preserve"> What does it mean </w:t>
      </w:r>
      <w:r w:rsidR="00AD0E33">
        <w:rPr>
          <w:b/>
          <w:sz w:val="24"/>
          <w:szCs w:val="24"/>
        </w:rPr>
        <w:t>to be considered un</w:t>
      </w:r>
      <w:r>
        <w:rPr>
          <w:b/>
          <w:sz w:val="24"/>
          <w:szCs w:val="24"/>
        </w:rPr>
        <w:t>married?</w:t>
      </w:r>
    </w:p>
    <w:p w:rsidR="00C238BB" w:rsidRDefault="00C238BB" w:rsidP="0069751E">
      <w:pPr>
        <w:rPr>
          <w:b/>
          <w:szCs w:val="24"/>
        </w:rPr>
      </w:pPr>
    </w:p>
    <w:p w:rsidR="00C238BB" w:rsidRDefault="00C238BB" w:rsidP="0069751E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An</w:t>
      </w:r>
      <w:r w:rsidR="0069751E">
        <w:rPr>
          <w:sz w:val="24"/>
          <w:szCs w:val="24"/>
        </w:rPr>
        <w:t xml:space="preserve"> individual legally married may </w:t>
      </w:r>
      <w:r>
        <w:rPr>
          <w:sz w:val="24"/>
          <w:szCs w:val="24"/>
        </w:rPr>
        <w:t xml:space="preserve">nonetheless </w:t>
      </w:r>
      <w:r w:rsidR="00AD0E33">
        <w:rPr>
          <w:sz w:val="24"/>
          <w:szCs w:val="24"/>
        </w:rPr>
        <w:t>be considered unmarried if all of the following requirements are met:</w:t>
      </w:r>
    </w:p>
    <w:p w:rsidR="00AD0E33" w:rsidRDefault="00AD0E33" w:rsidP="0069751E">
      <w:pPr>
        <w:jc w:val="both"/>
        <w:rPr>
          <w:szCs w:val="24"/>
        </w:rPr>
      </w:pPr>
    </w:p>
    <w:p w:rsidR="00AD0E33" w:rsidRDefault="00AD0E33" w:rsidP="0069751E">
      <w:pPr>
        <w:numPr>
          <w:ilvl w:val="0"/>
          <w:numId w:val="34"/>
        </w:numPr>
        <w:jc w:val="both"/>
        <w:rPr>
          <w:szCs w:val="24"/>
        </w:rPr>
      </w:pPr>
      <w:r>
        <w:rPr>
          <w:sz w:val="24"/>
          <w:szCs w:val="24"/>
        </w:rPr>
        <w:t>Filed a separate return</w:t>
      </w:r>
    </w:p>
    <w:p w:rsidR="00AD0E33" w:rsidRDefault="00AD0E33" w:rsidP="0069751E">
      <w:pPr>
        <w:ind w:left="720"/>
        <w:jc w:val="both"/>
        <w:rPr>
          <w:szCs w:val="24"/>
        </w:rPr>
      </w:pPr>
    </w:p>
    <w:p w:rsidR="00AD0E33" w:rsidRDefault="00AD0E33" w:rsidP="0069751E">
      <w:pPr>
        <w:numPr>
          <w:ilvl w:val="0"/>
          <w:numId w:val="34"/>
        </w:numPr>
        <w:jc w:val="both"/>
        <w:rPr>
          <w:szCs w:val="24"/>
        </w:rPr>
      </w:pPr>
      <w:r>
        <w:rPr>
          <w:sz w:val="24"/>
          <w:szCs w:val="24"/>
        </w:rPr>
        <w:t>Paid more than half the cost of maintaining the home for the tax year</w:t>
      </w:r>
    </w:p>
    <w:p w:rsidR="00AD0E33" w:rsidRDefault="00AD0E33" w:rsidP="0069751E">
      <w:pPr>
        <w:pStyle w:val="ListParagraph"/>
        <w:rPr>
          <w:sz w:val="24"/>
          <w:szCs w:val="24"/>
        </w:rPr>
      </w:pPr>
    </w:p>
    <w:p w:rsidR="00AD0E33" w:rsidRDefault="00AD0E33" w:rsidP="0069751E">
      <w:pPr>
        <w:numPr>
          <w:ilvl w:val="0"/>
          <w:numId w:val="34"/>
        </w:numPr>
        <w:jc w:val="both"/>
        <w:rPr>
          <w:szCs w:val="24"/>
        </w:rPr>
      </w:pPr>
      <w:r>
        <w:rPr>
          <w:sz w:val="24"/>
          <w:szCs w:val="24"/>
        </w:rPr>
        <w:t>The other spouse did not live in the home during the last 6 months of the tax year</w:t>
      </w:r>
    </w:p>
    <w:p w:rsidR="00AD0E33" w:rsidRDefault="00AD0E33" w:rsidP="0069751E">
      <w:pPr>
        <w:pStyle w:val="ListParagraph"/>
        <w:rPr>
          <w:sz w:val="24"/>
          <w:szCs w:val="24"/>
        </w:rPr>
      </w:pPr>
    </w:p>
    <w:p w:rsidR="00AD0E33" w:rsidRDefault="00AD0E33" w:rsidP="0069751E">
      <w:pPr>
        <w:numPr>
          <w:ilvl w:val="0"/>
          <w:numId w:val="34"/>
        </w:numPr>
        <w:jc w:val="both"/>
        <w:rPr>
          <w:szCs w:val="24"/>
        </w:rPr>
      </w:pPr>
      <w:r>
        <w:rPr>
          <w:sz w:val="24"/>
          <w:szCs w:val="24"/>
        </w:rPr>
        <w:t>The home was the main abode of the individual’s child, stepchild, or foster child for more than half the year (except for temporary absences)</w:t>
      </w:r>
    </w:p>
    <w:p w:rsidR="00AD0E33" w:rsidRDefault="00AD0E33" w:rsidP="0069751E">
      <w:pPr>
        <w:pStyle w:val="ListParagraph"/>
        <w:rPr>
          <w:sz w:val="24"/>
          <w:szCs w:val="24"/>
        </w:rPr>
      </w:pPr>
    </w:p>
    <w:p w:rsidR="00AD0E33" w:rsidRPr="0069751E" w:rsidRDefault="00AD0E33" w:rsidP="0069751E">
      <w:pPr>
        <w:numPr>
          <w:ilvl w:val="0"/>
          <w:numId w:val="34"/>
        </w:numPr>
        <w:jc w:val="both"/>
        <w:rPr>
          <w:szCs w:val="24"/>
        </w:rPr>
      </w:pPr>
      <w:r>
        <w:rPr>
          <w:sz w:val="24"/>
          <w:szCs w:val="24"/>
        </w:rPr>
        <w:t>Must be able to claim the child as an exemption or cannot claim the exemption because the exemption was transferred to the non-custodian spouse</w:t>
      </w:r>
      <w:r w:rsidR="00EB30D0">
        <w:rPr>
          <w:rStyle w:val="EndnoteReference"/>
          <w:sz w:val="24"/>
          <w:szCs w:val="24"/>
        </w:rPr>
        <w:endnoteReference w:id="4"/>
      </w:r>
    </w:p>
    <w:p w:rsidR="00C238BB" w:rsidRDefault="00C238BB" w:rsidP="0069751E"/>
    <w:p w:rsidR="00C238BB" w:rsidRDefault="00C238BB" w:rsidP="0069751E">
      <w:pPr>
        <w:pStyle w:val="ListParagraph"/>
      </w:pPr>
    </w:p>
    <w:p w:rsidR="00AE2A56" w:rsidRDefault="00C238BB" w:rsidP="0069751E">
      <w:pPr>
        <w:rPr>
          <w:b/>
          <w:szCs w:val="24"/>
        </w:rPr>
      </w:pPr>
      <w:r>
        <w:lastRenderedPageBreak/>
        <w:t xml:space="preserve">      </w:t>
      </w:r>
      <w:r w:rsidR="00AD0E33" w:rsidRPr="0069751E">
        <w:rPr>
          <w:b/>
          <w:sz w:val="24"/>
          <w:szCs w:val="24"/>
        </w:rPr>
        <w:t>8503.04</w:t>
      </w:r>
      <w:r w:rsidR="00AE2A56" w:rsidRPr="0069751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AE2A56" w:rsidRPr="0069751E">
        <w:rPr>
          <w:b/>
          <w:sz w:val="24"/>
          <w:szCs w:val="24"/>
        </w:rPr>
        <w:t>What are the tax advantages of filing as head of household?</w:t>
      </w:r>
    </w:p>
    <w:p w:rsidR="00C238BB" w:rsidRPr="0069751E" w:rsidRDefault="00C238BB" w:rsidP="0069751E">
      <w:pPr>
        <w:rPr>
          <w:b/>
          <w:szCs w:val="24"/>
        </w:rPr>
      </w:pPr>
      <w:r>
        <w:rPr>
          <w:b/>
          <w:sz w:val="24"/>
          <w:szCs w:val="24"/>
        </w:rPr>
        <w:t xml:space="preserve"> </w:t>
      </w:r>
    </w:p>
    <w:p w:rsidR="00427B74" w:rsidRPr="00532B64" w:rsidRDefault="00E8579E" w:rsidP="00E8579E">
      <w:pPr>
        <w:pStyle w:val="PC"/>
        <w:suppressAutoHyphens/>
        <w:ind w:left="360" w:firstLine="0"/>
      </w:pPr>
      <w:r w:rsidRPr="00532B64">
        <w:tab/>
      </w:r>
      <w:r w:rsidR="00AD0E33">
        <w:t xml:space="preserve">Filing as head of household is much more </w:t>
      </w:r>
      <w:r w:rsidR="00EB30D0">
        <w:t xml:space="preserve">tax </w:t>
      </w:r>
      <w:r w:rsidR="00AD0E33">
        <w:t>advantag</w:t>
      </w:r>
      <w:r w:rsidR="00EB30D0">
        <w:t>eous than filing separately.  The main advantages are a higher standard deduction ($9,100 for 2014) and lower tax rates.</w:t>
      </w:r>
      <w:r w:rsidR="00EB30D0">
        <w:rPr>
          <w:rStyle w:val="EndnoteReference"/>
        </w:rPr>
        <w:endnoteReference w:id="5"/>
      </w:r>
      <w:r w:rsidR="00EB30D0">
        <w:t xml:space="preserve"> </w:t>
      </w:r>
    </w:p>
    <w:p w:rsidR="004E7836" w:rsidRPr="004E7836" w:rsidRDefault="004E7836" w:rsidP="004E7836"/>
    <w:sectPr w:rsidR="004E7836" w:rsidRPr="004E7836" w:rsidSect="00271A21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71" w:rsidRDefault="006F3F71" w:rsidP="006F074C">
      <w:r>
        <w:separator/>
      </w:r>
    </w:p>
  </w:endnote>
  <w:endnote w:type="continuationSeparator" w:id="0">
    <w:p w:rsidR="006F3F71" w:rsidRDefault="006F3F71" w:rsidP="006F074C">
      <w:r>
        <w:continuationSeparator/>
      </w:r>
    </w:p>
  </w:endnote>
  <w:endnote w:id="1">
    <w:p w:rsidR="00C81D65" w:rsidRPr="0069751E" w:rsidRDefault="00C81D65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Sec. 2(b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1).</w:t>
      </w:r>
    </w:p>
  </w:endnote>
  <w:endnote w:id="2">
    <w:p w:rsidR="00FC2373" w:rsidRDefault="00FC237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9751E">
        <w:rPr>
          <w:rStyle w:val="FootnoteReference"/>
          <w:sz w:val="16"/>
          <w:szCs w:val="16"/>
          <w:vertAlign w:val="baseline"/>
        </w:rPr>
        <w:t xml:space="preserve">IRC </w:t>
      </w:r>
      <w:proofErr w:type="spellStart"/>
      <w:r w:rsidRPr="0069751E">
        <w:rPr>
          <w:rStyle w:val="FootnoteReference"/>
          <w:sz w:val="16"/>
          <w:szCs w:val="16"/>
          <w:vertAlign w:val="baseline"/>
        </w:rPr>
        <w:t>Secs</w:t>
      </w:r>
      <w:proofErr w:type="spellEnd"/>
      <w:r w:rsidRPr="0069751E">
        <w:rPr>
          <w:rStyle w:val="FootnoteReference"/>
          <w:sz w:val="16"/>
          <w:szCs w:val="16"/>
          <w:vertAlign w:val="baseline"/>
        </w:rPr>
        <w:t>. 2(b), 2(d).</w:t>
      </w:r>
    </w:p>
  </w:endnote>
  <w:endnote w:id="3">
    <w:p w:rsidR="00C238BB" w:rsidRPr="0069751E" w:rsidRDefault="00C238BB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IRS Publication 17</w:t>
      </w:r>
    </w:p>
  </w:endnote>
  <w:endnote w:id="4">
    <w:p w:rsidR="00EB30D0" w:rsidRPr="0069751E" w:rsidRDefault="00EB30D0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IRS Publication 17</w:t>
      </w:r>
    </w:p>
  </w:endnote>
  <w:endnote w:id="5">
    <w:p w:rsidR="00EB30D0" w:rsidRDefault="00EB30D0">
      <w:pPr>
        <w:pStyle w:val="EndnoteText"/>
      </w:pPr>
      <w:r>
        <w:rPr>
          <w:rStyle w:val="EndnoteReference"/>
        </w:rPr>
        <w:endnoteRef/>
      </w:r>
      <w:r w:rsidRPr="0069751E">
        <w:rPr>
          <w:sz w:val="16"/>
          <w:szCs w:val="16"/>
        </w:rPr>
        <w:t xml:space="preserve"> </w:t>
      </w:r>
      <w:proofErr w:type="gramStart"/>
      <w:r w:rsidRPr="0069751E">
        <w:rPr>
          <w:sz w:val="16"/>
          <w:szCs w:val="16"/>
        </w:rPr>
        <w:t>Rev. Proc. 2013-35, 2013-47 IRB 537.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71" w:rsidRDefault="006F3F71" w:rsidP="006F074C">
      <w:r>
        <w:separator/>
      </w:r>
    </w:p>
  </w:footnote>
  <w:footnote w:type="continuationSeparator" w:id="0">
    <w:p w:rsidR="006F3F71" w:rsidRDefault="006F3F71" w:rsidP="006F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2B77403"/>
    <w:multiLevelType w:val="hybridMultilevel"/>
    <w:tmpl w:val="83DAE9E4"/>
    <w:lvl w:ilvl="0" w:tplc="7994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A672EB4"/>
    <w:multiLevelType w:val="hybridMultilevel"/>
    <w:tmpl w:val="BC5C9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AB10E82"/>
    <w:multiLevelType w:val="hybridMultilevel"/>
    <w:tmpl w:val="8D241F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7">
    <w:nsid w:val="67160375"/>
    <w:multiLevelType w:val="hybridMultilevel"/>
    <w:tmpl w:val="903C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3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3"/>
  </w:num>
  <w:num w:numId="3">
    <w:abstractNumId w:val="28"/>
  </w:num>
  <w:num w:numId="4">
    <w:abstractNumId w:val="17"/>
  </w:num>
  <w:num w:numId="5">
    <w:abstractNumId w:val="9"/>
  </w:num>
  <w:num w:numId="6">
    <w:abstractNumId w:val="20"/>
  </w:num>
  <w:num w:numId="7">
    <w:abstractNumId w:val="24"/>
  </w:num>
  <w:num w:numId="8">
    <w:abstractNumId w:val="6"/>
  </w:num>
  <w:num w:numId="9">
    <w:abstractNumId w:val="1"/>
  </w:num>
  <w:num w:numId="10">
    <w:abstractNumId w:val="15"/>
  </w:num>
  <w:num w:numId="11">
    <w:abstractNumId w:val="22"/>
  </w:num>
  <w:num w:numId="12">
    <w:abstractNumId w:val="30"/>
  </w:num>
  <w:num w:numId="13">
    <w:abstractNumId w:val="5"/>
  </w:num>
  <w:num w:numId="14">
    <w:abstractNumId w:val="25"/>
  </w:num>
  <w:num w:numId="15">
    <w:abstractNumId w:val="8"/>
  </w:num>
  <w:num w:numId="16">
    <w:abstractNumId w:val="7"/>
  </w:num>
  <w:num w:numId="17">
    <w:abstractNumId w:val="12"/>
  </w:num>
  <w:num w:numId="18">
    <w:abstractNumId w:val="19"/>
  </w:num>
  <w:num w:numId="19">
    <w:abstractNumId w:val="11"/>
  </w:num>
  <w:num w:numId="20">
    <w:abstractNumId w:val="26"/>
  </w:num>
  <w:num w:numId="21">
    <w:abstractNumId w:val="2"/>
  </w:num>
  <w:num w:numId="22">
    <w:abstractNumId w:val="14"/>
  </w:num>
  <w:num w:numId="23">
    <w:abstractNumId w:val="32"/>
  </w:num>
  <w:num w:numId="24">
    <w:abstractNumId w:val="13"/>
  </w:num>
  <w:num w:numId="25">
    <w:abstractNumId w:val="21"/>
  </w:num>
  <w:num w:numId="26">
    <w:abstractNumId w:val="3"/>
  </w:num>
  <w:num w:numId="27">
    <w:abstractNumId w:val="4"/>
  </w:num>
  <w:num w:numId="28">
    <w:abstractNumId w:val="29"/>
  </w:num>
  <w:num w:numId="29">
    <w:abstractNumId w:val="31"/>
  </w:num>
  <w:num w:numId="30">
    <w:abstractNumId w:val="18"/>
  </w:num>
  <w:num w:numId="31">
    <w:abstractNumId w:val="23"/>
  </w:num>
  <w:num w:numId="32">
    <w:abstractNumId w:val="10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B43"/>
    <w:rsid w:val="0001174C"/>
    <w:rsid w:val="000201D4"/>
    <w:rsid w:val="00037960"/>
    <w:rsid w:val="00043906"/>
    <w:rsid w:val="000465CA"/>
    <w:rsid w:val="000823D0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6205"/>
    <w:rsid w:val="001169BA"/>
    <w:rsid w:val="001244E9"/>
    <w:rsid w:val="00141FAB"/>
    <w:rsid w:val="0017741C"/>
    <w:rsid w:val="00197132"/>
    <w:rsid w:val="0019748C"/>
    <w:rsid w:val="001A2727"/>
    <w:rsid w:val="001D0595"/>
    <w:rsid w:val="001E1AC3"/>
    <w:rsid w:val="001F52F4"/>
    <w:rsid w:val="002000C6"/>
    <w:rsid w:val="00202A9B"/>
    <w:rsid w:val="00202F50"/>
    <w:rsid w:val="00203D1D"/>
    <w:rsid w:val="002040BD"/>
    <w:rsid w:val="00212ED8"/>
    <w:rsid w:val="00242C92"/>
    <w:rsid w:val="00243A4C"/>
    <w:rsid w:val="00264FD9"/>
    <w:rsid w:val="00271A21"/>
    <w:rsid w:val="00287277"/>
    <w:rsid w:val="002B58F5"/>
    <w:rsid w:val="002B670D"/>
    <w:rsid w:val="002E46AF"/>
    <w:rsid w:val="002E4BFB"/>
    <w:rsid w:val="002F6745"/>
    <w:rsid w:val="00310C38"/>
    <w:rsid w:val="0032167A"/>
    <w:rsid w:val="00323E1D"/>
    <w:rsid w:val="00327BDB"/>
    <w:rsid w:val="00346E69"/>
    <w:rsid w:val="0035404B"/>
    <w:rsid w:val="00355BC4"/>
    <w:rsid w:val="00360557"/>
    <w:rsid w:val="00377919"/>
    <w:rsid w:val="003B1DF7"/>
    <w:rsid w:val="003B450F"/>
    <w:rsid w:val="003B65D8"/>
    <w:rsid w:val="003C1548"/>
    <w:rsid w:val="003F00D7"/>
    <w:rsid w:val="003F05E5"/>
    <w:rsid w:val="00427B74"/>
    <w:rsid w:val="00435B94"/>
    <w:rsid w:val="00456493"/>
    <w:rsid w:val="00474C65"/>
    <w:rsid w:val="00484642"/>
    <w:rsid w:val="00487A39"/>
    <w:rsid w:val="004B3359"/>
    <w:rsid w:val="004C5F26"/>
    <w:rsid w:val="004D65E8"/>
    <w:rsid w:val="004E7836"/>
    <w:rsid w:val="00501B90"/>
    <w:rsid w:val="00511E10"/>
    <w:rsid w:val="00521FCB"/>
    <w:rsid w:val="00532B64"/>
    <w:rsid w:val="005611F2"/>
    <w:rsid w:val="00565698"/>
    <w:rsid w:val="0056737A"/>
    <w:rsid w:val="00590D68"/>
    <w:rsid w:val="005A7B2C"/>
    <w:rsid w:val="005B0930"/>
    <w:rsid w:val="005B53F2"/>
    <w:rsid w:val="005C64AC"/>
    <w:rsid w:val="005E18C8"/>
    <w:rsid w:val="005E1E5E"/>
    <w:rsid w:val="006152E6"/>
    <w:rsid w:val="0061599B"/>
    <w:rsid w:val="00617219"/>
    <w:rsid w:val="00664BF0"/>
    <w:rsid w:val="00667AE6"/>
    <w:rsid w:val="0068069B"/>
    <w:rsid w:val="0068146B"/>
    <w:rsid w:val="00695FA3"/>
    <w:rsid w:val="0069751E"/>
    <w:rsid w:val="006B1DE0"/>
    <w:rsid w:val="006C1680"/>
    <w:rsid w:val="006C6B16"/>
    <w:rsid w:val="006D650C"/>
    <w:rsid w:val="006E0E1D"/>
    <w:rsid w:val="006E34CD"/>
    <w:rsid w:val="006F074C"/>
    <w:rsid w:val="006F3F71"/>
    <w:rsid w:val="006F6FF0"/>
    <w:rsid w:val="00704D91"/>
    <w:rsid w:val="00723223"/>
    <w:rsid w:val="00725A6D"/>
    <w:rsid w:val="007343A3"/>
    <w:rsid w:val="007865B2"/>
    <w:rsid w:val="00786F5E"/>
    <w:rsid w:val="00794370"/>
    <w:rsid w:val="007D39E8"/>
    <w:rsid w:val="007D6D13"/>
    <w:rsid w:val="007D7748"/>
    <w:rsid w:val="0080472F"/>
    <w:rsid w:val="00804FC2"/>
    <w:rsid w:val="008132B7"/>
    <w:rsid w:val="008316E9"/>
    <w:rsid w:val="00835C56"/>
    <w:rsid w:val="00844B76"/>
    <w:rsid w:val="008453EA"/>
    <w:rsid w:val="008864E6"/>
    <w:rsid w:val="008B16D5"/>
    <w:rsid w:val="008C2D90"/>
    <w:rsid w:val="008D4B69"/>
    <w:rsid w:val="008E11EC"/>
    <w:rsid w:val="008E4CF6"/>
    <w:rsid w:val="008E5142"/>
    <w:rsid w:val="008F7667"/>
    <w:rsid w:val="009003A2"/>
    <w:rsid w:val="00905E53"/>
    <w:rsid w:val="00920178"/>
    <w:rsid w:val="009264EF"/>
    <w:rsid w:val="0095488D"/>
    <w:rsid w:val="00957231"/>
    <w:rsid w:val="009626DD"/>
    <w:rsid w:val="0097483E"/>
    <w:rsid w:val="009938E4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AD0E33"/>
    <w:rsid w:val="00AE2A56"/>
    <w:rsid w:val="00B15D08"/>
    <w:rsid w:val="00B47F6C"/>
    <w:rsid w:val="00B97105"/>
    <w:rsid w:val="00BA22F5"/>
    <w:rsid w:val="00BC19F7"/>
    <w:rsid w:val="00BC5792"/>
    <w:rsid w:val="00BC6F51"/>
    <w:rsid w:val="00BE317F"/>
    <w:rsid w:val="00C15AF0"/>
    <w:rsid w:val="00C1615A"/>
    <w:rsid w:val="00C238BB"/>
    <w:rsid w:val="00C3032D"/>
    <w:rsid w:val="00C360BE"/>
    <w:rsid w:val="00C64FEC"/>
    <w:rsid w:val="00C7768E"/>
    <w:rsid w:val="00C81D65"/>
    <w:rsid w:val="00CB0AF1"/>
    <w:rsid w:val="00CB3C5C"/>
    <w:rsid w:val="00CD22F0"/>
    <w:rsid w:val="00CE65F2"/>
    <w:rsid w:val="00CF5092"/>
    <w:rsid w:val="00D0195D"/>
    <w:rsid w:val="00D418E3"/>
    <w:rsid w:val="00D443D1"/>
    <w:rsid w:val="00D51611"/>
    <w:rsid w:val="00D72E05"/>
    <w:rsid w:val="00D73FC0"/>
    <w:rsid w:val="00D81626"/>
    <w:rsid w:val="00D831C0"/>
    <w:rsid w:val="00DC02E2"/>
    <w:rsid w:val="00DC0B50"/>
    <w:rsid w:val="00DD22D9"/>
    <w:rsid w:val="00DD68C3"/>
    <w:rsid w:val="00DE67F6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8579E"/>
    <w:rsid w:val="00EA0B82"/>
    <w:rsid w:val="00EA727D"/>
    <w:rsid w:val="00EB0911"/>
    <w:rsid w:val="00EB2D4F"/>
    <w:rsid w:val="00EB30D0"/>
    <w:rsid w:val="00EB47DD"/>
    <w:rsid w:val="00EC085E"/>
    <w:rsid w:val="00EC6008"/>
    <w:rsid w:val="00ED2B32"/>
    <w:rsid w:val="00EE366E"/>
    <w:rsid w:val="00EE4324"/>
    <w:rsid w:val="00F16B3F"/>
    <w:rsid w:val="00F66D50"/>
    <w:rsid w:val="00F96BEC"/>
    <w:rsid w:val="00FA5AF9"/>
    <w:rsid w:val="00FC2373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35404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35404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404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5404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35404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35404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35404B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35404B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35404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35404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35404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35404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35404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35404B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35404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35404B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35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40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3540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35404B"/>
    <w:pPr>
      <w:spacing w:before="144"/>
      <w:jc w:val="both"/>
    </w:pPr>
    <w:rPr>
      <w:noProof/>
    </w:rPr>
  </w:style>
  <w:style w:type="paragraph" w:customStyle="1" w:styleId="PD">
    <w:name w:val="PD"/>
    <w:rsid w:val="0035404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35404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35404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35404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35404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35404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35404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35404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35404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35404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35404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35404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35404B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35404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35404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35404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35404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35404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35404B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35404B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35404B"/>
    <w:rPr>
      <w:rFonts w:ascii="Perpetua Std" w:hAnsi="Perpetua Std"/>
    </w:rPr>
  </w:style>
  <w:style w:type="paragraph" w:styleId="NoSpacing">
    <w:name w:val="No Spacing"/>
    <w:qFormat/>
    <w:rsid w:val="0035404B"/>
    <w:rPr>
      <w:rFonts w:ascii="Perpetua" w:hAnsi="Perpetua"/>
    </w:rPr>
  </w:style>
  <w:style w:type="paragraph" w:customStyle="1" w:styleId="PCA">
    <w:name w:val="PCA"/>
    <w:rsid w:val="0035404B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35404B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35404B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C81D65"/>
  </w:style>
  <w:style w:type="character" w:customStyle="1" w:styleId="EndnoteTextChar">
    <w:name w:val="Endnote Text Char"/>
    <w:basedOn w:val="DefaultParagraphFont"/>
    <w:link w:val="EndnoteText"/>
    <w:semiHidden/>
    <w:rsid w:val="00C81D65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C81D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35404B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35404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35404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5404B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35404B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35404B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35404B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35404B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35404B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35404B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35404B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35404B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35404B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35404B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35404B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35404B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35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5404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35404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35404B"/>
    <w:pPr>
      <w:spacing w:before="144"/>
      <w:jc w:val="both"/>
    </w:pPr>
    <w:rPr>
      <w:noProof/>
    </w:rPr>
  </w:style>
  <w:style w:type="paragraph" w:customStyle="1" w:styleId="PD">
    <w:name w:val="PD"/>
    <w:rsid w:val="0035404B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35404B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35404B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35404B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35404B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35404B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35404B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35404B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35404B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35404B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35404B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35404B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35404B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35404B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35404B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35404B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35404B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35404B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35404B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35404B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35404B"/>
    <w:rPr>
      <w:rFonts w:ascii="Perpetua Std" w:hAnsi="Perpetua Std"/>
    </w:rPr>
  </w:style>
  <w:style w:type="paragraph" w:styleId="NoSpacing">
    <w:name w:val="No Spacing"/>
    <w:qFormat/>
    <w:rsid w:val="0035404B"/>
    <w:rPr>
      <w:rFonts w:ascii="Perpetua" w:hAnsi="Perpetua"/>
    </w:rPr>
  </w:style>
  <w:style w:type="paragraph" w:customStyle="1" w:styleId="PCA">
    <w:name w:val="PCA"/>
    <w:rsid w:val="0035404B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35404B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35404B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C81D65"/>
  </w:style>
  <w:style w:type="character" w:customStyle="1" w:styleId="EndnoteTextChar">
    <w:name w:val="Endnote Text Char"/>
    <w:basedOn w:val="DefaultParagraphFont"/>
    <w:link w:val="EndnoteText"/>
    <w:semiHidden/>
    <w:rsid w:val="00C81D65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C81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3609-D217-44AA-A927-DE13C8A5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8503. When is a taxpayer eligible to file a federal income tax return using head-of-household rates?</vt:lpstr>
    </vt:vector>
  </TitlesOfParts>
  <Company>Summit Business Media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8503. When is a taxpayer eligible to file a federal income tax return using head-of-household rates?</dc:title>
  <dc:creator>Alexis Long</dc:creator>
  <cp:lastModifiedBy>rcline</cp:lastModifiedBy>
  <cp:revision>2</cp:revision>
  <dcterms:created xsi:type="dcterms:W3CDTF">2014-08-20T13:40:00Z</dcterms:created>
  <dcterms:modified xsi:type="dcterms:W3CDTF">2014-08-20T13:40:00Z</dcterms:modified>
</cp:coreProperties>
</file>