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9C" w:rsidRDefault="008E429C" w:rsidP="00C4423D">
      <w:pPr>
        <w:rPr>
          <w:rFonts w:ascii="Helvetica LT Std" w:hAnsi="Helvetica LT Std"/>
          <w:b/>
          <w:color w:val="000080"/>
          <w:szCs w:val="20"/>
        </w:rPr>
      </w:pPr>
    </w:p>
    <w:p w:rsidR="0011375E" w:rsidRPr="00B34FCB" w:rsidRDefault="000A7636" w:rsidP="00C4423D">
      <w:pPr>
        <w:rPr>
          <w:rFonts w:ascii="Helvetica LT Std" w:hAnsi="Helvetica LT Std"/>
          <w:b/>
          <w:color w:val="000080"/>
          <w:szCs w:val="20"/>
        </w:rPr>
      </w:pPr>
      <w:r>
        <w:rPr>
          <w:rFonts w:ascii="Helvetica LT Std" w:hAnsi="Helvetica LT Std"/>
          <w:b/>
          <w:color w:val="000080"/>
          <w:szCs w:val="20"/>
        </w:rPr>
        <w:t xml:space="preserve">378.03 </w:t>
      </w:r>
      <w:r w:rsidR="0011375E" w:rsidRPr="00B34FCB">
        <w:rPr>
          <w:rFonts w:ascii="Helvetica LT Std" w:hAnsi="Helvetica LT Std"/>
          <w:b/>
          <w:color w:val="000080"/>
          <w:szCs w:val="20"/>
        </w:rPr>
        <w:t>What are the employee’s responsibilities regarding HSAs?</w:t>
      </w:r>
    </w:p>
    <w:p w:rsidR="0011375E" w:rsidRPr="0054016B" w:rsidRDefault="0011375E" w:rsidP="0011375E">
      <w:pPr>
        <w:rPr>
          <w:rFonts w:ascii="Arial" w:hAnsi="Arial" w:cs="Arial"/>
          <w:b/>
          <w:sz w:val="20"/>
          <w:szCs w:val="20"/>
        </w:rPr>
      </w:pPr>
    </w:p>
    <w:p w:rsidR="0011375E" w:rsidRPr="00B34FCB" w:rsidRDefault="0011375E" w:rsidP="0011375E">
      <w:pPr>
        <w:rPr>
          <w:rFonts w:ascii="Helvetica LT Std" w:hAnsi="Helvetica LT Std"/>
          <w:color w:val="000000"/>
          <w:spacing w:val="2"/>
          <w:szCs w:val="20"/>
        </w:rPr>
      </w:pPr>
      <w:r w:rsidRPr="00B34FCB">
        <w:rPr>
          <w:rFonts w:ascii="Helvetica LT Std" w:hAnsi="Helvetica LT Std"/>
          <w:color w:val="000000"/>
          <w:spacing w:val="2"/>
          <w:szCs w:val="20"/>
        </w:rPr>
        <w:t xml:space="preserve">The bulk of the compliance burden for meeting the HSA rules rests with the individual employee. </w:t>
      </w:r>
      <w:r w:rsidR="00B34FCB">
        <w:rPr>
          <w:rFonts w:ascii="Helvetica LT Std" w:hAnsi="Helvetica LT Std"/>
          <w:color w:val="000000"/>
          <w:spacing w:val="2"/>
          <w:szCs w:val="20"/>
        </w:rPr>
        <w:t xml:space="preserve">The following are key employee responsibilities. </w:t>
      </w:r>
    </w:p>
    <w:p w:rsidR="0011375E" w:rsidRPr="00B34FCB" w:rsidRDefault="0011375E" w:rsidP="0011375E">
      <w:pPr>
        <w:rPr>
          <w:rFonts w:ascii="Helvetica LT Std" w:hAnsi="Helvetica LT Std"/>
          <w:color w:val="000000"/>
          <w:spacing w:val="2"/>
          <w:szCs w:val="20"/>
        </w:rPr>
      </w:pPr>
    </w:p>
    <w:p w:rsidR="00B34FCB" w:rsidRPr="00B34FCB" w:rsidRDefault="0011375E" w:rsidP="00B34FCB">
      <w:pPr>
        <w:pStyle w:val="ListParagraph"/>
        <w:numPr>
          <w:ilvl w:val="0"/>
          <w:numId w:val="3"/>
        </w:numPr>
        <w:rPr>
          <w:rFonts w:ascii="Helvetica LT Std" w:hAnsi="Helvetica LT Std" w:cs="Times New Roman"/>
          <w:color w:val="000000"/>
          <w:spacing w:val="2"/>
          <w:sz w:val="26"/>
          <w:szCs w:val="20"/>
        </w:rPr>
      </w:pPr>
      <w:r w:rsidRPr="00B34FCB">
        <w:rPr>
          <w:rFonts w:ascii="Helvetica LT Std" w:hAnsi="Helvetica LT Std"/>
          <w:i/>
          <w:color w:val="000000"/>
          <w:spacing w:val="2"/>
          <w:sz w:val="24"/>
          <w:szCs w:val="20"/>
        </w:rPr>
        <w:t>Substantiation.</w:t>
      </w:r>
      <w:r w:rsidRPr="00B34FCB">
        <w:rPr>
          <w:rFonts w:ascii="Helvetica LT Std" w:hAnsi="Helvetica LT Std"/>
          <w:color w:val="000000"/>
          <w:spacing w:val="2"/>
          <w:sz w:val="24"/>
          <w:szCs w:val="20"/>
        </w:rPr>
        <w:t xml:space="preserve"> The employee must substantiate that the distributions from the HSA were</w:t>
      </w:r>
      <w:r w:rsidR="00C4423D" w:rsidRPr="00B34FCB">
        <w:rPr>
          <w:rFonts w:ascii="Helvetica LT Std" w:hAnsi="Helvetica LT Std"/>
          <w:color w:val="000000"/>
          <w:spacing w:val="2"/>
          <w:sz w:val="24"/>
          <w:szCs w:val="20"/>
        </w:rPr>
        <w:t xml:space="preserve"> </w:t>
      </w:r>
      <w:r w:rsidRPr="00B34FCB">
        <w:rPr>
          <w:rFonts w:ascii="Helvetica LT Std" w:hAnsi="Helvetica LT Std"/>
          <w:color w:val="000000"/>
          <w:spacing w:val="2"/>
          <w:sz w:val="24"/>
          <w:szCs w:val="20"/>
        </w:rPr>
        <w:t>in fact used for qualified medical expenses by saving medical receipts in case of an IRS audit.</w:t>
      </w:r>
      <w:r w:rsidR="00C4423D" w:rsidRPr="00B34FCB">
        <w:rPr>
          <w:sz w:val="24"/>
          <w:vertAlign w:val="superscript"/>
        </w:rPr>
        <w:endnoteReference w:id="1"/>
      </w:r>
      <w:r w:rsidRPr="00B34FCB">
        <w:rPr>
          <w:rFonts w:ascii="Helvetica LT Std" w:hAnsi="Helvetica LT Std"/>
          <w:color w:val="000000"/>
          <w:spacing w:val="2"/>
          <w:sz w:val="24"/>
          <w:szCs w:val="20"/>
        </w:rPr>
        <w:t xml:space="preserve"> Placing this burden on the individual relieves the employer of the arduous task of reviewing receipts and issuing reimbursement checks or otherwise facing some potential liability for failure by an employee to use the money appropriately. Employe</w:t>
      </w:r>
      <w:r w:rsidR="00C4423D" w:rsidRPr="00B34FCB">
        <w:rPr>
          <w:rFonts w:ascii="Helvetica LT Std" w:hAnsi="Helvetica LT Std"/>
          <w:color w:val="000000"/>
          <w:spacing w:val="2"/>
          <w:sz w:val="24"/>
          <w:szCs w:val="20"/>
        </w:rPr>
        <w:t>r</w:t>
      </w:r>
      <w:r w:rsidRPr="00B34FCB">
        <w:rPr>
          <w:rFonts w:ascii="Helvetica LT Std" w:hAnsi="Helvetica LT Std"/>
          <w:color w:val="000000"/>
          <w:spacing w:val="2"/>
          <w:sz w:val="24"/>
          <w:szCs w:val="20"/>
        </w:rPr>
        <w:t>s generally welcome this change</w:t>
      </w:r>
      <w:r w:rsidR="00C4423D" w:rsidRPr="00B34FCB">
        <w:rPr>
          <w:rFonts w:ascii="Helvetica LT Std" w:hAnsi="Helvetica LT Std"/>
          <w:color w:val="000000"/>
          <w:spacing w:val="2"/>
          <w:sz w:val="24"/>
          <w:szCs w:val="20"/>
        </w:rPr>
        <w:t xml:space="preserve"> even though employers lose some control. Employee substantiation </w:t>
      </w:r>
      <w:r w:rsidRPr="00B34FCB">
        <w:rPr>
          <w:rFonts w:ascii="Helvetica LT Std" w:hAnsi="Helvetica LT Std"/>
          <w:color w:val="000000"/>
          <w:spacing w:val="2"/>
          <w:sz w:val="24"/>
          <w:szCs w:val="20"/>
        </w:rPr>
        <w:t xml:space="preserve">simplifies the process of paying or reimbursing for medical expenses, allows for more </w:t>
      </w:r>
      <w:r w:rsidR="00C4423D" w:rsidRPr="00B34FCB">
        <w:rPr>
          <w:rFonts w:ascii="Helvetica LT Std" w:hAnsi="Helvetica LT Std"/>
          <w:color w:val="000000"/>
          <w:spacing w:val="2"/>
          <w:sz w:val="24"/>
          <w:szCs w:val="20"/>
        </w:rPr>
        <w:t xml:space="preserve">employee </w:t>
      </w:r>
      <w:r w:rsidRPr="00B34FCB">
        <w:rPr>
          <w:rFonts w:ascii="Helvetica LT Std" w:hAnsi="Helvetica LT Std"/>
          <w:color w:val="000000"/>
          <w:spacing w:val="2"/>
          <w:sz w:val="24"/>
          <w:szCs w:val="20"/>
        </w:rPr>
        <w:t>privacy, and gives employees the opportunity to be more aggressive in interpreting the definition of qualified medical expense</w:t>
      </w:r>
      <w:r w:rsidR="00C4423D" w:rsidRPr="00B34FCB">
        <w:rPr>
          <w:rFonts w:ascii="Helvetica LT Std" w:hAnsi="Helvetica LT Std"/>
          <w:color w:val="000000"/>
          <w:spacing w:val="2"/>
          <w:sz w:val="24"/>
          <w:szCs w:val="20"/>
        </w:rPr>
        <w:t>s</w:t>
      </w:r>
      <w:r w:rsidRPr="00B34FCB">
        <w:rPr>
          <w:rFonts w:ascii="Helvetica LT Std" w:hAnsi="Helvetica LT Std"/>
          <w:color w:val="000000"/>
          <w:spacing w:val="2"/>
          <w:sz w:val="24"/>
          <w:szCs w:val="20"/>
        </w:rPr>
        <w:t xml:space="preserve">.  </w:t>
      </w:r>
    </w:p>
    <w:p w:rsidR="00B34FCB" w:rsidRDefault="0011375E" w:rsidP="00B34FCB">
      <w:pPr>
        <w:pStyle w:val="ListParagraph"/>
        <w:numPr>
          <w:ilvl w:val="0"/>
          <w:numId w:val="3"/>
        </w:numPr>
        <w:rPr>
          <w:rFonts w:ascii="Helvetica LT Std" w:hAnsi="Helvetica LT Std" w:cs="Times New Roman"/>
          <w:color w:val="000000"/>
          <w:spacing w:val="2"/>
          <w:sz w:val="24"/>
          <w:szCs w:val="20"/>
        </w:rPr>
      </w:pPr>
      <w:r w:rsidRPr="00B34FCB">
        <w:rPr>
          <w:rFonts w:ascii="Helvetica LT Std" w:hAnsi="Helvetica LT Std" w:cs="Times New Roman"/>
          <w:i/>
          <w:color w:val="000000"/>
          <w:spacing w:val="2"/>
          <w:sz w:val="24"/>
          <w:szCs w:val="20"/>
        </w:rPr>
        <w:t>Eligibility.</w:t>
      </w:r>
      <w:r w:rsidRPr="00B34FCB">
        <w:rPr>
          <w:rFonts w:ascii="Helvetica LT Std" w:hAnsi="Helvetica LT Std" w:cs="Times New Roman"/>
          <w:color w:val="000000"/>
          <w:spacing w:val="2"/>
          <w:sz w:val="24"/>
          <w:szCs w:val="20"/>
        </w:rPr>
        <w:t xml:space="preserve"> Although an employer and a custodian can help educate employees on the requirements to be eligible for an HSA</w:t>
      </w:r>
      <w:r w:rsidR="00C4423D" w:rsidRPr="00B34FCB">
        <w:rPr>
          <w:rFonts w:ascii="Helvetica LT Std" w:hAnsi="Helvetica LT Std" w:cs="Times New Roman"/>
          <w:color w:val="000000"/>
          <w:spacing w:val="2"/>
          <w:sz w:val="24"/>
          <w:szCs w:val="20"/>
        </w:rPr>
        <w:t xml:space="preserve"> and the employer should verify that the employee is covered by an HDHP</w:t>
      </w:r>
      <w:r w:rsidRPr="00B34FCB">
        <w:rPr>
          <w:rFonts w:ascii="Helvetica LT Std" w:hAnsi="Helvetica LT Std" w:cs="Times New Roman"/>
          <w:color w:val="000000"/>
          <w:spacing w:val="2"/>
          <w:sz w:val="24"/>
          <w:szCs w:val="20"/>
        </w:rPr>
        <w:t xml:space="preserve">, the ultimate responsibility to determine eligibility rests with the </w:t>
      </w:r>
      <w:r w:rsidR="00C4423D" w:rsidRPr="00B34FCB">
        <w:rPr>
          <w:rFonts w:ascii="Helvetica LT Std" w:hAnsi="Helvetica LT Std" w:cs="Times New Roman"/>
          <w:color w:val="000000"/>
          <w:spacing w:val="2"/>
          <w:sz w:val="24"/>
          <w:szCs w:val="20"/>
        </w:rPr>
        <w:t>employee.</w:t>
      </w:r>
      <w:r w:rsidR="00C4423D" w:rsidRPr="00B34FCB">
        <w:rPr>
          <w:rFonts w:ascii="Helvetica LT Std" w:hAnsi="Helvetica LT Std" w:cs="Times New Roman"/>
          <w:color w:val="000000"/>
          <w:spacing w:val="2"/>
          <w:sz w:val="24"/>
          <w:vertAlign w:val="superscript"/>
        </w:rPr>
        <w:endnoteReference w:id="2"/>
      </w:r>
      <w:r w:rsidRPr="00B34FCB">
        <w:rPr>
          <w:rFonts w:ascii="Helvetica LT Std" w:hAnsi="Helvetica LT Std" w:cs="Times New Roman"/>
          <w:color w:val="000000"/>
          <w:spacing w:val="2"/>
          <w:sz w:val="24"/>
          <w:szCs w:val="20"/>
          <w:vertAlign w:val="superscript"/>
        </w:rPr>
        <w:t xml:space="preserve"> </w:t>
      </w:r>
      <w:r w:rsidRPr="00B34FCB">
        <w:rPr>
          <w:rFonts w:ascii="Helvetica LT Std" w:hAnsi="Helvetica LT Std" w:cs="Times New Roman"/>
          <w:color w:val="000000"/>
          <w:spacing w:val="2"/>
          <w:sz w:val="24"/>
          <w:szCs w:val="20"/>
        </w:rPr>
        <w:t xml:space="preserve">An employee’s participation in a spouse’s health insurance plan or </w:t>
      </w:r>
      <w:r w:rsidR="00C4423D" w:rsidRPr="00B34FCB">
        <w:rPr>
          <w:rFonts w:ascii="Helvetica LT Std" w:hAnsi="Helvetica LT Std" w:cs="Times New Roman"/>
          <w:color w:val="000000"/>
          <w:spacing w:val="2"/>
          <w:sz w:val="24"/>
          <w:szCs w:val="20"/>
        </w:rPr>
        <w:t xml:space="preserve">general purpose </w:t>
      </w:r>
      <w:r w:rsidRPr="00B34FCB">
        <w:rPr>
          <w:rFonts w:ascii="Helvetica LT Std" w:hAnsi="Helvetica LT Std" w:cs="Times New Roman"/>
          <w:color w:val="000000"/>
          <w:spacing w:val="2"/>
          <w:sz w:val="24"/>
          <w:szCs w:val="20"/>
        </w:rPr>
        <w:t xml:space="preserve">Flexible Spending Account (FSA) could jeopardize the employee’s HSA eligibility as could participation in a government health care system such as the Veterans Administration’s plan or Medicare. </w:t>
      </w:r>
      <w:bookmarkStart w:id="0" w:name="_GoBack"/>
      <w:bookmarkEnd w:id="0"/>
    </w:p>
    <w:p w:rsidR="00B34FCB" w:rsidRDefault="00B34FCB" w:rsidP="00B34FCB">
      <w:pPr>
        <w:pStyle w:val="ListParagraph"/>
        <w:numPr>
          <w:ilvl w:val="0"/>
          <w:numId w:val="3"/>
        </w:numPr>
        <w:rPr>
          <w:rFonts w:ascii="Helvetica LT Std" w:hAnsi="Helvetica LT Std" w:cs="Times New Roman"/>
          <w:color w:val="000000"/>
          <w:spacing w:val="2"/>
          <w:sz w:val="24"/>
          <w:szCs w:val="20"/>
        </w:rPr>
      </w:pPr>
      <w:r w:rsidRPr="00B34FCB">
        <w:rPr>
          <w:rFonts w:ascii="Helvetica LT Std" w:hAnsi="Helvetica LT Std" w:cs="Times New Roman"/>
          <w:i/>
          <w:color w:val="000000"/>
          <w:spacing w:val="2"/>
          <w:sz w:val="24"/>
          <w:szCs w:val="20"/>
        </w:rPr>
        <w:t>M</w:t>
      </w:r>
      <w:r w:rsidR="0011375E" w:rsidRPr="00B34FCB">
        <w:rPr>
          <w:rFonts w:ascii="Helvetica LT Std" w:hAnsi="Helvetica LT Std" w:cs="Times New Roman"/>
          <w:i/>
          <w:color w:val="000000"/>
          <w:spacing w:val="2"/>
          <w:sz w:val="24"/>
          <w:szCs w:val="20"/>
        </w:rPr>
        <w:t>aximum Contribution Limit.</w:t>
      </w:r>
      <w:r w:rsidR="0011375E" w:rsidRPr="00B34FCB">
        <w:rPr>
          <w:rFonts w:ascii="Helvetica LT Std" w:hAnsi="Helvetica LT Std" w:cs="Times New Roman"/>
          <w:color w:val="000000"/>
          <w:spacing w:val="2"/>
          <w:sz w:val="24"/>
          <w:szCs w:val="20"/>
        </w:rPr>
        <w:t xml:space="preserve"> The employee is primarily responsible to ensure that the amount contributed to the HSA is within federal guidelines.</w:t>
      </w:r>
      <w:r w:rsidR="00C4423D" w:rsidRPr="00B34FCB">
        <w:rPr>
          <w:rFonts w:ascii="Helvetica LT Std" w:hAnsi="Helvetica LT Std" w:cs="Times New Roman"/>
          <w:color w:val="000000"/>
          <w:spacing w:val="2"/>
          <w:sz w:val="24"/>
          <w:vertAlign w:val="superscript"/>
        </w:rPr>
        <w:endnoteReference w:id="3"/>
      </w:r>
      <w:r w:rsidR="0011375E" w:rsidRPr="00B34FCB">
        <w:rPr>
          <w:rFonts w:ascii="Helvetica LT Std" w:hAnsi="Helvetica LT Std" w:cs="Times New Roman"/>
          <w:color w:val="000000"/>
          <w:spacing w:val="2"/>
          <w:sz w:val="24"/>
          <w:szCs w:val="20"/>
          <w:vertAlign w:val="superscript"/>
        </w:rPr>
        <w:t xml:space="preserve"> </w:t>
      </w:r>
      <w:r w:rsidR="0011375E" w:rsidRPr="00B34FCB">
        <w:rPr>
          <w:rFonts w:ascii="Helvetica LT Std" w:hAnsi="Helvetica LT Std" w:cs="Times New Roman"/>
          <w:color w:val="000000"/>
          <w:spacing w:val="2"/>
          <w:sz w:val="24"/>
          <w:szCs w:val="20"/>
        </w:rPr>
        <w:t xml:space="preserve">Employers and custodians share </w:t>
      </w:r>
      <w:r>
        <w:rPr>
          <w:rFonts w:ascii="Helvetica LT Std" w:hAnsi="Helvetica LT Std" w:cs="Times New Roman"/>
          <w:color w:val="000000"/>
          <w:spacing w:val="2"/>
          <w:sz w:val="24"/>
          <w:szCs w:val="20"/>
        </w:rPr>
        <w:t xml:space="preserve">some </w:t>
      </w:r>
      <w:r w:rsidR="0011375E" w:rsidRPr="00B34FCB">
        <w:rPr>
          <w:rFonts w:ascii="Helvetica LT Std" w:hAnsi="Helvetica LT Std" w:cs="Times New Roman"/>
          <w:color w:val="000000"/>
          <w:spacing w:val="2"/>
          <w:sz w:val="24"/>
          <w:szCs w:val="20"/>
        </w:rPr>
        <w:t>of the responsibility as employers cannot deduct more than the maximum HSA con</w:t>
      </w:r>
      <w:r w:rsidR="00135A78">
        <w:rPr>
          <w:rFonts w:ascii="Helvetica LT Std" w:hAnsi="Helvetica LT Std" w:cs="Times New Roman"/>
          <w:color w:val="000000"/>
          <w:spacing w:val="2"/>
          <w:sz w:val="24"/>
          <w:szCs w:val="20"/>
        </w:rPr>
        <w:t xml:space="preserve">tribution limit for an employee (the employer can assume eligibility based on HDHP coverage) </w:t>
      </w:r>
      <w:r w:rsidR="0011375E" w:rsidRPr="00B34FCB">
        <w:rPr>
          <w:rFonts w:ascii="Helvetica LT Std" w:hAnsi="Helvetica LT Std" w:cs="Times New Roman"/>
          <w:color w:val="000000"/>
          <w:spacing w:val="2"/>
          <w:sz w:val="24"/>
          <w:szCs w:val="20"/>
        </w:rPr>
        <w:t>and custodians cannot accept more than the family HSA limit plus one catch-up contribution ($7,</w:t>
      </w:r>
      <w:r w:rsidR="00C4423D" w:rsidRPr="00B34FCB">
        <w:rPr>
          <w:rFonts w:ascii="Helvetica LT Std" w:hAnsi="Helvetica LT Std" w:cs="Times New Roman"/>
          <w:color w:val="000000"/>
          <w:spacing w:val="2"/>
          <w:sz w:val="24"/>
          <w:szCs w:val="20"/>
        </w:rPr>
        <w:t>7</w:t>
      </w:r>
      <w:r w:rsidR="0011375E" w:rsidRPr="00B34FCB">
        <w:rPr>
          <w:rFonts w:ascii="Helvetica LT Std" w:hAnsi="Helvetica LT Std" w:cs="Times New Roman"/>
          <w:color w:val="000000"/>
          <w:spacing w:val="2"/>
          <w:sz w:val="24"/>
          <w:szCs w:val="20"/>
        </w:rPr>
        <w:t>50 for 201</w:t>
      </w:r>
      <w:r w:rsidR="00C4423D" w:rsidRPr="00B34FCB">
        <w:rPr>
          <w:rFonts w:ascii="Helvetica LT Std" w:hAnsi="Helvetica LT Std" w:cs="Times New Roman"/>
          <w:color w:val="000000"/>
          <w:spacing w:val="2"/>
          <w:sz w:val="24"/>
          <w:szCs w:val="20"/>
        </w:rPr>
        <w:t>6</w:t>
      </w:r>
      <w:r w:rsidR="0011375E" w:rsidRPr="00B34FCB">
        <w:rPr>
          <w:rFonts w:ascii="Helvetica LT Std" w:hAnsi="Helvetica LT Std" w:cs="Times New Roman"/>
          <w:color w:val="000000"/>
          <w:spacing w:val="2"/>
          <w:sz w:val="24"/>
          <w:szCs w:val="20"/>
        </w:rPr>
        <w:t>). An employee that exceeds the limit may cause additional administrative work for the employer, the custodian and the individual</w:t>
      </w:r>
      <w:r w:rsidR="00C4423D" w:rsidRPr="00B34FCB">
        <w:rPr>
          <w:rFonts w:ascii="Helvetica LT Std" w:hAnsi="Helvetica LT Std" w:cs="Times New Roman"/>
          <w:color w:val="000000"/>
          <w:spacing w:val="2"/>
          <w:sz w:val="24"/>
          <w:szCs w:val="20"/>
        </w:rPr>
        <w:t>. It</w:t>
      </w:r>
      <w:r w:rsidR="0011375E" w:rsidRPr="00B34FCB">
        <w:rPr>
          <w:rFonts w:ascii="Helvetica LT Std" w:hAnsi="Helvetica LT Std" w:cs="Times New Roman"/>
          <w:color w:val="000000"/>
          <w:spacing w:val="2"/>
          <w:sz w:val="24"/>
          <w:szCs w:val="20"/>
        </w:rPr>
        <w:t xml:space="preserve"> is in everyone’s best interest to educate the employee on the limits.   </w:t>
      </w:r>
    </w:p>
    <w:p w:rsidR="00B34FCB" w:rsidRDefault="0011375E" w:rsidP="00B34FCB">
      <w:pPr>
        <w:pStyle w:val="ListParagraph"/>
        <w:numPr>
          <w:ilvl w:val="0"/>
          <w:numId w:val="3"/>
        </w:numPr>
        <w:rPr>
          <w:rFonts w:ascii="Helvetica LT Std" w:hAnsi="Helvetica LT Std" w:cs="Times New Roman"/>
          <w:color w:val="000000"/>
          <w:spacing w:val="2"/>
          <w:sz w:val="24"/>
          <w:szCs w:val="20"/>
        </w:rPr>
      </w:pPr>
      <w:r w:rsidRPr="00B34FCB">
        <w:rPr>
          <w:rFonts w:ascii="Helvetica LT Std" w:hAnsi="Helvetica LT Std" w:cs="Times New Roman"/>
          <w:i/>
          <w:color w:val="000000"/>
          <w:spacing w:val="2"/>
          <w:sz w:val="24"/>
          <w:szCs w:val="20"/>
        </w:rPr>
        <w:t>Management of HSA.</w:t>
      </w:r>
      <w:r w:rsidRPr="00B34FCB">
        <w:rPr>
          <w:rFonts w:ascii="Helvetica LT Std" w:hAnsi="Helvetica LT Std" w:cs="Times New Roman"/>
          <w:color w:val="000000"/>
          <w:spacing w:val="2"/>
          <w:sz w:val="24"/>
          <w:szCs w:val="20"/>
        </w:rPr>
        <w:t xml:space="preserve"> Employees manage the balance in the HSA, select investments, choose beneficiaries, update contact information, pay for medical expenses and perform other maintenance issues generally without employer involvement. </w:t>
      </w:r>
    </w:p>
    <w:p w:rsidR="00B34FCB" w:rsidRDefault="0011375E" w:rsidP="00B34FCB">
      <w:pPr>
        <w:pStyle w:val="ListParagraph"/>
        <w:numPr>
          <w:ilvl w:val="0"/>
          <w:numId w:val="3"/>
        </w:numPr>
        <w:rPr>
          <w:rFonts w:ascii="Helvetica LT Std" w:hAnsi="Helvetica LT Std" w:cs="Times New Roman"/>
          <w:color w:val="000000"/>
          <w:spacing w:val="2"/>
          <w:sz w:val="24"/>
          <w:szCs w:val="20"/>
        </w:rPr>
      </w:pPr>
      <w:r w:rsidRPr="00B34FCB">
        <w:rPr>
          <w:rFonts w:ascii="Helvetica LT Std" w:hAnsi="Helvetica LT Std" w:cs="Times New Roman"/>
          <w:i/>
          <w:color w:val="000000"/>
          <w:spacing w:val="2"/>
          <w:sz w:val="24"/>
          <w:szCs w:val="20"/>
        </w:rPr>
        <w:t>Tax Reporting/Payments.</w:t>
      </w:r>
      <w:r w:rsidRPr="00B34FCB">
        <w:rPr>
          <w:rFonts w:ascii="Helvetica LT Std" w:hAnsi="Helvetica LT Std" w:cs="Times New Roman"/>
          <w:color w:val="000000"/>
          <w:spacing w:val="2"/>
          <w:sz w:val="24"/>
          <w:szCs w:val="20"/>
        </w:rPr>
        <w:t xml:space="preserve"> Employees are required to file an attachment (IRS Form 8889) to their income tax return each year they make a contribution or take a distribution.</w:t>
      </w:r>
      <w:r w:rsidR="00C4423D" w:rsidRPr="00B34FCB">
        <w:rPr>
          <w:rFonts w:ascii="Helvetica LT Std" w:hAnsi="Helvetica LT Std" w:cs="Times New Roman"/>
          <w:color w:val="000000"/>
          <w:spacing w:val="2"/>
          <w:sz w:val="24"/>
          <w:vertAlign w:val="superscript"/>
        </w:rPr>
        <w:endnoteReference w:id="4"/>
      </w:r>
      <w:r w:rsidRPr="00B34FCB">
        <w:rPr>
          <w:rFonts w:ascii="Helvetica LT Std" w:hAnsi="Helvetica LT Std" w:cs="Times New Roman"/>
          <w:color w:val="000000"/>
          <w:spacing w:val="2"/>
          <w:sz w:val="24"/>
          <w:szCs w:val="20"/>
          <w:vertAlign w:val="superscript"/>
        </w:rPr>
        <w:t xml:space="preserve"> </w:t>
      </w:r>
      <w:r w:rsidRPr="00B34FCB">
        <w:rPr>
          <w:rFonts w:ascii="Helvetica LT Std" w:hAnsi="Helvetica LT Std" w:cs="Times New Roman"/>
          <w:color w:val="000000"/>
          <w:spacing w:val="2"/>
          <w:sz w:val="24"/>
          <w:szCs w:val="20"/>
        </w:rPr>
        <w:t xml:space="preserve">This includes employees that receive an employer-made contribution. This form is used by the IRS to ensure that the individual does not take a larger than permitted deduction and also ensures that the individual pays any taxes and penalties owed for non-eligible distributions. </w:t>
      </w:r>
      <w:r w:rsidR="00963803">
        <w:rPr>
          <w:rFonts w:ascii="Helvetica LT Std" w:hAnsi="Helvetica LT Std" w:cs="Times New Roman"/>
          <w:color w:val="000000"/>
          <w:spacing w:val="2"/>
          <w:sz w:val="24"/>
          <w:szCs w:val="20"/>
        </w:rPr>
        <w:t>The employer provides a W-2 to the employee documenting pre-tax HSA contributions.</w:t>
      </w:r>
      <w:r w:rsidRPr="00B34FCB">
        <w:rPr>
          <w:rFonts w:ascii="Helvetica LT Std" w:hAnsi="Helvetica LT Std" w:cs="Times New Roman"/>
          <w:color w:val="000000"/>
          <w:spacing w:val="2"/>
          <w:sz w:val="24"/>
          <w:szCs w:val="20"/>
        </w:rPr>
        <w:t xml:space="preserve">   </w:t>
      </w:r>
    </w:p>
    <w:p w:rsidR="0011375E" w:rsidRPr="00B34FCB" w:rsidRDefault="0011375E" w:rsidP="00B34FCB">
      <w:pPr>
        <w:pStyle w:val="ListParagraph"/>
        <w:numPr>
          <w:ilvl w:val="0"/>
          <w:numId w:val="3"/>
        </w:numPr>
        <w:rPr>
          <w:rFonts w:ascii="Helvetica LT Std" w:hAnsi="Helvetica LT Std" w:cs="Times New Roman"/>
          <w:color w:val="000000"/>
          <w:spacing w:val="2"/>
          <w:sz w:val="24"/>
          <w:szCs w:val="20"/>
        </w:rPr>
      </w:pPr>
      <w:r w:rsidRPr="00B34FCB">
        <w:rPr>
          <w:rFonts w:ascii="Helvetica LT Std" w:hAnsi="Helvetica LT Std" w:cs="Times New Roman"/>
          <w:i/>
          <w:color w:val="000000"/>
          <w:spacing w:val="2"/>
          <w:sz w:val="24"/>
          <w:szCs w:val="20"/>
        </w:rPr>
        <w:t>Termination of Employment.</w:t>
      </w:r>
      <w:r w:rsidRPr="00B34FCB">
        <w:rPr>
          <w:rFonts w:ascii="Helvetica LT Std" w:hAnsi="Helvetica LT Std" w:cs="Times New Roman"/>
          <w:color w:val="000000"/>
          <w:spacing w:val="2"/>
          <w:sz w:val="24"/>
          <w:szCs w:val="20"/>
        </w:rPr>
        <w:t xml:space="preserve"> Another positive feature of HSAs for both employers and employees is that the HSA remains open and viable after the </w:t>
      </w:r>
      <w:r w:rsidRPr="00B34FCB">
        <w:rPr>
          <w:rFonts w:ascii="Helvetica LT Std" w:hAnsi="Helvetica LT Std" w:cs="Times New Roman"/>
          <w:color w:val="000000"/>
          <w:spacing w:val="2"/>
          <w:sz w:val="24"/>
          <w:szCs w:val="20"/>
        </w:rPr>
        <w:lastRenderedPageBreak/>
        <w:t>employee’s separation from service</w:t>
      </w:r>
      <w:r w:rsidR="00C4423D" w:rsidRPr="00B34FCB">
        <w:rPr>
          <w:rFonts w:ascii="Helvetica LT Std" w:hAnsi="Helvetica LT Std" w:cs="Times New Roman"/>
          <w:color w:val="000000"/>
          <w:spacing w:val="2"/>
          <w:sz w:val="24"/>
          <w:szCs w:val="20"/>
        </w:rPr>
        <w:t xml:space="preserve"> (some situations may require the account owner to transfer the HSA to a new custodian)</w:t>
      </w:r>
      <w:r w:rsidRPr="00B34FCB">
        <w:rPr>
          <w:rFonts w:ascii="Helvetica LT Std" w:hAnsi="Helvetica LT Std" w:cs="Times New Roman"/>
          <w:color w:val="000000"/>
          <w:spacing w:val="2"/>
          <w:sz w:val="24"/>
          <w:szCs w:val="20"/>
        </w:rPr>
        <w:t xml:space="preserve">. Other than discontinuing any </w:t>
      </w:r>
      <w:r w:rsidR="00963803">
        <w:rPr>
          <w:rFonts w:ascii="Helvetica LT Std" w:hAnsi="Helvetica LT Std" w:cs="Times New Roman"/>
          <w:color w:val="000000"/>
          <w:spacing w:val="2"/>
          <w:sz w:val="24"/>
          <w:szCs w:val="20"/>
        </w:rPr>
        <w:t xml:space="preserve">employer </w:t>
      </w:r>
      <w:r w:rsidRPr="00B34FCB">
        <w:rPr>
          <w:rFonts w:ascii="Helvetica LT Std" w:hAnsi="Helvetica LT Std" w:cs="Times New Roman"/>
          <w:color w:val="000000"/>
          <w:spacing w:val="2"/>
          <w:sz w:val="24"/>
          <w:szCs w:val="20"/>
        </w:rPr>
        <w:t xml:space="preserve">contributions into the HSA, the employer generally does not need to take any action regarding the separating employee’s HSA. </w:t>
      </w:r>
      <w:r w:rsidR="00135A78">
        <w:rPr>
          <w:rFonts w:ascii="Helvetica LT Std" w:hAnsi="Helvetica LT Std" w:cs="Times New Roman"/>
          <w:color w:val="000000"/>
          <w:spacing w:val="2"/>
          <w:sz w:val="24"/>
          <w:szCs w:val="20"/>
        </w:rPr>
        <w:t xml:space="preserve">The employee is responsible to maintain or close the HSA after separation from service. </w:t>
      </w:r>
    </w:p>
    <w:p w:rsidR="00363F0A" w:rsidRDefault="000A7636"/>
    <w:sectPr w:rsidR="00363F0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4F4" w:rsidRDefault="001054F4" w:rsidP="00C4423D">
      <w:r>
        <w:separator/>
      </w:r>
    </w:p>
  </w:endnote>
  <w:endnote w:type="continuationSeparator" w:id="0">
    <w:p w:rsidR="001054F4" w:rsidRDefault="001054F4" w:rsidP="00C4423D">
      <w:r>
        <w:continuationSeparator/>
      </w:r>
    </w:p>
  </w:endnote>
  <w:endnote w:id="1">
    <w:p w:rsidR="00C4423D" w:rsidRDefault="00C4423D">
      <w:pPr>
        <w:pStyle w:val="EndnoteText"/>
      </w:pPr>
      <w:r>
        <w:rPr>
          <w:rStyle w:val="EndnoteReference"/>
        </w:rPr>
        <w:endnoteRef/>
      </w:r>
      <w:r>
        <w:t xml:space="preserve"> IRS Notice 2004-2, A30.</w:t>
      </w:r>
    </w:p>
  </w:endnote>
  <w:endnote w:id="2">
    <w:p w:rsidR="00C4423D" w:rsidRDefault="00C4423D">
      <w:pPr>
        <w:pStyle w:val="EndnoteText"/>
      </w:pPr>
      <w:r>
        <w:rPr>
          <w:rStyle w:val="EndnoteReference"/>
        </w:rPr>
        <w:endnoteRef/>
      </w:r>
      <w:r>
        <w:t xml:space="preserve"> IRS Notice 2004-50, A81.</w:t>
      </w:r>
    </w:p>
  </w:endnote>
  <w:endnote w:id="3">
    <w:p w:rsidR="00C4423D" w:rsidRDefault="00C4423D">
      <w:pPr>
        <w:pStyle w:val="EndnoteText"/>
      </w:pPr>
      <w:r>
        <w:rPr>
          <w:rStyle w:val="EndnoteReference"/>
        </w:rPr>
        <w:endnoteRef/>
      </w:r>
      <w:r>
        <w:t xml:space="preserve"> IRS Notice 2004-50, A81.</w:t>
      </w:r>
    </w:p>
  </w:endnote>
  <w:endnote w:id="4">
    <w:p w:rsidR="00C4423D" w:rsidRDefault="00C4423D">
      <w:pPr>
        <w:pStyle w:val="EndnoteText"/>
      </w:pPr>
      <w:r>
        <w:rPr>
          <w:rStyle w:val="EndnoteReference"/>
        </w:rPr>
        <w:endnoteRef/>
      </w:r>
      <w:r>
        <w:t xml:space="preserve"> IRS Instructions to Form 8889.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T Std">
    <w:altName w:val="Arial"/>
    <w:panose1 w:val="00000000000000000000"/>
    <w:charset w:val="00"/>
    <w:family w:val="swiss"/>
    <w:notTrueType/>
    <w:pitch w:val="variable"/>
    <w:sig w:usb0="00000001" w:usb1="5000204A"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4F4" w:rsidRDefault="001054F4" w:rsidP="00C4423D">
      <w:r>
        <w:separator/>
      </w:r>
    </w:p>
  </w:footnote>
  <w:footnote w:type="continuationSeparator" w:id="0">
    <w:p w:rsidR="001054F4" w:rsidRDefault="001054F4" w:rsidP="00C44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14A92"/>
    <w:multiLevelType w:val="hybridMultilevel"/>
    <w:tmpl w:val="CCA21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74415"/>
    <w:multiLevelType w:val="hybridMultilevel"/>
    <w:tmpl w:val="271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A351C"/>
    <w:multiLevelType w:val="multilevel"/>
    <w:tmpl w:val="506475F6"/>
    <w:numStyleLink w:val="Style1"/>
  </w:abstractNum>
  <w:abstractNum w:abstractNumId="3">
    <w:nsid w:val="72ED4AC7"/>
    <w:multiLevelType w:val="hybridMultilevel"/>
    <w:tmpl w:val="51361492"/>
    <w:lvl w:ilvl="0" w:tplc="EC2AAFDE">
      <w:start w:val="1"/>
      <w:numFmt w:val="decimal"/>
      <w:suff w:val="space"/>
      <w:lvlText w:val="%1."/>
      <w:lvlJc w:val="left"/>
      <w:pPr>
        <w:ind w:left="360" w:hanging="360"/>
      </w:pPr>
      <w:rPr>
        <w:rFonts w:hint="default"/>
        <w:b/>
        <w:spacing w:val="0"/>
        <w:position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022A12"/>
    <w:multiLevelType w:val="multilevel"/>
    <w:tmpl w:val="506475F6"/>
    <w:styleLink w:val="Style1"/>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5E"/>
    <w:rsid w:val="000A7636"/>
    <w:rsid w:val="001054F4"/>
    <w:rsid w:val="0011375E"/>
    <w:rsid w:val="00135A78"/>
    <w:rsid w:val="00147458"/>
    <w:rsid w:val="001A666E"/>
    <w:rsid w:val="008C0008"/>
    <w:rsid w:val="008E429C"/>
    <w:rsid w:val="00963803"/>
    <w:rsid w:val="00B34FCB"/>
    <w:rsid w:val="00B94D63"/>
    <w:rsid w:val="00C4423D"/>
    <w:rsid w:val="00C6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75E"/>
    <w:pPr>
      <w:ind w:left="720"/>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C4423D"/>
    <w:rPr>
      <w:sz w:val="20"/>
      <w:szCs w:val="20"/>
    </w:rPr>
  </w:style>
  <w:style w:type="character" w:customStyle="1" w:styleId="EndnoteTextChar">
    <w:name w:val="Endnote Text Char"/>
    <w:basedOn w:val="DefaultParagraphFont"/>
    <w:link w:val="EndnoteText"/>
    <w:uiPriority w:val="99"/>
    <w:semiHidden/>
    <w:rsid w:val="00C4423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4423D"/>
    <w:rPr>
      <w:vertAlign w:val="superscript"/>
    </w:rPr>
  </w:style>
  <w:style w:type="numbering" w:customStyle="1" w:styleId="Style1">
    <w:name w:val="Style1"/>
    <w:uiPriority w:val="99"/>
    <w:rsid w:val="00B34FCB"/>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75E"/>
    <w:pPr>
      <w:ind w:left="720"/>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C4423D"/>
    <w:rPr>
      <w:sz w:val="20"/>
      <w:szCs w:val="20"/>
    </w:rPr>
  </w:style>
  <w:style w:type="character" w:customStyle="1" w:styleId="EndnoteTextChar">
    <w:name w:val="Endnote Text Char"/>
    <w:basedOn w:val="DefaultParagraphFont"/>
    <w:link w:val="EndnoteText"/>
    <w:uiPriority w:val="99"/>
    <w:semiHidden/>
    <w:rsid w:val="00C4423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4423D"/>
    <w:rPr>
      <w:vertAlign w:val="superscript"/>
    </w:rPr>
  </w:style>
  <w:style w:type="numbering" w:customStyle="1" w:styleId="Style1">
    <w:name w:val="Style1"/>
    <w:uiPriority w:val="99"/>
    <w:rsid w:val="00B34FC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0AF20-325C-4FE0-8528-35DB6EB3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wrjohnson</dc:creator>
  <cp:lastModifiedBy>rcline</cp:lastModifiedBy>
  <cp:revision>2</cp:revision>
  <dcterms:created xsi:type="dcterms:W3CDTF">2015-06-01T20:20:00Z</dcterms:created>
  <dcterms:modified xsi:type="dcterms:W3CDTF">2015-06-01T20:20:00Z</dcterms:modified>
</cp:coreProperties>
</file>