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DC" w:rsidRPr="00A66708" w:rsidRDefault="007A7C7D" w:rsidP="00A66708">
      <w:pPr>
        <w:autoSpaceDE w:val="0"/>
        <w:autoSpaceDN w:val="0"/>
        <w:adjustRightInd w:val="0"/>
        <w:spacing w:after="480"/>
        <w:ind w:firstLine="720"/>
        <w:jc w:val="both"/>
        <w:rPr>
          <w:b/>
          <w:sz w:val="24"/>
          <w:szCs w:val="24"/>
        </w:rPr>
      </w:pPr>
      <w:r>
        <w:rPr>
          <w:b/>
          <w:sz w:val="24"/>
          <w:szCs w:val="24"/>
        </w:rPr>
        <w:t xml:space="preserve">677.01 </w:t>
      </w:r>
      <w:bookmarkStart w:id="0" w:name="_GoBack"/>
      <w:bookmarkEnd w:id="0"/>
      <w:r>
        <w:rPr>
          <w:b/>
          <w:sz w:val="24"/>
          <w:szCs w:val="24"/>
        </w:rPr>
        <w:t>What rights in Intellectual Property</w:t>
      </w:r>
      <w:r w:rsidR="002E61DC" w:rsidRPr="00A66708">
        <w:rPr>
          <w:b/>
          <w:sz w:val="24"/>
          <w:szCs w:val="24"/>
        </w:rPr>
        <w:t xml:space="preserve"> does a transferor have to convey to a business entity in order to avoid a taxable event under IRC Sections 351 or 721?  </w:t>
      </w:r>
    </w:p>
    <w:p w:rsidR="002E61DC" w:rsidRPr="00A66708" w:rsidRDefault="002E61DC" w:rsidP="00A66708">
      <w:pPr>
        <w:autoSpaceDE w:val="0"/>
        <w:autoSpaceDN w:val="0"/>
        <w:adjustRightInd w:val="0"/>
        <w:spacing w:after="480"/>
        <w:ind w:firstLine="720"/>
        <w:jc w:val="both"/>
        <w:rPr>
          <w:sz w:val="24"/>
          <w:szCs w:val="24"/>
        </w:rPr>
      </w:pPr>
      <w:r>
        <w:rPr>
          <w:sz w:val="24"/>
          <w:szCs w:val="24"/>
        </w:rPr>
        <w:t xml:space="preserve">The purpose of sections 351 and 721 is to facilitate the flow of </w:t>
      </w:r>
      <w:r w:rsidR="00D756CC">
        <w:rPr>
          <w:sz w:val="24"/>
          <w:szCs w:val="24"/>
        </w:rPr>
        <w:t>“</w:t>
      </w:r>
      <w:r>
        <w:rPr>
          <w:sz w:val="24"/>
          <w:szCs w:val="24"/>
        </w:rPr>
        <w:t>property</w:t>
      </w:r>
      <w:r w:rsidR="00D756CC">
        <w:rPr>
          <w:sz w:val="24"/>
          <w:szCs w:val="24"/>
        </w:rPr>
        <w:t>”</w:t>
      </w:r>
      <w:r>
        <w:rPr>
          <w:sz w:val="24"/>
          <w:szCs w:val="24"/>
        </w:rPr>
        <w:t xml:space="preserve"> from persons to business entities that will use the property productively but does not close out the transferor’s investment.</w:t>
      </w:r>
      <w:r w:rsidR="00D756CC">
        <w:rPr>
          <w:rStyle w:val="FootnoteReference"/>
          <w:sz w:val="24"/>
          <w:szCs w:val="24"/>
        </w:rPr>
        <w:footnoteReference w:id="1"/>
      </w:r>
      <w:r>
        <w:rPr>
          <w:sz w:val="24"/>
          <w:szCs w:val="24"/>
        </w:rPr>
        <w:t xml:space="preserve">  </w:t>
      </w:r>
      <w:r w:rsidRPr="00A66708">
        <w:rPr>
          <w:sz w:val="24"/>
          <w:szCs w:val="24"/>
        </w:rPr>
        <w:t xml:space="preserve">Although the Code does not define </w:t>
      </w:r>
      <w:r w:rsidR="00D756CC">
        <w:rPr>
          <w:sz w:val="24"/>
          <w:szCs w:val="24"/>
        </w:rPr>
        <w:t>“</w:t>
      </w:r>
      <w:r w:rsidRPr="00A66708">
        <w:rPr>
          <w:sz w:val="24"/>
          <w:szCs w:val="24"/>
        </w:rPr>
        <w:t>property</w:t>
      </w:r>
      <w:r w:rsidR="00D756CC">
        <w:rPr>
          <w:sz w:val="24"/>
          <w:szCs w:val="24"/>
        </w:rPr>
        <w:t>”</w:t>
      </w:r>
      <w:r w:rsidRPr="00A66708">
        <w:rPr>
          <w:sz w:val="24"/>
          <w:szCs w:val="24"/>
        </w:rPr>
        <w:t xml:space="preserve"> for purposes of sections 351 or 721, the courts have given the term rather broad application.</w:t>
      </w:r>
      <w:r w:rsidR="00D756CC">
        <w:rPr>
          <w:rStyle w:val="FootnoteReference"/>
          <w:sz w:val="24"/>
          <w:szCs w:val="24"/>
        </w:rPr>
        <w:footnoteReference w:id="2"/>
      </w:r>
      <w:r w:rsidRPr="00A66708">
        <w:rPr>
          <w:sz w:val="24"/>
          <w:szCs w:val="24"/>
        </w:rPr>
        <w:t xml:space="preserve">  The term “property” for purposes of section 351 “encompasses whatever may be transferred.”</w:t>
      </w:r>
      <w:r w:rsidR="00D756CC">
        <w:rPr>
          <w:rStyle w:val="FootnoteReference"/>
          <w:sz w:val="24"/>
          <w:szCs w:val="24"/>
        </w:rPr>
        <w:footnoteReference w:id="3"/>
      </w:r>
      <w:r w:rsidRPr="00A66708">
        <w:rPr>
          <w:sz w:val="24"/>
          <w:szCs w:val="24"/>
        </w:rPr>
        <w:t xml:space="preserve"> </w:t>
      </w:r>
    </w:p>
    <w:p w:rsidR="002E61DC" w:rsidRDefault="002E61DC" w:rsidP="00A66708">
      <w:pPr>
        <w:autoSpaceDE w:val="0"/>
        <w:autoSpaceDN w:val="0"/>
        <w:adjustRightInd w:val="0"/>
        <w:spacing w:after="480"/>
        <w:jc w:val="both"/>
        <w:rPr>
          <w:sz w:val="24"/>
          <w:szCs w:val="24"/>
        </w:rPr>
      </w:pPr>
      <w:r>
        <w:rPr>
          <w:sz w:val="24"/>
          <w:szCs w:val="24"/>
        </w:rPr>
        <w:t xml:space="preserve">For years, the IRS asserted that IRC </w:t>
      </w:r>
      <w:r w:rsidR="0030011D">
        <w:rPr>
          <w:sz w:val="24"/>
          <w:szCs w:val="24"/>
        </w:rPr>
        <w:t>S</w:t>
      </w:r>
      <w:r>
        <w:rPr>
          <w:sz w:val="24"/>
          <w:szCs w:val="24"/>
        </w:rPr>
        <w:t xml:space="preserve">ection 351 (and therefore </w:t>
      </w:r>
      <w:r>
        <w:rPr>
          <w:sz w:val="24"/>
          <w:szCs w:val="24"/>
        </w:rPr>
        <w:br/>
        <w:t>Section 721) does not apply to a transfer of patent (and other IP) rights unless the transaction would rise to the lev</w:t>
      </w:r>
      <w:r w:rsidR="00D756CC">
        <w:rPr>
          <w:sz w:val="24"/>
          <w:szCs w:val="24"/>
        </w:rPr>
        <w:t xml:space="preserve">el of a sale or exchange under </w:t>
      </w:r>
      <w:r w:rsidR="0030011D">
        <w:rPr>
          <w:sz w:val="24"/>
          <w:szCs w:val="24"/>
        </w:rPr>
        <w:t>S</w:t>
      </w:r>
      <w:r>
        <w:rPr>
          <w:sz w:val="24"/>
          <w:szCs w:val="24"/>
        </w:rPr>
        <w:t>ection 1001.  Thus, the transferor would have to give up “all substantial rights” to the patent.</w:t>
      </w:r>
      <w:r w:rsidR="00A03013">
        <w:rPr>
          <w:rStyle w:val="FootnoteReference"/>
          <w:sz w:val="24"/>
          <w:szCs w:val="24"/>
        </w:rPr>
        <w:footnoteReference w:id="4"/>
      </w:r>
      <w:r>
        <w:rPr>
          <w:sz w:val="24"/>
          <w:szCs w:val="24"/>
        </w:rPr>
        <w:t xml:space="preserve">  </w:t>
      </w:r>
      <w:r>
        <w:rPr>
          <w:bCs/>
          <w:sz w:val="24"/>
          <w:szCs w:val="24"/>
        </w:rPr>
        <w:t xml:space="preserve">In Rev. Rul. 69-156, the IRS asserted the “all substantial rights” test as follows: </w:t>
      </w:r>
    </w:p>
    <w:p w:rsidR="002E61DC" w:rsidRDefault="002E61DC" w:rsidP="00A66708">
      <w:pPr>
        <w:autoSpaceDE w:val="0"/>
        <w:autoSpaceDN w:val="0"/>
        <w:adjustRightInd w:val="0"/>
        <w:spacing w:after="480"/>
        <w:ind w:left="1440" w:right="1440"/>
        <w:jc w:val="both"/>
        <w:rPr>
          <w:sz w:val="24"/>
          <w:szCs w:val="24"/>
        </w:rPr>
      </w:pPr>
      <w:r>
        <w:rPr>
          <w:sz w:val="24"/>
          <w:szCs w:val="24"/>
        </w:rPr>
        <w:t xml:space="preserve">The grant of patent rights to a corporation will constitute a transfer of property within the meaning of </w:t>
      </w:r>
      <w:r w:rsidRPr="00A66708">
        <w:rPr>
          <w:rFonts w:eastAsiaTheme="majorEastAsia"/>
          <w:sz w:val="24"/>
          <w:szCs w:val="24"/>
        </w:rPr>
        <w:t>section 351</w:t>
      </w:r>
      <w:r>
        <w:rPr>
          <w:sz w:val="24"/>
          <w:szCs w:val="24"/>
        </w:rPr>
        <w:t xml:space="preserve"> of the Code only if the grant of these rights in a transaction which would ordinarily be taxable, would constitute a sale or exchange of property rather than a license for purposes of determining gain or loss. In order for such a grant of patent rights to * * * constitute a sale or exchange, the grant must consist of all substantial rights to the patent.</w:t>
      </w:r>
    </w:p>
    <w:p w:rsidR="002E61DC" w:rsidRDefault="002E61DC" w:rsidP="00A66708">
      <w:pPr>
        <w:spacing w:after="480"/>
        <w:jc w:val="both"/>
        <w:rPr>
          <w:sz w:val="24"/>
          <w:szCs w:val="24"/>
        </w:rPr>
      </w:pPr>
      <w:r>
        <w:rPr>
          <w:sz w:val="24"/>
          <w:szCs w:val="24"/>
        </w:rPr>
        <w:tab/>
        <w:t xml:space="preserve">According to the IRS, the retention by the transferor of substantial rights in the patent or other IP would constitute a license of IP rights and therefore not an exchange of property.  </w:t>
      </w:r>
      <w:r>
        <w:rPr>
          <w:i/>
          <w:iCs/>
          <w:sz w:val="24"/>
          <w:szCs w:val="24"/>
        </w:rPr>
        <w:t>Id</w:t>
      </w:r>
      <w:r>
        <w:rPr>
          <w:sz w:val="24"/>
          <w:szCs w:val="24"/>
        </w:rPr>
        <w:t xml:space="preserve">.   The IRS did not consider the transfer of a license to qualify as a transfer of “property” under Section 351 because a similar transfer to a third party would not constitute a sale or exchange pursuant to Section 1001 for purposes of realizing gain or loss on the transaction.  </w:t>
      </w:r>
    </w:p>
    <w:p w:rsidR="002E61DC" w:rsidRDefault="002E61DC" w:rsidP="00A66708">
      <w:pPr>
        <w:spacing w:after="480"/>
        <w:ind w:firstLine="720"/>
        <w:jc w:val="both"/>
      </w:pPr>
      <w:r>
        <w:rPr>
          <w:sz w:val="24"/>
          <w:szCs w:val="24"/>
        </w:rPr>
        <w:t>Based on its position, the IRS asserted a transfer of IP will qualify as a sale, as opposed to a license, only if the transferor assigns all substantial rights to the IP; and such assignment is equally required by sections 721 and 351.</w:t>
      </w:r>
      <w:r w:rsidR="00A03013">
        <w:rPr>
          <w:rStyle w:val="FootnoteReference"/>
          <w:sz w:val="24"/>
          <w:szCs w:val="24"/>
        </w:rPr>
        <w:footnoteReference w:id="5"/>
      </w:r>
      <w:r>
        <w:rPr>
          <w:sz w:val="24"/>
          <w:szCs w:val="24"/>
        </w:rPr>
        <w:t xml:space="preserve">   </w:t>
      </w:r>
    </w:p>
    <w:p w:rsidR="002E61DC" w:rsidRDefault="002E61DC" w:rsidP="00A66708">
      <w:pPr>
        <w:spacing w:after="480"/>
        <w:jc w:val="both"/>
        <w:rPr>
          <w:rFonts w:eastAsia="Calibri"/>
          <w:sz w:val="24"/>
          <w:szCs w:val="24"/>
        </w:rPr>
      </w:pPr>
      <w:r>
        <w:rPr>
          <w:sz w:val="24"/>
          <w:szCs w:val="24"/>
        </w:rPr>
        <w:lastRenderedPageBreak/>
        <w:tab/>
        <w:t>The IRS asserted its “all substantial rights” argument to the Court of Federal Claims in 1973 and lost.</w:t>
      </w:r>
      <w:r w:rsidR="0028260C">
        <w:rPr>
          <w:rStyle w:val="FootnoteReference"/>
          <w:sz w:val="24"/>
          <w:szCs w:val="24"/>
        </w:rPr>
        <w:footnoteReference w:id="6"/>
      </w:r>
      <w:r>
        <w:rPr>
          <w:sz w:val="24"/>
          <w:szCs w:val="24"/>
        </w:rPr>
        <w:t xml:space="preserve">  In that case, </w:t>
      </w:r>
      <w:r>
        <w:rPr>
          <w:rFonts w:eastAsia="Calibri"/>
          <w:sz w:val="24"/>
          <w:szCs w:val="24"/>
        </w:rPr>
        <w:t>Du Pont was engaged in the domestic sale and exportation (to France, among other places) of urea herbicides.  Du Pont organized a wholly-owned French subsidiary, Du Pont de Nemours (France) S.A., to manufacture the herbicide in France.  Du Pont granted to the subsidiary a royalty-free, non-exclusive license to make, use and sell urea herbicides under the French patents. Du Pont gave up its right to assert patent infringement against the subsidiary's products for the duration of the license, which was for the remaining life of the patents. The subsidiary had the right to sublicense manufacturing for its own needs, but any other sublicensing could only be done with the parent's consent. In exchange for this grant, and in lieu of royalties, Du Pont received stock in the subsidiary valued at $411,500.</w:t>
      </w:r>
    </w:p>
    <w:p w:rsidR="002E61DC" w:rsidRDefault="002E61DC" w:rsidP="00A66708">
      <w:pPr>
        <w:spacing w:after="480"/>
        <w:ind w:firstLine="720"/>
        <w:jc w:val="both"/>
        <w:rPr>
          <w:rFonts w:eastAsia="Calibri"/>
          <w:sz w:val="24"/>
          <w:szCs w:val="24"/>
        </w:rPr>
      </w:pPr>
      <w:r>
        <w:rPr>
          <w:rFonts w:eastAsia="Calibri"/>
          <w:sz w:val="24"/>
          <w:szCs w:val="24"/>
        </w:rPr>
        <w:t>The IRS argued that “[s]</w:t>
      </w:r>
      <w:proofErr w:type="spellStart"/>
      <w:r>
        <w:rPr>
          <w:rFonts w:eastAsia="Calibri"/>
          <w:sz w:val="24"/>
          <w:szCs w:val="24"/>
        </w:rPr>
        <w:t>ince</w:t>
      </w:r>
      <w:proofErr w:type="spellEnd"/>
      <w:r>
        <w:rPr>
          <w:rFonts w:eastAsia="Calibri"/>
          <w:sz w:val="24"/>
          <w:szCs w:val="24"/>
        </w:rPr>
        <w:t xml:space="preserve"> all substantial rights of the patents will not be transferred * * * to the new French company, such patents will not be considered property within the meaning of section 351 * * *.”</w:t>
      </w:r>
      <w:r w:rsidR="0028260C">
        <w:rPr>
          <w:rStyle w:val="FootnoteReference"/>
          <w:rFonts w:eastAsia="Calibri"/>
          <w:sz w:val="24"/>
          <w:szCs w:val="24"/>
        </w:rPr>
        <w:footnoteReference w:id="7"/>
      </w:r>
      <w:r>
        <w:rPr>
          <w:rFonts w:eastAsia="Calibri"/>
          <w:sz w:val="24"/>
          <w:szCs w:val="24"/>
        </w:rPr>
        <w:t xml:space="preserve">  </w:t>
      </w:r>
      <w:r>
        <w:rPr>
          <w:rFonts w:eastAsia="Calibri"/>
          <w:color w:val="000000"/>
          <w:sz w:val="24"/>
          <w:szCs w:val="24"/>
        </w:rPr>
        <w:t>According to the Court of Claims, the IRS focused on the “exch</w:t>
      </w:r>
      <w:r w:rsidR="0028260C">
        <w:rPr>
          <w:rFonts w:eastAsia="Calibri"/>
          <w:color w:val="000000"/>
          <w:sz w:val="24"/>
          <w:szCs w:val="24"/>
        </w:rPr>
        <w:t>ange” requirement contained in S</w:t>
      </w:r>
      <w:r>
        <w:rPr>
          <w:rFonts w:eastAsia="Calibri"/>
          <w:color w:val="000000"/>
          <w:sz w:val="24"/>
          <w:szCs w:val="24"/>
        </w:rPr>
        <w:t>ection 351, with that factor being equated with the concept of “sale or exchange” under the capital gains provisions of the Code.</w:t>
      </w:r>
      <w:r w:rsidR="0028260C">
        <w:rPr>
          <w:rStyle w:val="FootnoteReference"/>
          <w:rFonts w:eastAsia="Calibri"/>
          <w:color w:val="000000"/>
          <w:sz w:val="24"/>
          <w:szCs w:val="24"/>
        </w:rPr>
        <w:footnoteReference w:id="8"/>
      </w:r>
      <w:r>
        <w:rPr>
          <w:rFonts w:eastAsia="Calibri"/>
          <w:color w:val="000000"/>
          <w:sz w:val="24"/>
          <w:szCs w:val="24"/>
        </w:rPr>
        <w:t xml:space="preserve">  According to the IRS, if a contribution did not qualify as a “sale or exchange” for capital gain purposes, such as the proceeds from the grant of a nonexclusive license, the contribution cannot be a “transfer” of “property” “in exchange” un</w:t>
      </w:r>
      <w:r>
        <w:rPr>
          <w:rFonts w:eastAsia="Calibri"/>
          <w:sz w:val="24"/>
          <w:szCs w:val="24"/>
        </w:rPr>
        <w:t xml:space="preserve">der </w:t>
      </w:r>
      <w:r w:rsidR="0028260C">
        <w:rPr>
          <w:rFonts w:eastAsia="Calibri"/>
          <w:sz w:val="24"/>
          <w:szCs w:val="24"/>
        </w:rPr>
        <w:t>S</w:t>
      </w:r>
      <w:r w:rsidRPr="00A66708">
        <w:rPr>
          <w:rFonts w:eastAsia="Calibri"/>
          <w:sz w:val="24"/>
          <w:szCs w:val="24"/>
        </w:rPr>
        <w:t>ection 351</w:t>
      </w:r>
      <w:r>
        <w:rPr>
          <w:rFonts w:eastAsia="Calibri"/>
          <w:sz w:val="24"/>
          <w:szCs w:val="24"/>
        </w:rPr>
        <w:t xml:space="preserve">.  </w:t>
      </w:r>
    </w:p>
    <w:p w:rsidR="002E61DC" w:rsidRDefault="002E61DC" w:rsidP="00A66708">
      <w:pPr>
        <w:spacing w:after="480"/>
        <w:ind w:firstLine="720"/>
        <w:jc w:val="both"/>
        <w:rPr>
          <w:rFonts w:eastAsia="Calibri"/>
          <w:color w:val="000000"/>
          <w:sz w:val="24"/>
          <w:szCs w:val="24"/>
        </w:rPr>
      </w:pPr>
      <w:r>
        <w:rPr>
          <w:rFonts w:eastAsia="Calibri"/>
          <w:color w:val="000000"/>
          <w:sz w:val="24"/>
          <w:szCs w:val="24"/>
        </w:rPr>
        <w:t xml:space="preserve">The Court of Claims analyzed whether Section 351 embodies the same notions as the capital gains provisions and found that the purpose of the capital gains provisions is to allow capital gain treatment when a person divests substantially all of its rights in property to a third person whereas the purpose of Section 351 is to ensure a transferor avoids immediate taxation when it rearranges its business assets and affairs by contributing certain assets to corporations: </w:t>
      </w:r>
    </w:p>
    <w:p w:rsidR="002E61DC" w:rsidRDefault="002E61DC" w:rsidP="00A66708">
      <w:pPr>
        <w:autoSpaceDE w:val="0"/>
        <w:autoSpaceDN w:val="0"/>
        <w:adjustRightInd w:val="0"/>
        <w:spacing w:after="480"/>
        <w:ind w:left="1440" w:right="1440"/>
        <w:jc w:val="both"/>
        <w:rPr>
          <w:rFonts w:eastAsia="Calibri"/>
          <w:sz w:val="24"/>
          <w:szCs w:val="24"/>
        </w:rPr>
      </w:pPr>
      <w:r>
        <w:rPr>
          <w:rFonts w:eastAsia="Calibri"/>
          <w:sz w:val="24"/>
          <w:szCs w:val="24"/>
        </w:rPr>
        <w:t xml:space="preserve">However, we do view the contrasting purposes of the two parts of the Code as undermining, affirmatively and seriously, the Government's position. In order to qualify for the tax relief of lower rates under the capital gains </w:t>
      </w:r>
      <w:r>
        <w:rPr>
          <w:sz w:val="24"/>
          <w:szCs w:val="24"/>
        </w:rPr>
        <w:t>provisions</w:t>
      </w:r>
      <w:r>
        <w:rPr>
          <w:rFonts w:eastAsia="Calibri"/>
          <w:sz w:val="24"/>
          <w:szCs w:val="24"/>
        </w:rPr>
        <w:t>, there must be complete divestiture of the taxpayer's interest in property of a particular nature, capital assets.  In such cases, there is no doubt about the actual flow of gain to the taxpayer from an outside source. Section 351, on the other hand, is not concerned with situations involving true severance of control and true flow of gain, but, rather, with instances which Congress considered as revealing illusory or artificial relinquishment of control and illusory or arti</w:t>
      </w:r>
      <w:r w:rsidR="0028260C">
        <w:rPr>
          <w:rFonts w:eastAsia="Calibri"/>
          <w:sz w:val="24"/>
          <w:szCs w:val="24"/>
        </w:rPr>
        <w:t>ficial gain. The transferor in s</w:t>
      </w:r>
      <w:r>
        <w:rPr>
          <w:rFonts w:eastAsia="Calibri"/>
          <w:sz w:val="24"/>
          <w:szCs w:val="24"/>
        </w:rPr>
        <w:t>ection 351 cases is required to remain in control, albeit indirectly, after the transfer. There is, in short, a transfer in form only, a technical transfer not one of substance. The section is designed to give present tax relief for internal rearrangements of the taxpayer's own assets, accompanied by no sacrifice of control and no real generation of income for the owner and to defer taxation until a true outside disposition is made.</w:t>
      </w:r>
    </w:p>
    <w:p w:rsidR="002E61DC" w:rsidRDefault="002E61DC" w:rsidP="00A66708">
      <w:pPr>
        <w:spacing w:after="480"/>
        <w:jc w:val="center"/>
        <w:rPr>
          <w:rFonts w:eastAsia="Calibri"/>
          <w:sz w:val="24"/>
          <w:szCs w:val="24"/>
        </w:rPr>
      </w:pPr>
      <w:r>
        <w:rPr>
          <w:rFonts w:eastAsia="Calibri"/>
          <w:sz w:val="24"/>
          <w:szCs w:val="24"/>
        </w:rPr>
        <w:t>* * * * *</w:t>
      </w:r>
    </w:p>
    <w:p w:rsidR="002E61DC" w:rsidRDefault="002E61DC" w:rsidP="00A66708">
      <w:pPr>
        <w:autoSpaceDE w:val="0"/>
        <w:autoSpaceDN w:val="0"/>
        <w:adjustRightInd w:val="0"/>
        <w:spacing w:after="480"/>
        <w:ind w:left="1440" w:right="1440"/>
        <w:jc w:val="both"/>
        <w:rPr>
          <w:rFonts w:eastAsia="Calibri"/>
          <w:sz w:val="24"/>
          <w:szCs w:val="24"/>
        </w:rPr>
      </w:pPr>
      <w:r>
        <w:rPr>
          <w:rFonts w:eastAsia="Calibri"/>
          <w:sz w:val="24"/>
          <w:szCs w:val="24"/>
        </w:rPr>
        <w:t>This direct opposition in the aims of the two sets of provisions-the capital gains sections stressing the completeness of dis</w:t>
      </w:r>
      <w:r w:rsidR="0028260C">
        <w:rPr>
          <w:rFonts w:eastAsia="Calibri"/>
          <w:sz w:val="24"/>
          <w:szCs w:val="24"/>
        </w:rPr>
        <w:t>position by the taxpayer while s</w:t>
      </w:r>
      <w:r>
        <w:rPr>
          <w:rFonts w:eastAsia="Calibri"/>
          <w:sz w:val="24"/>
          <w:szCs w:val="24"/>
        </w:rPr>
        <w:t xml:space="preserve">ection 351 is grounded in the taxpayer's continuance in control-supplies a compelling reason for putting aside, in applying the latter, capital gains formulations.  </w:t>
      </w:r>
      <w:proofErr w:type="gramStart"/>
      <w:r>
        <w:rPr>
          <w:rFonts w:eastAsia="Calibri"/>
          <w:i/>
          <w:sz w:val="24"/>
          <w:szCs w:val="24"/>
        </w:rPr>
        <w:t>Id</w:t>
      </w:r>
      <w:r>
        <w:rPr>
          <w:rFonts w:eastAsia="Calibri"/>
          <w:sz w:val="24"/>
          <w:szCs w:val="24"/>
        </w:rPr>
        <w:t>. at 1214, 1216.</w:t>
      </w:r>
      <w:proofErr w:type="gramEnd"/>
      <w:r>
        <w:rPr>
          <w:rFonts w:eastAsia="Calibri"/>
          <w:sz w:val="24"/>
          <w:szCs w:val="24"/>
        </w:rPr>
        <w:t xml:space="preserve">  </w:t>
      </w:r>
    </w:p>
    <w:p w:rsidR="002E61DC" w:rsidRDefault="002E61DC" w:rsidP="00A66708">
      <w:pPr>
        <w:autoSpaceDE w:val="0"/>
        <w:autoSpaceDN w:val="0"/>
        <w:adjustRightInd w:val="0"/>
        <w:spacing w:after="480"/>
        <w:jc w:val="both"/>
        <w:rPr>
          <w:rFonts w:asciiTheme="minorHAnsi" w:eastAsiaTheme="minorHAnsi" w:hAnsiTheme="minorHAnsi" w:cstheme="minorBidi"/>
          <w:sz w:val="22"/>
          <w:szCs w:val="22"/>
        </w:rPr>
      </w:pPr>
      <w:r>
        <w:rPr>
          <w:rFonts w:eastAsia="Calibri"/>
          <w:sz w:val="24"/>
          <w:szCs w:val="24"/>
        </w:rPr>
        <w:tab/>
        <w:t xml:space="preserve">The Court of Claims in </w:t>
      </w:r>
      <w:r>
        <w:rPr>
          <w:rFonts w:eastAsia="Calibri"/>
          <w:i/>
          <w:sz w:val="24"/>
          <w:szCs w:val="24"/>
        </w:rPr>
        <w:t>Du Pont</w:t>
      </w:r>
      <w:r>
        <w:rPr>
          <w:rFonts w:eastAsia="Calibri"/>
          <w:sz w:val="24"/>
          <w:szCs w:val="24"/>
        </w:rPr>
        <w:t xml:space="preserve"> found that “i</w:t>
      </w:r>
      <w:r>
        <w:rPr>
          <w:rFonts w:eastAsia="Calibri"/>
          <w:color w:val="000000"/>
          <w:sz w:val="24"/>
          <w:szCs w:val="24"/>
        </w:rPr>
        <w:t>t would be odd to hold that a transfer had to look most like a complete disposition in order to avoid being treated for tax purposes as a complete disposition</w:t>
      </w:r>
      <w:proofErr w:type="gramStart"/>
      <w:r>
        <w:rPr>
          <w:rFonts w:eastAsia="Calibri"/>
          <w:color w:val="000000"/>
          <w:sz w:val="24"/>
          <w:szCs w:val="24"/>
        </w:rPr>
        <w:t>…  .”</w:t>
      </w:r>
      <w:proofErr w:type="gramEnd"/>
      <w:r>
        <w:rPr>
          <w:rFonts w:eastAsia="Calibri"/>
          <w:sz w:val="24"/>
          <w:szCs w:val="24"/>
        </w:rPr>
        <w:t xml:space="preserve">  Thus, the Court found </w:t>
      </w:r>
      <w:r>
        <w:rPr>
          <w:rFonts w:eastAsia="Calibri"/>
          <w:color w:val="000000"/>
          <w:sz w:val="24"/>
          <w:szCs w:val="24"/>
        </w:rPr>
        <w:t>the capital gains concept of a “sale and exc</w:t>
      </w:r>
      <w:r w:rsidR="0028260C">
        <w:rPr>
          <w:rFonts w:eastAsia="Calibri"/>
          <w:color w:val="000000"/>
          <w:sz w:val="24"/>
          <w:szCs w:val="24"/>
        </w:rPr>
        <w:t>hange” is simply irrelevant to S</w:t>
      </w:r>
      <w:r>
        <w:rPr>
          <w:rFonts w:eastAsia="Calibri"/>
          <w:color w:val="000000"/>
          <w:sz w:val="24"/>
          <w:szCs w:val="24"/>
        </w:rPr>
        <w:t xml:space="preserve">ection 351, which has a different purpose.  </w:t>
      </w:r>
      <w:r>
        <w:rPr>
          <w:rFonts w:eastAsia="Calibri"/>
          <w:sz w:val="24"/>
          <w:szCs w:val="24"/>
        </w:rPr>
        <w:t xml:space="preserve">After finding the capital gains “sale or exchange” provision irrelevant, the Court of Federal Claims found the nonexclusive license as “property” for purposes of Section 351.  </w:t>
      </w:r>
      <w:r>
        <w:rPr>
          <w:sz w:val="24"/>
          <w:szCs w:val="24"/>
        </w:rPr>
        <w:t xml:space="preserve">After the </w:t>
      </w:r>
      <w:r>
        <w:rPr>
          <w:i/>
          <w:sz w:val="24"/>
          <w:szCs w:val="24"/>
        </w:rPr>
        <w:t>Du Pont</w:t>
      </w:r>
      <w:r>
        <w:rPr>
          <w:sz w:val="24"/>
          <w:szCs w:val="24"/>
        </w:rPr>
        <w:t xml:space="preserve"> decision, the IRS issued a General Counsel Memorandum concurring with the holdings in </w:t>
      </w:r>
      <w:r>
        <w:rPr>
          <w:i/>
          <w:sz w:val="24"/>
          <w:szCs w:val="24"/>
        </w:rPr>
        <w:t>Du Pont</w:t>
      </w:r>
      <w:r>
        <w:rPr>
          <w:sz w:val="24"/>
          <w:szCs w:val="24"/>
        </w:rPr>
        <w:t xml:space="preserve"> relating to the transfer of “property” for purposes of section 351.</w:t>
      </w:r>
      <w:r w:rsidR="0028260C">
        <w:rPr>
          <w:rStyle w:val="FootnoteReference"/>
          <w:sz w:val="24"/>
          <w:szCs w:val="24"/>
        </w:rPr>
        <w:footnoteReference w:id="9"/>
      </w:r>
      <w:r>
        <w:rPr>
          <w:sz w:val="24"/>
          <w:szCs w:val="24"/>
        </w:rPr>
        <w:t xml:space="preserve">  </w:t>
      </w:r>
    </w:p>
    <w:sectPr w:rsidR="002E61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CC" w:rsidRDefault="00D756CC" w:rsidP="00D756CC">
      <w:r>
        <w:separator/>
      </w:r>
    </w:p>
  </w:endnote>
  <w:endnote w:type="continuationSeparator" w:id="0">
    <w:p w:rsidR="00D756CC" w:rsidRDefault="00D756CC" w:rsidP="00D7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CC" w:rsidRDefault="00D756CC" w:rsidP="00D756CC">
      <w:r>
        <w:separator/>
      </w:r>
    </w:p>
  </w:footnote>
  <w:footnote w:type="continuationSeparator" w:id="0">
    <w:p w:rsidR="00D756CC" w:rsidRDefault="00D756CC" w:rsidP="00D756CC">
      <w:r>
        <w:continuationSeparator/>
      </w:r>
    </w:p>
  </w:footnote>
  <w:footnote w:id="1">
    <w:p w:rsidR="00D756CC" w:rsidRDefault="00D756CC">
      <w:pPr>
        <w:pStyle w:val="FootnoteText"/>
      </w:pPr>
      <w:r>
        <w:rPr>
          <w:rStyle w:val="FootnoteReference"/>
        </w:rPr>
        <w:footnoteRef/>
      </w:r>
      <w:r>
        <w:t xml:space="preserve"> </w:t>
      </w:r>
      <w:r w:rsidRPr="00D756CC">
        <w:rPr>
          <w:i/>
          <w:iCs/>
        </w:rPr>
        <w:t xml:space="preserve">See for example, </w:t>
      </w:r>
      <w:r w:rsidRPr="00D756CC">
        <w:t xml:space="preserve">B. </w:t>
      </w:r>
      <w:proofErr w:type="spellStart"/>
      <w:r w:rsidRPr="00D756CC">
        <w:t>Bittker</w:t>
      </w:r>
      <w:proofErr w:type="spellEnd"/>
      <w:r w:rsidRPr="00D756CC">
        <w:t xml:space="preserve"> &amp; J. </w:t>
      </w:r>
      <w:proofErr w:type="spellStart"/>
      <w:r w:rsidRPr="00D756CC">
        <w:t>Eustice</w:t>
      </w:r>
      <w:proofErr w:type="spellEnd"/>
      <w:r w:rsidRPr="00D756CC">
        <w:t xml:space="preserve">, </w:t>
      </w:r>
      <w:r w:rsidRPr="00D756CC">
        <w:rPr>
          <w:i/>
          <w:iCs/>
        </w:rPr>
        <w:t>Federal Income Taxation of Corporations &amp; Shareholders</w:t>
      </w:r>
      <w:r w:rsidRPr="00D756CC">
        <w:t xml:space="preserve">, ¶ 3.01 (discussing the purpose of tax-free exchanges between corporations and shareholders).  </w:t>
      </w:r>
    </w:p>
  </w:footnote>
  <w:footnote w:id="2">
    <w:p w:rsidR="00D756CC" w:rsidRPr="00D756CC" w:rsidRDefault="00D756CC">
      <w:pPr>
        <w:pStyle w:val="FootnoteText"/>
      </w:pPr>
      <w:r>
        <w:rPr>
          <w:rStyle w:val="FootnoteReference"/>
        </w:rPr>
        <w:footnoteRef/>
      </w:r>
      <w:r>
        <w:t xml:space="preserve"> </w:t>
      </w:r>
      <w:r w:rsidRPr="00D756CC">
        <w:rPr>
          <w:i/>
          <w:iCs/>
        </w:rPr>
        <w:t xml:space="preserve">See </w:t>
      </w:r>
      <w:r w:rsidRPr="00D756CC">
        <w:rPr>
          <w:rFonts w:eastAsiaTheme="majorEastAsia"/>
          <w:bCs/>
          <w:i/>
          <w:iCs/>
        </w:rPr>
        <w:t>E.I</w:t>
      </w:r>
      <w:hyperlink r:id="rId1" w:history="1">
        <w:r w:rsidRPr="00D756CC">
          <w:rPr>
            <w:rStyle w:val="Hyperlink"/>
            <w:rFonts w:eastAsiaTheme="majorEastAsia"/>
            <w:i/>
            <w:iCs/>
            <w:color w:val="auto"/>
            <w:u w:val="none"/>
          </w:rPr>
          <w:t xml:space="preserve">. </w:t>
        </w:r>
      </w:hyperlink>
      <w:proofErr w:type="gramStart"/>
      <w:r w:rsidRPr="00D756CC">
        <w:rPr>
          <w:rFonts w:eastAsiaTheme="majorEastAsia"/>
          <w:bCs/>
          <w:i/>
          <w:iCs/>
        </w:rPr>
        <w:t>DuPont</w:t>
      </w:r>
      <w:r w:rsidRPr="00D756CC">
        <w:t xml:space="preserve"> </w:t>
      </w:r>
      <w:r w:rsidRPr="00D756CC">
        <w:rPr>
          <w:rFonts w:eastAsiaTheme="majorEastAsia"/>
          <w:bCs/>
          <w:i/>
          <w:iCs/>
        </w:rPr>
        <w:t>de</w:t>
      </w:r>
      <w:r w:rsidRPr="00D756CC">
        <w:t xml:space="preserve"> </w:t>
      </w:r>
      <w:r w:rsidRPr="00D756CC">
        <w:rPr>
          <w:rFonts w:eastAsiaTheme="majorEastAsia"/>
          <w:bCs/>
          <w:i/>
          <w:iCs/>
        </w:rPr>
        <w:t>Nemours</w:t>
      </w:r>
      <w:hyperlink r:id="rId2" w:history="1">
        <w:r w:rsidRPr="00D756CC">
          <w:rPr>
            <w:rStyle w:val="Hyperlink"/>
            <w:rFonts w:eastAsiaTheme="majorEastAsia"/>
            <w:i/>
            <w:iCs/>
            <w:color w:val="auto"/>
            <w:u w:val="none"/>
          </w:rPr>
          <w:t xml:space="preserve"> &amp; </w:t>
        </w:r>
      </w:hyperlink>
      <w:r w:rsidRPr="00D756CC">
        <w:rPr>
          <w:rFonts w:eastAsiaTheme="majorEastAsia"/>
          <w:bCs/>
          <w:i/>
          <w:iCs/>
        </w:rPr>
        <w:t>Co</w:t>
      </w:r>
      <w:hyperlink r:id="rId3" w:history="1">
        <w:r w:rsidRPr="00D756CC">
          <w:rPr>
            <w:rStyle w:val="Hyperlink"/>
            <w:rFonts w:eastAsiaTheme="majorEastAsia"/>
            <w:i/>
            <w:iCs/>
            <w:color w:val="auto"/>
            <w:u w:val="none"/>
          </w:rPr>
          <w:t>.</w:t>
        </w:r>
        <w:proofErr w:type="gramEnd"/>
        <w:r w:rsidRPr="00D756CC">
          <w:rPr>
            <w:rStyle w:val="Hyperlink"/>
            <w:rFonts w:eastAsiaTheme="majorEastAsia"/>
            <w:i/>
            <w:iCs/>
            <w:color w:val="auto"/>
            <w:u w:val="none"/>
          </w:rPr>
          <w:t xml:space="preserve"> </w:t>
        </w:r>
      </w:hyperlink>
      <w:hyperlink r:id="rId4" w:history="1">
        <w:proofErr w:type="gramStart"/>
        <w:r w:rsidRPr="00D756CC">
          <w:rPr>
            <w:rStyle w:val="Hyperlink"/>
            <w:rFonts w:eastAsiaTheme="majorEastAsia"/>
            <w:bCs/>
            <w:i/>
            <w:iCs/>
            <w:color w:val="auto"/>
            <w:u w:val="none"/>
          </w:rPr>
          <w:t>v</w:t>
        </w:r>
        <w:proofErr w:type="gramEnd"/>
      </w:hyperlink>
      <w:hyperlink r:id="rId5" w:history="1">
        <w:r w:rsidRPr="00D756CC">
          <w:rPr>
            <w:rStyle w:val="Hyperlink"/>
            <w:rFonts w:eastAsiaTheme="majorEastAsia"/>
            <w:i/>
            <w:iCs/>
            <w:color w:val="auto"/>
            <w:u w:val="none"/>
          </w:rPr>
          <w:t xml:space="preserve">. </w:t>
        </w:r>
      </w:hyperlink>
      <w:r w:rsidRPr="00D756CC">
        <w:rPr>
          <w:rFonts w:eastAsiaTheme="majorEastAsia"/>
          <w:bCs/>
          <w:i/>
          <w:iCs/>
        </w:rPr>
        <w:t>United</w:t>
      </w:r>
      <w:hyperlink r:id="rId6" w:history="1">
        <w:r w:rsidRPr="00D756CC">
          <w:rPr>
            <w:rStyle w:val="Hyperlink"/>
            <w:rFonts w:eastAsiaTheme="majorEastAsia"/>
            <w:color w:val="auto"/>
            <w:u w:val="none"/>
          </w:rPr>
          <w:t> </w:t>
        </w:r>
      </w:hyperlink>
      <w:hyperlink r:id="rId7" w:history="1">
        <w:r w:rsidRPr="00D756CC">
          <w:rPr>
            <w:rStyle w:val="Hyperlink"/>
            <w:rFonts w:eastAsiaTheme="majorEastAsia"/>
            <w:bCs/>
            <w:i/>
            <w:iCs/>
            <w:color w:val="auto"/>
            <w:u w:val="none"/>
          </w:rPr>
          <w:t>States</w:t>
        </w:r>
      </w:hyperlink>
      <w:hyperlink r:id="rId8" w:history="1">
        <w:r w:rsidRPr="00D756CC">
          <w:rPr>
            <w:rStyle w:val="Hyperlink"/>
            <w:rFonts w:eastAsiaTheme="majorEastAsia"/>
            <w:i/>
            <w:iCs/>
            <w:color w:val="auto"/>
            <w:u w:val="none"/>
          </w:rPr>
          <w:t>,</w:t>
        </w:r>
      </w:hyperlink>
      <w:hyperlink r:id="rId9" w:history="1">
        <w:r w:rsidRPr="00D756CC">
          <w:rPr>
            <w:rStyle w:val="Hyperlink"/>
            <w:rFonts w:eastAsiaTheme="majorEastAsia"/>
            <w:bCs/>
            <w:color w:val="auto"/>
            <w:u w:val="none"/>
          </w:rPr>
          <w:t>471</w:t>
        </w:r>
      </w:hyperlink>
      <w:r w:rsidRPr="00D756CC">
        <w:rPr>
          <w:rFonts w:eastAsia="Calibri"/>
        </w:rPr>
        <w:t xml:space="preserve"> </w:t>
      </w:r>
      <w:hyperlink r:id="rId10" w:history="1">
        <w:r w:rsidRPr="00D756CC">
          <w:rPr>
            <w:rStyle w:val="Hyperlink"/>
            <w:rFonts w:eastAsiaTheme="majorEastAsia"/>
            <w:bCs/>
            <w:color w:val="auto"/>
            <w:u w:val="none"/>
          </w:rPr>
          <w:t>F</w:t>
        </w:r>
      </w:hyperlink>
      <w:hyperlink r:id="rId11" w:history="1">
        <w:r w:rsidRPr="00D756CC">
          <w:rPr>
            <w:rStyle w:val="Hyperlink"/>
            <w:rFonts w:eastAsiaTheme="majorEastAsia"/>
            <w:color w:val="auto"/>
            <w:u w:val="none"/>
          </w:rPr>
          <w:t>.</w:t>
        </w:r>
      </w:hyperlink>
      <w:hyperlink r:id="rId12" w:history="1">
        <w:r w:rsidRPr="00D756CC">
          <w:rPr>
            <w:rStyle w:val="Hyperlink"/>
            <w:rFonts w:eastAsiaTheme="majorEastAsia"/>
            <w:bCs/>
            <w:color w:val="auto"/>
            <w:u w:val="none"/>
          </w:rPr>
          <w:t>2d</w:t>
        </w:r>
      </w:hyperlink>
      <w:r w:rsidRPr="00D756CC">
        <w:rPr>
          <w:bCs/>
        </w:rPr>
        <w:t xml:space="preserve"> </w:t>
      </w:r>
      <w:r w:rsidRPr="00D756CC">
        <w:rPr>
          <w:rFonts w:eastAsiaTheme="majorEastAsia"/>
          <w:bCs/>
        </w:rPr>
        <w:t>1211</w:t>
      </w:r>
      <w:hyperlink r:id="rId13" w:history="1">
        <w:r w:rsidRPr="00D756CC">
          <w:rPr>
            <w:rStyle w:val="Hyperlink"/>
            <w:rFonts w:eastAsiaTheme="majorEastAsia"/>
            <w:color w:val="auto"/>
            <w:u w:val="none"/>
          </w:rPr>
          <w:t xml:space="preserve">, </w:t>
        </w:r>
      </w:hyperlink>
      <w:r w:rsidRPr="00D756CC">
        <w:rPr>
          <w:rFonts w:eastAsiaTheme="majorEastAsia"/>
          <w:bCs/>
        </w:rPr>
        <w:t>1218</w:t>
      </w:r>
      <w:hyperlink r:id="rId14" w:history="1">
        <w:r w:rsidRPr="00D756CC">
          <w:rPr>
            <w:rStyle w:val="Hyperlink"/>
            <w:rFonts w:eastAsiaTheme="majorEastAsia"/>
            <w:color w:val="auto"/>
            <w:u w:val="none"/>
          </w:rPr>
          <w:t xml:space="preserve">, </w:t>
        </w:r>
      </w:hyperlink>
      <w:r w:rsidRPr="00D756CC">
        <w:rPr>
          <w:rFonts w:eastAsiaTheme="majorEastAsia"/>
          <w:bCs/>
        </w:rPr>
        <w:t>200</w:t>
      </w:r>
      <w:r w:rsidRPr="00D756CC">
        <w:t xml:space="preserve"> </w:t>
      </w:r>
      <w:hyperlink r:id="rId15" w:history="1">
        <w:proofErr w:type="spellStart"/>
        <w:r w:rsidRPr="00D756CC">
          <w:rPr>
            <w:rStyle w:val="Hyperlink"/>
            <w:rFonts w:eastAsiaTheme="majorEastAsia"/>
            <w:bCs/>
            <w:color w:val="auto"/>
            <w:u w:val="none"/>
          </w:rPr>
          <w:t>Ct.Cl</w:t>
        </w:r>
        <w:proofErr w:type="spellEnd"/>
      </w:hyperlink>
      <w:hyperlink r:id="rId16" w:history="1">
        <w:r w:rsidRPr="00D756CC">
          <w:rPr>
            <w:rStyle w:val="Hyperlink"/>
            <w:rFonts w:eastAsiaTheme="majorEastAsia"/>
            <w:color w:val="auto"/>
            <w:u w:val="none"/>
          </w:rPr>
          <w:t xml:space="preserve">. </w:t>
        </w:r>
      </w:hyperlink>
      <w:r w:rsidRPr="00D756CC">
        <w:rPr>
          <w:rFonts w:eastAsiaTheme="majorEastAsia"/>
          <w:bCs/>
        </w:rPr>
        <w:t>391</w:t>
      </w:r>
      <w:hyperlink r:id="rId17" w:history="1">
        <w:r w:rsidRPr="00D756CC">
          <w:rPr>
            <w:rStyle w:val="Hyperlink"/>
            <w:rFonts w:eastAsiaTheme="majorEastAsia"/>
            <w:color w:val="auto"/>
            <w:u w:val="none"/>
          </w:rPr>
          <w:t xml:space="preserve"> </w:t>
        </w:r>
        <w:proofErr w:type="gramStart"/>
        <w:r w:rsidRPr="00D756CC">
          <w:rPr>
            <w:rStyle w:val="Hyperlink"/>
            <w:rFonts w:eastAsiaTheme="majorEastAsia"/>
            <w:color w:val="auto"/>
            <w:u w:val="none"/>
          </w:rPr>
          <w:t xml:space="preserve">( </w:t>
        </w:r>
        <w:proofErr w:type="gramEnd"/>
      </w:hyperlink>
      <w:r w:rsidRPr="00D756CC">
        <w:rPr>
          <w:rFonts w:eastAsiaTheme="majorEastAsia"/>
          <w:bCs/>
        </w:rPr>
        <w:t>1973</w:t>
      </w:r>
      <w:hyperlink r:id="rId18" w:history="1">
        <w:r w:rsidRPr="00D756CC">
          <w:rPr>
            <w:rStyle w:val="Hyperlink"/>
            <w:rFonts w:eastAsiaTheme="majorEastAsia"/>
            <w:color w:val="auto"/>
            <w:u w:val="none"/>
          </w:rPr>
          <w:t>)</w:t>
        </w:r>
      </w:hyperlink>
      <w:r w:rsidRPr="00D756CC">
        <w:t xml:space="preserve"> (“</w:t>
      </w:r>
      <w:r w:rsidRPr="00D756CC">
        <w:rPr>
          <w:i/>
        </w:rPr>
        <w:t>Du Pont</w:t>
      </w:r>
      <w:r w:rsidRPr="00D756CC">
        <w:t>”).</w:t>
      </w:r>
    </w:p>
  </w:footnote>
  <w:footnote w:id="3">
    <w:p w:rsidR="00D756CC" w:rsidRPr="00D756CC" w:rsidRDefault="00D756CC">
      <w:pPr>
        <w:pStyle w:val="FootnoteText"/>
      </w:pPr>
      <w:r>
        <w:rPr>
          <w:rStyle w:val="FootnoteReference"/>
        </w:rPr>
        <w:footnoteRef/>
      </w:r>
      <w:r>
        <w:t xml:space="preserve"> </w:t>
      </w:r>
      <w:proofErr w:type="spellStart"/>
      <w:r w:rsidRPr="00D756CC">
        <w:rPr>
          <w:rFonts w:eastAsiaTheme="majorEastAsia"/>
          <w:i/>
          <w:iCs/>
        </w:rPr>
        <w:t>Hempt</w:t>
      </w:r>
      <w:proofErr w:type="spellEnd"/>
      <w:r w:rsidRPr="00D756CC">
        <w:rPr>
          <w:rFonts w:eastAsiaTheme="majorEastAsia"/>
          <w:i/>
          <w:iCs/>
        </w:rPr>
        <w:t xml:space="preserve"> Bros., Inc. v. United States,</w:t>
      </w:r>
      <w:r w:rsidRPr="00D756CC">
        <w:rPr>
          <w:rFonts w:eastAsiaTheme="majorEastAsia"/>
        </w:rPr>
        <w:t xml:space="preserve"> </w:t>
      </w:r>
      <w:proofErr w:type="gramStart"/>
      <w:r w:rsidRPr="00D756CC">
        <w:rPr>
          <w:rFonts w:eastAsiaTheme="majorEastAsia"/>
        </w:rPr>
        <w:t xml:space="preserve">354 </w:t>
      </w:r>
      <w:proofErr w:type="spellStart"/>
      <w:r w:rsidRPr="00D756CC">
        <w:rPr>
          <w:rFonts w:eastAsiaTheme="majorEastAsia"/>
        </w:rPr>
        <w:t>F.Supp</w:t>
      </w:r>
      <w:proofErr w:type="spellEnd"/>
      <w:proofErr w:type="gramEnd"/>
      <w:r w:rsidRPr="00D756CC">
        <w:rPr>
          <w:rFonts w:eastAsiaTheme="majorEastAsia"/>
        </w:rPr>
        <w:t>. 1172, 1175 (M.D.Pa.1973)</w:t>
      </w:r>
      <w:r w:rsidRPr="00D756CC">
        <w:t xml:space="preserve">, </w:t>
      </w:r>
      <w:proofErr w:type="spellStart"/>
      <w:r w:rsidRPr="00D756CC">
        <w:rPr>
          <w:i/>
          <w:iCs/>
        </w:rPr>
        <w:t>aff'd</w:t>
      </w:r>
      <w:proofErr w:type="spellEnd"/>
      <w:r w:rsidRPr="00D756CC">
        <w:rPr>
          <w:i/>
          <w:iCs/>
        </w:rPr>
        <w:t>,</w:t>
      </w:r>
      <w:r w:rsidRPr="00D756CC">
        <w:t xml:space="preserve"> </w:t>
      </w:r>
      <w:r w:rsidRPr="00D756CC">
        <w:rPr>
          <w:rFonts w:eastAsiaTheme="majorEastAsia"/>
        </w:rPr>
        <w:t>490 F.2d 1172 (3d Cir.)</w:t>
      </w:r>
      <w:r w:rsidRPr="00D756CC">
        <w:t xml:space="preserve">, </w:t>
      </w:r>
      <w:r w:rsidRPr="00D756CC">
        <w:rPr>
          <w:i/>
          <w:iCs/>
        </w:rPr>
        <w:t>cert. denied,</w:t>
      </w:r>
      <w:r w:rsidRPr="00D756CC">
        <w:t xml:space="preserve"> </w:t>
      </w:r>
      <w:r w:rsidRPr="00D756CC">
        <w:rPr>
          <w:rFonts w:eastAsiaTheme="majorEastAsia"/>
        </w:rPr>
        <w:t>419 U.S. 826 (1974)</w:t>
      </w:r>
      <w:r w:rsidRPr="00D756CC">
        <w:t xml:space="preserve">; </w:t>
      </w:r>
      <w:r w:rsidRPr="00D756CC">
        <w:rPr>
          <w:i/>
          <w:iCs/>
        </w:rPr>
        <w:t xml:space="preserve">In the </w:t>
      </w:r>
      <w:r w:rsidRPr="00D756CC">
        <w:rPr>
          <w:rFonts w:eastAsiaTheme="majorEastAsia"/>
          <w:i/>
          <w:iCs/>
        </w:rPr>
        <w:t xml:space="preserve">Matter of </w:t>
      </w:r>
      <w:proofErr w:type="spellStart"/>
      <w:r w:rsidRPr="00D756CC">
        <w:rPr>
          <w:rFonts w:eastAsiaTheme="majorEastAsia"/>
          <w:i/>
          <w:iCs/>
        </w:rPr>
        <w:t>Chromeplate</w:t>
      </w:r>
      <w:proofErr w:type="spellEnd"/>
      <w:r w:rsidRPr="00D756CC">
        <w:rPr>
          <w:rFonts w:eastAsiaTheme="majorEastAsia"/>
          <w:i/>
          <w:iCs/>
        </w:rPr>
        <w:t>, Inc. (</w:t>
      </w:r>
      <w:proofErr w:type="spellStart"/>
      <w:r w:rsidRPr="00D756CC">
        <w:rPr>
          <w:rFonts w:eastAsiaTheme="majorEastAsia"/>
          <w:i/>
          <w:iCs/>
        </w:rPr>
        <w:t>Chromeplate</w:t>
      </w:r>
      <w:proofErr w:type="spellEnd"/>
      <w:r w:rsidRPr="00D756CC">
        <w:rPr>
          <w:rFonts w:eastAsiaTheme="majorEastAsia"/>
          <w:i/>
          <w:iCs/>
        </w:rPr>
        <w:t>, Inc. v. District Director of Internal Revenue),</w:t>
      </w:r>
      <w:r w:rsidRPr="00D756CC">
        <w:rPr>
          <w:rFonts w:eastAsiaTheme="majorEastAsia"/>
        </w:rPr>
        <w:t xml:space="preserve"> 614 F.2d 990, 995 (5th Cir. 1980)</w:t>
      </w:r>
      <w:r w:rsidRPr="00D756CC">
        <w:t>.</w:t>
      </w:r>
    </w:p>
  </w:footnote>
  <w:footnote w:id="4">
    <w:p w:rsidR="00A03013" w:rsidRPr="00A03013" w:rsidRDefault="00A03013">
      <w:pPr>
        <w:pStyle w:val="FootnoteText"/>
      </w:pPr>
      <w:r>
        <w:rPr>
          <w:rStyle w:val="FootnoteReference"/>
        </w:rPr>
        <w:footnoteRef/>
      </w:r>
      <w:r>
        <w:t xml:space="preserve"> </w:t>
      </w:r>
      <w:hyperlink r:id="rId19" w:history="1">
        <w:r w:rsidRPr="00A03013">
          <w:rPr>
            <w:rStyle w:val="Hyperlink"/>
            <w:rFonts w:eastAsiaTheme="majorEastAsia"/>
            <w:bCs/>
            <w:color w:val="auto"/>
            <w:u w:val="none"/>
          </w:rPr>
          <w:t>Rev. Rul</w:t>
        </w:r>
      </w:hyperlink>
      <w:hyperlink r:id="rId20" w:history="1">
        <w:r w:rsidRPr="00A03013">
          <w:rPr>
            <w:rStyle w:val="Hyperlink"/>
            <w:rFonts w:eastAsiaTheme="majorEastAsia"/>
            <w:color w:val="auto"/>
            <w:u w:val="none"/>
          </w:rPr>
          <w:t xml:space="preserve">. </w:t>
        </w:r>
      </w:hyperlink>
      <w:hyperlink r:id="rId21" w:history="1">
        <w:r w:rsidRPr="00A03013">
          <w:rPr>
            <w:rStyle w:val="Hyperlink"/>
            <w:rFonts w:eastAsiaTheme="majorEastAsia"/>
            <w:bCs/>
            <w:color w:val="auto"/>
            <w:u w:val="none"/>
          </w:rPr>
          <w:t>69</w:t>
        </w:r>
      </w:hyperlink>
      <w:hyperlink r:id="rId22" w:history="1">
        <w:r w:rsidRPr="00A03013">
          <w:rPr>
            <w:rStyle w:val="Hyperlink"/>
            <w:rFonts w:eastAsiaTheme="majorEastAsia"/>
            <w:color w:val="auto"/>
            <w:u w:val="none"/>
          </w:rPr>
          <w:t>-</w:t>
        </w:r>
      </w:hyperlink>
      <w:r w:rsidRPr="00A03013">
        <w:rPr>
          <w:rFonts w:eastAsiaTheme="majorEastAsia"/>
          <w:bCs/>
        </w:rPr>
        <w:t>156</w:t>
      </w:r>
      <w:r w:rsidRPr="00A03013">
        <w:rPr>
          <w:rFonts w:eastAsiaTheme="majorEastAsia"/>
        </w:rPr>
        <w:t xml:space="preserve">, </w:t>
      </w:r>
      <w:r w:rsidRPr="00A03013">
        <w:rPr>
          <w:rFonts w:eastAsiaTheme="majorEastAsia"/>
          <w:bCs/>
        </w:rPr>
        <w:t>1969</w:t>
      </w:r>
      <w:hyperlink r:id="rId23" w:history="1">
        <w:r w:rsidRPr="00A03013">
          <w:rPr>
            <w:rStyle w:val="Hyperlink"/>
            <w:rFonts w:eastAsiaTheme="majorEastAsia"/>
            <w:color w:val="auto"/>
            <w:u w:val="none"/>
          </w:rPr>
          <w:t>-</w:t>
        </w:r>
      </w:hyperlink>
      <w:hyperlink r:id="rId24" w:history="1">
        <w:r w:rsidRPr="00A03013">
          <w:rPr>
            <w:rStyle w:val="Hyperlink"/>
            <w:rFonts w:eastAsiaTheme="majorEastAsia"/>
            <w:bCs/>
            <w:color w:val="auto"/>
            <w:u w:val="none"/>
          </w:rPr>
          <w:t>1</w:t>
        </w:r>
      </w:hyperlink>
      <w:r w:rsidRPr="00A03013">
        <w:rPr>
          <w:bCs/>
        </w:rPr>
        <w:t xml:space="preserve"> </w:t>
      </w:r>
      <w:hyperlink r:id="rId25" w:history="1">
        <w:proofErr w:type="spellStart"/>
        <w:r w:rsidRPr="00A03013">
          <w:rPr>
            <w:rStyle w:val="Hyperlink"/>
            <w:rFonts w:eastAsiaTheme="majorEastAsia"/>
            <w:bCs/>
            <w:color w:val="auto"/>
            <w:u w:val="none"/>
          </w:rPr>
          <w:t>Cum.Bull</w:t>
        </w:r>
        <w:proofErr w:type="spellEnd"/>
      </w:hyperlink>
      <w:hyperlink r:id="rId26" w:history="1">
        <w:r w:rsidRPr="00A03013">
          <w:rPr>
            <w:rStyle w:val="Hyperlink"/>
            <w:rFonts w:eastAsiaTheme="majorEastAsia"/>
            <w:color w:val="auto"/>
            <w:u w:val="none"/>
          </w:rPr>
          <w:t xml:space="preserve">. </w:t>
        </w:r>
      </w:hyperlink>
      <w:r w:rsidRPr="00A03013">
        <w:rPr>
          <w:rFonts w:eastAsiaTheme="majorEastAsia"/>
          <w:bCs/>
        </w:rPr>
        <w:t>101</w:t>
      </w:r>
      <w:r w:rsidRPr="00A03013">
        <w:rPr>
          <w:bCs/>
        </w:rPr>
        <w:t>.</w:t>
      </w:r>
    </w:p>
  </w:footnote>
  <w:footnote w:id="5">
    <w:p w:rsidR="00A03013" w:rsidRPr="00A03013" w:rsidRDefault="00A03013">
      <w:pPr>
        <w:pStyle w:val="FootnoteText"/>
      </w:pPr>
      <w:r>
        <w:rPr>
          <w:rStyle w:val="FootnoteReference"/>
        </w:rPr>
        <w:footnoteRef/>
      </w:r>
      <w:r>
        <w:t xml:space="preserve"> </w:t>
      </w:r>
      <w:proofErr w:type="gramStart"/>
      <w:r w:rsidRPr="00A03013">
        <w:t xml:space="preserve">Maine and Nguyen, </w:t>
      </w:r>
      <w:r w:rsidRPr="00A03013">
        <w:rPr>
          <w:i/>
          <w:iCs/>
        </w:rPr>
        <w:t>Intellectual Property Taxation</w:t>
      </w:r>
      <w:r w:rsidRPr="00A03013">
        <w:t>, p. 295 (2003) (“</w:t>
      </w:r>
      <w:r w:rsidRPr="00A03013">
        <w:rPr>
          <w:i/>
        </w:rPr>
        <w:t>IP Taxation</w:t>
      </w:r>
      <w:r w:rsidRPr="00A03013">
        <w:t>”).</w:t>
      </w:r>
      <w:proofErr w:type="gramEnd"/>
    </w:p>
  </w:footnote>
  <w:footnote w:id="6">
    <w:p w:rsidR="0028260C" w:rsidRPr="0028260C" w:rsidRDefault="0028260C">
      <w:pPr>
        <w:pStyle w:val="FootnoteText"/>
      </w:pPr>
      <w:r>
        <w:rPr>
          <w:rStyle w:val="FootnoteReference"/>
        </w:rPr>
        <w:footnoteRef/>
      </w:r>
      <w:r>
        <w:t xml:space="preserve"> </w:t>
      </w:r>
      <w:r w:rsidRPr="0028260C">
        <w:rPr>
          <w:i/>
        </w:rPr>
        <w:t xml:space="preserve">See Du Pont, supra. </w:t>
      </w:r>
      <w:r w:rsidRPr="0028260C">
        <w:t xml:space="preserve"> </w:t>
      </w:r>
    </w:p>
  </w:footnote>
  <w:footnote w:id="7">
    <w:p w:rsidR="0028260C" w:rsidRPr="0028260C" w:rsidRDefault="0028260C">
      <w:pPr>
        <w:pStyle w:val="FootnoteText"/>
      </w:pPr>
      <w:r>
        <w:rPr>
          <w:rStyle w:val="FootnoteReference"/>
        </w:rPr>
        <w:footnoteRef/>
      </w:r>
      <w:r>
        <w:t xml:space="preserve"> </w:t>
      </w:r>
      <w:r w:rsidRPr="00F153B1">
        <w:rPr>
          <w:rFonts w:eastAsia="Calibri"/>
          <w:i/>
        </w:rPr>
        <w:t>Du Pont</w:t>
      </w:r>
      <w:r w:rsidRPr="0028260C">
        <w:rPr>
          <w:rFonts w:eastAsia="Calibri"/>
        </w:rPr>
        <w:t xml:space="preserve">, </w:t>
      </w:r>
      <w:proofErr w:type="gramStart"/>
      <w:r w:rsidRPr="0028260C">
        <w:rPr>
          <w:rFonts w:eastAsia="Calibri"/>
        </w:rPr>
        <w:t>471 F.2d at 1213</w:t>
      </w:r>
      <w:proofErr w:type="gramEnd"/>
      <w:r w:rsidRPr="0028260C">
        <w:rPr>
          <w:rFonts w:eastAsia="Calibri"/>
        </w:rPr>
        <w:t xml:space="preserve">.  </w:t>
      </w:r>
    </w:p>
  </w:footnote>
  <w:footnote w:id="8">
    <w:p w:rsidR="0028260C" w:rsidRPr="0028260C" w:rsidRDefault="0028260C">
      <w:pPr>
        <w:pStyle w:val="FootnoteText"/>
      </w:pPr>
      <w:r>
        <w:rPr>
          <w:rStyle w:val="FootnoteReference"/>
        </w:rPr>
        <w:footnoteRef/>
      </w:r>
      <w:r>
        <w:t xml:space="preserve"> </w:t>
      </w:r>
      <w:r w:rsidRPr="0028260C">
        <w:rPr>
          <w:rFonts w:eastAsia="Calibri"/>
          <w:i/>
          <w:color w:val="000000"/>
        </w:rPr>
        <w:t>See</w:t>
      </w:r>
      <w:r w:rsidRPr="0028260C">
        <w:rPr>
          <w:rFonts w:eastAsia="Calibri"/>
          <w:color w:val="000000"/>
        </w:rPr>
        <w:t xml:space="preserve"> sections 1222 and 1001.  </w:t>
      </w:r>
    </w:p>
  </w:footnote>
  <w:footnote w:id="9">
    <w:p w:rsidR="0028260C" w:rsidRPr="0028260C" w:rsidRDefault="0028260C">
      <w:pPr>
        <w:pStyle w:val="FootnoteText"/>
      </w:pPr>
      <w:r>
        <w:rPr>
          <w:rStyle w:val="FootnoteReference"/>
        </w:rPr>
        <w:footnoteRef/>
      </w:r>
      <w:r>
        <w:t xml:space="preserve"> </w:t>
      </w:r>
      <w:proofErr w:type="gramStart"/>
      <w:r w:rsidRPr="0028260C">
        <w:t>IRS GCM 36922.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DC"/>
    <w:rsid w:val="001438D2"/>
    <w:rsid w:val="0028260C"/>
    <w:rsid w:val="002E5107"/>
    <w:rsid w:val="002E61DC"/>
    <w:rsid w:val="0030011D"/>
    <w:rsid w:val="003156D1"/>
    <w:rsid w:val="004759CA"/>
    <w:rsid w:val="0050038D"/>
    <w:rsid w:val="005F24B1"/>
    <w:rsid w:val="005F2EA3"/>
    <w:rsid w:val="0069432A"/>
    <w:rsid w:val="00747A7F"/>
    <w:rsid w:val="007A7C7D"/>
    <w:rsid w:val="0087481C"/>
    <w:rsid w:val="009F4C88"/>
    <w:rsid w:val="00A03013"/>
    <w:rsid w:val="00A12E29"/>
    <w:rsid w:val="00A6441C"/>
    <w:rsid w:val="00A66708"/>
    <w:rsid w:val="00B70A25"/>
    <w:rsid w:val="00C104C2"/>
    <w:rsid w:val="00D756CC"/>
    <w:rsid w:val="00E31601"/>
    <w:rsid w:val="00E85BA0"/>
    <w:rsid w:val="00F153B1"/>
    <w:rsid w:val="00F26025"/>
    <w:rsid w:val="00FF2D6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DC"/>
    <w:pPr>
      <w:spacing w:after="0" w:line="240" w:lineRule="auto"/>
    </w:pPr>
    <w:rPr>
      <w:rFonts w:eastAsia="Times New Roman"/>
      <w:sz w:val="25"/>
      <w:szCs w:val="20"/>
    </w:r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 w:val="24"/>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sz w:val="24"/>
      <w:szCs w:val="24"/>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sz w:val="24"/>
      <w:szCs w:val="24"/>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sz w:val="24"/>
      <w:szCs w:val="24"/>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sz w:val="24"/>
      <w:szCs w:val="24"/>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sz w:val="24"/>
      <w:szCs w:val="24"/>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sz w:val="24"/>
      <w:szCs w:val="24"/>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rFonts w:eastAsiaTheme="minorHAnsi"/>
      <w:i/>
      <w:iCs/>
      <w:color w:val="000000" w:themeColor="text1"/>
      <w:sz w:val="24"/>
      <w:szCs w:val="24"/>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rFonts w:eastAsiaTheme="minorHAnsi"/>
      <w:b/>
      <w:bCs/>
      <w:i/>
      <w:iCs/>
      <w:sz w:val="24"/>
      <w:szCs w:val="24"/>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rPr>
      <w:rFonts w:eastAsiaTheme="minorHAnsi"/>
      <w:sz w:val="24"/>
      <w:szCs w:val="24"/>
    </w:r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eastAsiaTheme="minorHAnsi"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sz w:val="24"/>
      <w:szCs w:val="24"/>
    </w:rPr>
  </w:style>
  <w:style w:type="paragraph" w:styleId="BodyText">
    <w:name w:val="Body Text"/>
    <w:basedOn w:val="Normal"/>
    <w:link w:val="BodyTextChar"/>
    <w:uiPriority w:val="6"/>
    <w:unhideWhenUsed/>
    <w:rsid w:val="00E85BA0"/>
    <w:pPr>
      <w:spacing w:after="240"/>
    </w:pPr>
    <w:rPr>
      <w:rFonts w:eastAsiaTheme="minorHAnsi"/>
      <w:sz w:val="24"/>
      <w:szCs w:val="24"/>
    </w:r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rPr>
      <w:rFonts w:eastAsiaTheme="minorHAnsi"/>
      <w:sz w:val="24"/>
      <w:szCs w:val="24"/>
    </w:r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rFonts w:eastAsiaTheme="minorHAnsi"/>
      <w:sz w:val="24"/>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rPr>
      <w:rFonts w:eastAsiaTheme="minorHAnsi"/>
      <w:sz w:val="24"/>
      <w:szCs w:val="24"/>
    </w:r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rFonts w:eastAsiaTheme="minorHAnsi"/>
      <w:sz w:val="24"/>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rPr>
      <w:rFonts w:eastAsiaTheme="minorHAnsi"/>
      <w:sz w:val="24"/>
      <w:szCs w:val="24"/>
    </w:r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rPr>
      <w:rFonts w:eastAsiaTheme="minorHAnsi"/>
      <w:sz w:val="24"/>
      <w:szCs w:val="24"/>
    </w:r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rPr>
      <w:rFonts w:eastAsiaTheme="minorHAnsi"/>
      <w:sz w:val="24"/>
      <w:szCs w:val="24"/>
    </w:r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rPr>
      <w:rFonts w:eastAsiaTheme="minorHAnsi"/>
      <w:sz w:val="24"/>
      <w:szCs w:val="24"/>
    </w:r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rPr>
      <w:rFonts w:eastAsiaTheme="minorHAnsi"/>
      <w:sz w:val="24"/>
      <w:szCs w:val="24"/>
    </w:r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rPr>
      <w:rFonts w:eastAsiaTheme="minorHAnsi"/>
      <w:sz w:val="24"/>
      <w:szCs w:val="24"/>
    </w:r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 w:type="character" w:styleId="Hyperlink">
    <w:name w:val="Hyperlink"/>
    <w:basedOn w:val="DefaultParagraphFont"/>
    <w:uiPriority w:val="99"/>
    <w:semiHidden/>
    <w:unhideWhenUsed/>
    <w:rsid w:val="002E61DC"/>
    <w:rPr>
      <w:color w:val="0000FF" w:themeColor="hyperlink"/>
      <w:u w:val="single"/>
    </w:rPr>
  </w:style>
  <w:style w:type="paragraph" w:styleId="FootnoteText">
    <w:name w:val="footnote text"/>
    <w:basedOn w:val="Normal"/>
    <w:link w:val="FootnoteTextChar"/>
    <w:uiPriority w:val="99"/>
    <w:semiHidden/>
    <w:unhideWhenUsed/>
    <w:rsid w:val="00D756CC"/>
    <w:rPr>
      <w:sz w:val="20"/>
    </w:rPr>
  </w:style>
  <w:style w:type="character" w:customStyle="1" w:styleId="FootnoteTextChar">
    <w:name w:val="Footnote Text Char"/>
    <w:basedOn w:val="DefaultParagraphFont"/>
    <w:link w:val="FootnoteText"/>
    <w:uiPriority w:val="99"/>
    <w:semiHidden/>
    <w:rsid w:val="00D756CC"/>
    <w:rPr>
      <w:rFonts w:eastAsia="Times New Roman"/>
      <w:sz w:val="20"/>
      <w:szCs w:val="20"/>
    </w:rPr>
  </w:style>
  <w:style w:type="character" w:styleId="FootnoteReference">
    <w:name w:val="footnote reference"/>
    <w:basedOn w:val="DefaultParagraphFont"/>
    <w:uiPriority w:val="99"/>
    <w:semiHidden/>
    <w:unhideWhenUsed/>
    <w:rsid w:val="00D756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DC"/>
    <w:pPr>
      <w:spacing w:after="0" w:line="240" w:lineRule="auto"/>
    </w:pPr>
    <w:rPr>
      <w:rFonts w:eastAsia="Times New Roman"/>
      <w:sz w:val="25"/>
      <w:szCs w:val="20"/>
    </w:r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 w:val="24"/>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sz w:val="24"/>
      <w:szCs w:val="24"/>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sz w:val="24"/>
      <w:szCs w:val="24"/>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sz w:val="24"/>
      <w:szCs w:val="24"/>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sz w:val="24"/>
      <w:szCs w:val="24"/>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sz w:val="24"/>
      <w:szCs w:val="24"/>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sz w:val="24"/>
      <w:szCs w:val="24"/>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rFonts w:eastAsiaTheme="minorHAnsi"/>
      <w:i/>
      <w:iCs/>
      <w:color w:val="000000" w:themeColor="text1"/>
      <w:sz w:val="24"/>
      <w:szCs w:val="24"/>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rFonts w:eastAsiaTheme="minorHAnsi"/>
      <w:b/>
      <w:bCs/>
      <w:i/>
      <w:iCs/>
      <w:sz w:val="24"/>
      <w:szCs w:val="24"/>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rPr>
      <w:rFonts w:eastAsiaTheme="minorHAnsi"/>
      <w:sz w:val="24"/>
      <w:szCs w:val="24"/>
    </w:r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eastAsiaTheme="minorHAnsi"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sz w:val="24"/>
      <w:szCs w:val="24"/>
    </w:rPr>
  </w:style>
  <w:style w:type="paragraph" w:styleId="BodyText">
    <w:name w:val="Body Text"/>
    <w:basedOn w:val="Normal"/>
    <w:link w:val="BodyTextChar"/>
    <w:uiPriority w:val="6"/>
    <w:unhideWhenUsed/>
    <w:rsid w:val="00E85BA0"/>
    <w:pPr>
      <w:spacing w:after="240"/>
    </w:pPr>
    <w:rPr>
      <w:rFonts w:eastAsiaTheme="minorHAnsi"/>
      <w:sz w:val="24"/>
      <w:szCs w:val="24"/>
    </w:r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rPr>
      <w:rFonts w:eastAsiaTheme="minorHAnsi"/>
      <w:sz w:val="24"/>
      <w:szCs w:val="24"/>
    </w:r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rFonts w:eastAsiaTheme="minorHAnsi"/>
      <w:sz w:val="24"/>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rPr>
      <w:rFonts w:eastAsiaTheme="minorHAnsi"/>
      <w:sz w:val="24"/>
      <w:szCs w:val="24"/>
    </w:r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rFonts w:eastAsiaTheme="minorHAnsi"/>
      <w:sz w:val="24"/>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rPr>
      <w:rFonts w:eastAsiaTheme="minorHAnsi"/>
      <w:sz w:val="24"/>
      <w:szCs w:val="24"/>
    </w:r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rPr>
      <w:rFonts w:eastAsiaTheme="minorHAnsi"/>
      <w:sz w:val="24"/>
      <w:szCs w:val="24"/>
    </w:r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rPr>
      <w:rFonts w:eastAsiaTheme="minorHAnsi"/>
      <w:sz w:val="24"/>
      <w:szCs w:val="24"/>
    </w:r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rPr>
      <w:rFonts w:eastAsiaTheme="minorHAnsi"/>
      <w:sz w:val="24"/>
      <w:szCs w:val="24"/>
    </w:r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rPr>
      <w:rFonts w:eastAsiaTheme="minorHAnsi"/>
      <w:sz w:val="24"/>
      <w:szCs w:val="24"/>
    </w:r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rPr>
      <w:rFonts w:eastAsiaTheme="minorHAnsi"/>
      <w:sz w:val="24"/>
      <w:szCs w:val="24"/>
    </w:r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 w:type="character" w:styleId="Hyperlink">
    <w:name w:val="Hyperlink"/>
    <w:basedOn w:val="DefaultParagraphFont"/>
    <w:uiPriority w:val="99"/>
    <w:semiHidden/>
    <w:unhideWhenUsed/>
    <w:rsid w:val="002E61DC"/>
    <w:rPr>
      <w:color w:val="0000FF" w:themeColor="hyperlink"/>
      <w:u w:val="single"/>
    </w:rPr>
  </w:style>
  <w:style w:type="paragraph" w:styleId="FootnoteText">
    <w:name w:val="footnote text"/>
    <w:basedOn w:val="Normal"/>
    <w:link w:val="FootnoteTextChar"/>
    <w:uiPriority w:val="99"/>
    <w:semiHidden/>
    <w:unhideWhenUsed/>
    <w:rsid w:val="00D756CC"/>
    <w:rPr>
      <w:sz w:val="20"/>
    </w:rPr>
  </w:style>
  <w:style w:type="character" w:customStyle="1" w:styleId="FootnoteTextChar">
    <w:name w:val="Footnote Text Char"/>
    <w:basedOn w:val="DefaultParagraphFont"/>
    <w:link w:val="FootnoteText"/>
    <w:uiPriority w:val="99"/>
    <w:semiHidden/>
    <w:rsid w:val="00D756CC"/>
    <w:rPr>
      <w:rFonts w:eastAsia="Times New Roman"/>
      <w:sz w:val="20"/>
      <w:szCs w:val="20"/>
    </w:rPr>
  </w:style>
  <w:style w:type="character" w:styleId="FootnoteReference">
    <w:name w:val="footnote reference"/>
    <w:basedOn w:val="DefaultParagraphFont"/>
    <w:uiPriority w:val="99"/>
    <w:semiHidden/>
    <w:unhideWhenUsed/>
    <w:rsid w:val="00D75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350&amp;FindType=Y&amp;ReferencePositionType=S&amp;SerialNum=1973108206&amp;ReferencePosition=1218" TargetMode="External"/><Relationship Id="rId13" Type="http://schemas.openxmlformats.org/officeDocument/2006/relationships/hyperlink" Target="http://www.westlaw.com/Find/Default.wl?rs=dfa1.0&amp;vr=2.0&amp;DB=350&amp;FindType=Y&amp;ReferencePositionType=S&amp;SerialNum=1973108206&amp;ReferencePosition=1218" TargetMode="External"/><Relationship Id="rId18" Type="http://schemas.openxmlformats.org/officeDocument/2006/relationships/hyperlink" Target="http://www.westlaw.com/Find/Default.wl?rs=dfa1.0&amp;vr=2.0&amp;DB=350&amp;FindType=Y&amp;ReferencePositionType=S&amp;SerialNum=1973108206&amp;ReferencePosition=1218" TargetMode="External"/><Relationship Id="rId26" Type="http://schemas.openxmlformats.org/officeDocument/2006/relationships/hyperlink" Target="http://www.westlaw.com/Find/Default.wl?rs=dfa1.0&amp;vr=2.0&amp;DB=0001048&amp;FindType=Y&amp;SerialNum=1969013908" TargetMode="External"/><Relationship Id="rId3" Type="http://schemas.openxmlformats.org/officeDocument/2006/relationships/hyperlink" Target="http://www.westlaw.com/Find/Default.wl?rs=dfa1.0&amp;vr=2.0&amp;DB=350&amp;FindType=Y&amp;ReferencePositionType=S&amp;SerialNum=1973108206&amp;ReferencePosition=1218" TargetMode="External"/><Relationship Id="rId21" Type="http://schemas.openxmlformats.org/officeDocument/2006/relationships/hyperlink" Target="http://www.westlaw.com/Find/Default.wl?rs=dfa1.0&amp;vr=2.0&amp;DB=0001048&amp;FindType=Y&amp;SerialNum=1969013908" TargetMode="External"/><Relationship Id="rId7" Type="http://schemas.openxmlformats.org/officeDocument/2006/relationships/hyperlink" Target="http://www.westlaw.com/Find/Default.wl?rs=dfa1.0&amp;vr=2.0&amp;DB=350&amp;FindType=Y&amp;ReferencePositionType=S&amp;SerialNum=1973108206&amp;ReferencePosition=1218" TargetMode="External"/><Relationship Id="rId12" Type="http://schemas.openxmlformats.org/officeDocument/2006/relationships/hyperlink" Target="http://www.westlaw.com/Find/Default.wl?rs=dfa1.0&amp;vr=2.0&amp;DB=350&amp;FindType=Y&amp;ReferencePositionType=S&amp;SerialNum=1973108206&amp;ReferencePosition=1218" TargetMode="External"/><Relationship Id="rId17" Type="http://schemas.openxmlformats.org/officeDocument/2006/relationships/hyperlink" Target="http://www.westlaw.com/Find/Default.wl?rs=dfa1.0&amp;vr=2.0&amp;DB=350&amp;FindType=Y&amp;ReferencePositionType=S&amp;SerialNum=1973108206&amp;ReferencePosition=1218" TargetMode="External"/><Relationship Id="rId25" Type="http://schemas.openxmlformats.org/officeDocument/2006/relationships/hyperlink" Target="http://www.westlaw.com/Find/Default.wl?rs=dfa1.0&amp;vr=2.0&amp;DB=0001048&amp;FindType=Y&amp;SerialNum=1969013908" TargetMode="External"/><Relationship Id="rId2" Type="http://schemas.openxmlformats.org/officeDocument/2006/relationships/hyperlink" Target="http://www.westlaw.com/Find/Default.wl?rs=dfa1.0&amp;vr=2.0&amp;DB=350&amp;FindType=Y&amp;ReferencePositionType=S&amp;SerialNum=1973108206&amp;ReferencePosition=1218" TargetMode="External"/><Relationship Id="rId16" Type="http://schemas.openxmlformats.org/officeDocument/2006/relationships/hyperlink" Target="http://www.westlaw.com/Find/Default.wl?rs=dfa1.0&amp;vr=2.0&amp;DB=350&amp;FindType=Y&amp;ReferencePositionType=S&amp;SerialNum=1973108206&amp;ReferencePosition=1218" TargetMode="External"/><Relationship Id="rId20" Type="http://schemas.openxmlformats.org/officeDocument/2006/relationships/hyperlink" Target="http://www.westlaw.com/Find/Default.wl?rs=dfa1.0&amp;vr=2.0&amp;DB=0001048&amp;FindType=Y&amp;SerialNum=1969013908" TargetMode="External"/><Relationship Id="rId1" Type="http://schemas.openxmlformats.org/officeDocument/2006/relationships/hyperlink" Target="http://www.westlaw.com/Find/Default.wl?rs=dfa1.0&amp;vr=2.0&amp;DB=350&amp;FindType=Y&amp;ReferencePositionType=S&amp;SerialNum=1973108206&amp;ReferencePosition=1218" TargetMode="External"/><Relationship Id="rId6" Type="http://schemas.openxmlformats.org/officeDocument/2006/relationships/hyperlink" Target="http://www.westlaw.com/Find/Default.wl?rs=dfa1.0&amp;vr=2.0&amp;DB=350&amp;FindType=Y&amp;ReferencePositionType=S&amp;SerialNum=1973108206&amp;ReferencePosition=1218" TargetMode="External"/><Relationship Id="rId11" Type="http://schemas.openxmlformats.org/officeDocument/2006/relationships/hyperlink" Target="http://www.westlaw.com/Find/Default.wl?rs=dfa1.0&amp;vr=2.0&amp;DB=350&amp;FindType=Y&amp;ReferencePositionType=S&amp;SerialNum=1973108206&amp;ReferencePosition=1218" TargetMode="External"/><Relationship Id="rId24" Type="http://schemas.openxmlformats.org/officeDocument/2006/relationships/hyperlink" Target="http://www.westlaw.com/Find/Default.wl?rs=dfa1.0&amp;vr=2.0&amp;DB=0001048&amp;FindType=Y&amp;SerialNum=1969013908" TargetMode="External"/><Relationship Id="rId5" Type="http://schemas.openxmlformats.org/officeDocument/2006/relationships/hyperlink" Target="http://www.westlaw.com/Find/Default.wl?rs=dfa1.0&amp;vr=2.0&amp;DB=350&amp;FindType=Y&amp;ReferencePositionType=S&amp;SerialNum=1973108206&amp;ReferencePosition=1218" TargetMode="External"/><Relationship Id="rId15" Type="http://schemas.openxmlformats.org/officeDocument/2006/relationships/hyperlink" Target="http://www.westlaw.com/Find/Default.wl?rs=dfa1.0&amp;vr=2.0&amp;DB=350&amp;FindType=Y&amp;ReferencePositionType=S&amp;SerialNum=1973108206&amp;ReferencePosition=1218" TargetMode="External"/><Relationship Id="rId23" Type="http://schemas.openxmlformats.org/officeDocument/2006/relationships/hyperlink" Target="http://www.westlaw.com/Find/Default.wl?rs=dfa1.0&amp;vr=2.0&amp;DB=0001048&amp;FindType=Y&amp;SerialNum=1969013908" TargetMode="External"/><Relationship Id="rId10" Type="http://schemas.openxmlformats.org/officeDocument/2006/relationships/hyperlink" Target="http://www.westlaw.com/Find/Default.wl?rs=dfa1.0&amp;vr=2.0&amp;DB=350&amp;FindType=Y&amp;ReferencePositionType=S&amp;SerialNum=1973108206&amp;ReferencePosition=1218" TargetMode="External"/><Relationship Id="rId19" Type="http://schemas.openxmlformats.org/officeDocument/2006/relationships/hyperlink" Target="http://www.westlaw.com/Find/Default.wl?rs=dfa1.0&amp;vr=2.0&amp;DB=0001048&amp;FindType=Y&amp;SerialNum=1969013908" TargetMode="External"/><Relationship Id="rId4" Type="http://schemas.openxmlformats.org/officeDocument/2006/relationships/hyperlink" Target="http://www.westlaw.com/Find/Default.wl?rs=dfa1.0&amp;vr=2.0&amp;DB=350&amp;FindType=Y&amp;ReferencePositionType=S&amp;SerialNum=1973108206&amp;ReferencePosition=1218" TargetMode="External"/><Relationship Id="rId9" Type="http://schemas.openxmlformats.org/officeDocument/2006/relationships/hyperlink" Target="http://www.westlaw.com/Find/Default.wl?rs=dfa1.0&amp;vr=2.0&amp;DB=350&amp;FindType=Y&amp;ReferencePositionType=S&amp;SerialNum=1973108206&amp;ReferencePosition=1218" TargetMode="External"/><Relationship Id="rId14" Type="http://schemas.openxmlformats.org/officeDocument/2006/relationships/hyperlink" Target="http://www.westlaw.com/Find/Default.wl?rs=dfa1.0&amp;vr=2.0&amp;DB=350&amp;FindType=Y&amp;ReferencePositionType=S&amp;SerialNum=1973108206&amp;ReferencePosition=1218" TargetMode="External"/><Relationship Id="rId22" Type="http://schemas.openxmlformats.org/officeDocument/2006/relationships/hyperlink" Target="http://www.westlaw.com/Find/Default.wl?rs=dfa1.0&amp;vr=2.0&amp;DB=0001048&amp;FindType=Y&amp;SerialNum=1969013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2AD8-6694-4DE4-8A7F-CE917827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Kilpatrick, Townsend &amp; Stockton LLP</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rcline</cp:lastModifiedBy>
  <cp:revision>2</cp:revision>
  <dcterms:created xsi:type="dcterms:W3CDTF">2014-06-23T17:55:00Z</dcterms:created>
  <dcterms:modified xsi:type="dcterms:W3CDTF">2014-06-23T17:55:00Z</dcterms:modified>
</cp:coreProperties>
</file>